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SE Lab 1 — Requirements Table</w:t>
      </w:r>
    </w:p>
    <w:p>
      <w:pPr>
        <w:spacing w:after="200"/>
      </w:pPr>
      <w:r>
        <w:rPr>
          <w:i/>
          <w:iCs/>
        </w:rPr>
        <w:t xml:space="preserve">Problem Statement #18 | Healthcare &amp; Telemedicine — Clinical Trial Subject Recruitment Engine</w:t>
      </w:r>
    </w:p>
    <w:p>
      <w:pPr>
        <w:spacing w:after="300"/>
      </w:pPr>
      <w:r>
        <w:rPr>
          <w:b/>
          <w:bCs/>
          <w:color w:val="C00000"/>
          <w:highlight w:val="yellow"/>
          <w:highlightCs w:val="yellow"/>
        </w:rPr>
        <w:t xml:space="preserve">Target Stakeholders / Actors: Trial Candidate, Clinical Researcher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800"/>
        <w:gridCol w:w="900"/>
        <w:gridCol w:w="3300"/>
        <w:gridCol w:w="3000"/>
        <w:gridCol w:w="1200"/>
      </w:tblGrid>
      <w:tr>
        <w:trPr>
          <w:tblHeader/>
        </w:trPr>
        <w:tc>
          <w:tcPr>
            <w:tcW w:type="dxa" w:w="90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Req ID</w:t>
            </w:r>
          </w:p>
        </w:tc>
        <w:tc>
          <w:tcPr>
            <w:tcW w:type="dxa" w:w="130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80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90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330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dxa" w:w="300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Rationale</w:t>
            </w:r>
          </w:p>
        </w:tc>
        <w:tc>
          <w:tcPr>
            <w:tcW w:type="dxa" w:w="1200"/>
            <w:shd w:fill="D9D9D9" w:val="clear"/>
            <w:vAlign w:val="center"/>
          </w:tcPr>
          <w:p>
            <w:r>
              <w:rPr>
                <w:b/>
                <w:bCs/>
              </w:rPr>
              <w:t xml:space="preserve">Comments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</w:rPr>
              <w:t xml:space="preserve">FR-001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The system shall evaluate candidate survey responses against trial protocol inclusion/exclusion criteria and classify eligibility status.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Pass: Ineligible candidate flagged with specific failed criteria. Fail: Subject with exclusion criteria marked eligible.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Core screening requirement — baseline eligibility gate for the trial.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>Given (from problem statement)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</w:rPr>
              <w:t xml:space="preserve">FR-002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The system shall allow a Clinical Researcher to record and timestamp each informed consent milestone (document signed, verbal consent, witness signature) for a Trial Candidate.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Pass: Consent milestone saved with timestamp and researcher ID within 2 seconds of submission. Fail: Milestone saved without a timestamp or researcher ID, or fails to save.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Documented, auditable consent trail is a Good Clinical Practice (GCP) regulatory requirement.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</w:rPr>
              <w:t xml:space="preserve">FR-003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The system shall allow a Clinical Researcher to log each trial visit (scheduled date, actual date, protocol deviations) and automatically flag visits that fall outside the protocol-defined window.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Pass: A visit logged after the allowed window is automatically marked "delayed" and surfaced to the researcher. Fail: A delayed visit is not flagged, or the log entry fails to save.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Protocol adherence and complete visit records are essential for trial data integrity.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</w:rPr>
              <w:t xml:space="preserve">FR-004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The system shall allow a Trial Candidate to view their current eligibility status, upcoming visit schedule, and completed consent milestones on a personal dashboard.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Pass: Dashboard displays current status, next visit date, and completed milestones within 3 seconds of login. Fail: Dashboard shows missing or outdated information.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Improves candidate transparency and engagement, reducing trial dropout.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</w:rPr>
              <w:t xml:space="preserve">FR-005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The system shall automatically re-evaluate a Trial Candidate's eligibility status whenever updated survey responses or lab results are submitted.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Pass: Eligibility status is recalculated and updated within 5 minutes of new data submission. Fail: Status remains unchanged despite newly submitted disqualifying data.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Prevents candidates who become ineligible mid-screening from proceeding in the trial.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</w:rPr>
              <w:t xml:space="preserve">NFR-001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Nonfunctional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The recruitment database must comply with 21 CFR Part 11 electronic record standards, including cryptographic audit trails.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Pass: Benchmarking tests confirm target latency and security standards are met under simulated peak load.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Type: Performance &amp; Security. Mandatory FDA electronic-records compliance for clinical trial systems.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>Given (from problem statement)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b/>
                <w:bCs/>
              </w:rPr>
              <w:t xml:space="preserve">NFR-002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</w:rPr>
              <w:t xml:space="preserve">Nonfunctional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</w:rPr>
              <w:t xml:space="preserve">The system shall encrypt all candidate personal health information (PHI) at rest (AES-256) and in transit (TLS 1.3), and maintain an immutable, tamper-evident audit log of all eligibility and consent record changes.</w:t>
            </w:r>
          </w:p>
        </w:tc>
        <w:tc>
          <w:tcPr>
            <w:tcW w:type="dxa" w:w="900"/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</w:rPr>
              <w:t xml:space="preserve">Pass: Security audit / penetration test confirms no PHI is recoverable in plaintext, and audit log entries are hash-chained (tamper-evident). Fail: Any PHI recoverable in plaintext, or an audit entry alterable without detection.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</w:rPr>
              <w:t xml:space="preserve">Type: Security. Protects sensitive patient data and satisfies HIPAA and GCP data-protection expectations for clinical trial handling.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5840" w:h="12240" w:orient="portrait"/>
      <w:pgMar w:top="720" w:right="576" w:bottom="72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2026-08-28T17:28:42.380Z</dcterms:created>
  <dcterms:modified xsi:type="dcterms:W3CDTF">2026-08-28T17:28:42.380Z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