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Trading Book Risk &amp; Controls</w:t>
      </w:r>
    </w:p>
    <w:p>
      <w:r>
        <w:rPr>
          <w:b/>
          <w:sz w:val="32"/>
        </w:rPr>
        <w:t>Full Project Reference — Modules 1 through 11</w:t>
      </w:r>
    </w:p>
    <w:p>
      <w:r>
        <w:rPr>
          <w:i/>
        </w:rPr>
        <w:t>Business Analyst / Market Risk portfolio project — consolidated study reference</w:t>
      </w:r>
    </w:p>
    <w:p>
      <w:r>
        <w:t>This document consolidates everything taught and built across the entire project: every concept explanation, methodology, design decision, simplification, and the dashboard built at the end. It is a study reference, not a code listing — the actual source lives in src/, sql/, config/, and tests/ in the project repository, in the reading order given in the Appendix.</w:t>
      </w:r>
    </w:p>
    <w:p>
      <w:r>
        <w:br w:type="page"/>
      </w:r>
    </w:p>
    <w:p>
      <w:pPr>
        <w:pStyle w:val="Heading1"/>
      </w:pPr>
      <w:r>
        <w:t>Module 1 — Trading Book Data Model &amp; Synthetic Portfolio</w:t>
      </w:r>
    </w:p>
    <w:p>
      <w:pPr>
        <w:pStyle w:val="Heading2"/>
      </w:pPr>
      <w:r>
        <w:t>Core concepts</w:t>
      </w:r>
    </w:p>
    <w:p>
      <w:pPr>
        <w:pStyle w:val="Heading3"/>
      </w:pPr>
      <w:r>
        <w:t>Trade</w:t>
      </w:r>
    </w:p>
    <w:p>
      <w:r>
        <w:t>A single transaction event (price, timestamp, counterparty), immutable once booked.</w:t>
      </w:r>
    </w:p>
    <w:p>
      <w:pPr>
        <w:pStyle w:val="Heading3"/>
      </w:pPr>
      <w:r>
        <w:t>Instrument</w:t>
      </w:r>
    </w:p>
    <w:p>
      <w:r>
        <w:t>The thing traded, defined by its own static characteristics (e.g. strike defines an option).</w:t>
      </w:r>
    </w:p>
    <w:p>
      <w:pPr>
        <w:pStyle w:val="Heading3"/>
      </w:pPr>
      <w:r>
        <w:t>Position</w:t>
      </w:r>
    </w:p>
    <w:p>
      <w:r>
        <w:t>The net holding in one instrument within one book, after aggregating trades. Risk is calculated on positions, not raw trades.</w:t>
      </w:r>
    </w:p>
    <w:p>
      <w:pPr>
        <w:pStyle w:val="Heading3"/>
      </w:pPr>
      <w:r>
        <w:t>Trading book</w:t>
      </w:r>
    </w:p>
    <w:p>
      <w:r>
        <w:t>A ledger within a desk where trades are booked for P&amp;L/risk aggregation.</w:t>
      </w:r>
    </w:p>
    <w:p>
      <w:pPr>
        <w:pStyle w:val="Heading3"/>
      </w:pPr>
      <w:r>
        <w:t>Trading desk</w:t>
      </w:r>
    </w:p>
    <w:p>
      <w:r>
        <w:t>An organisational unit covering related products; contains multiple books.</w:t>
      </w:r>
    </w:p>
    <w:p>
      <w:pPr>
        <w:pStyle w:val="Heading3"/>
      </w:pPr>
      <w:r>
        <w:t>Issuer</w:t>
      </w:r>
    </w:p>
    <w:p>
      <w:r>
        <w:t>The legal entity that issued a security. FX has no issuer.</w:t>
      </w:r>
    </w:p>
    <w:p>
      <w:pPr>
        <w:pStyle w:val="Heading3"/>
      </w:pPr>
      <w:r>
        <w:t>Counterparty</w:t>
      </w:r>
    </w:p>
    <w:p>
      <w:r>
        <w:t>The other side of a trade — drives counterparty/settlement risk, out of this project's scope.</w:t>
      </w:r>
    </w:p>
    <w:p>
      <w:pPr>
        <w:pStyle w:val="Heading3"/>
      </w:pPr>
      <w:r>
        <w:t>Risk factor</w:t>
      </w:r>
    </w:p>
    <w:p>
      <w:r>
        <w:t>The market observable whose movement changes a position's value.</w:t>
      </w:r>
    </w:p>
    <w:p>
      <w:pPr>
        <w:pStyle w:val="Heading3"/>
      </w:pPr>
      <w:r>
        <w:t>Market value</w:t>
      </w:r>
    </w:p>
    <w:p>
      <w:r>
        <w:t>quantity x current market price — computed, not an input.</w:t>
      </w:r>
    </w:p>
    <w:p>
      <w:pPr>
        <w:pStyle w:val="Heading3"/>
      </w:pPr>
      <w:r>
        <w:t>Notional</w:t>
      </w:r>
    </w:p>
    <w:p>
      <w:r>
        <w:t>A reference amount (FX amount, bond face value) — not the same as market value.</w:t>
      </w:r>
    </w:p>
    <w:p>
      <w:pPr>
        <w:pStyle w:val="Heading2"/>
      </w:pPr>
      <w:r>
        <w:t>Data model</w:t>
      </w:r>
    </w:p>
    <w:p>
      <w:r>
        <w:t>Entities: Desk (1)-&lt;Book (1)-&lt;Position &gt;-1 Instrument &gt;-0..1 Issuer. Instrument has a self-referencing FK (underlying_instrument_id) for options. Position rows are already-netted (one row = one book+instrument+as_of_date), not raw trades — a deliberate simplification.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Purpose</w:t>
            </w:r>
          </w:p>
        </w:tc>
        <w:tc>
          <w:tcPr>
            <w:tcW w:type="dxa" w:w="2880"/>
          </w:tcPr>
          <w:p>
            <w:r>
              <w:rPr>
                <w:b/>
              </w:rPr>
              <w:t>Key</w:t>
            </w:r>
          </w:p>
        </w:tc>
      </w:tr>
      <w:tr>
        <w:tc>
          <w:tcPr>
            <w:tcW w:type="dxa" w:w="2880"/>
          </w:tcPr>
          <w:p>
            <w:r>
              <w:t>Desk</w:t>
            </w:r>
          </w:p>
        </w:tc>
        <w:tc>
          <w:tcPr>
            <w:tcW w:type="dxa" w:w="2880"/>
          </w:tcPr>
          <w:p>
            <w:r>
              <w:t>Organisational unit</w:t>
            </w:r>
          </w:p>
        </w:tc>
        <w:tc>
          <w:tcPr>
            <w:tcW w:type="dxa" w:w="2880"/>
          </w:tcPr>
          <w:p>
            <w:r>
              <w:t>desk_id</w:t>
            </w:r>
          </w:p>
        </w:tc>
      </w:tr>
      <w:tr>
        <w:tc>
          <w:tcPr>
            <w:tcW w:type="dxa" w:w="2880"/>
          </w:tcPr>
          <w:p>
            <w:r>
              <w:t>Book</w:t>
            </w:r>
          </w:p>
        </w:tc>
        <w:tc>
          <w:tcPr>
            <w:tcW w:type="dxa" w:w="2880"/>
          </w:tcPr>
          <w:p>
            <w:r>
              <w:t>Sub-ledger under a desk</w:t>
            </w:r>
          </w:p>
        </w:tc>
        <w:tc>
          <w:tcPr>
            <w:tcW w:type="dxa" w:w="2880"/>
          </w:tcPr>
          <w:p>
            <w:r>
              <w:t>book_id -&gt; desk_id</w:t>
            </w:r>
          </w:p>
        </w:tc>
      </w:tr>
      <w:tr>
        <w:tc>
          <w:tcPr>
            <w:tcW w:type="dxa" w:w="2880"/>
          </w:tcPr>
          <w:p>
            <w:r>
              <w:t>Issuer</w:t>
            </w:r>
          </w:p>
        </w:tc>
        <w:tc>
          <w:tcPr>
            <w:tcW w:type="dxa" w:w="2880"/>
          </w:tcPr>
          <w:p>
            <w:r>
              <w:t>Legal entity</w:t>
            </w:r>
          </w:p>
        </w:tc>
        <w:tc>
          <w:tcPr>
            <w:tcW w:type="dxa" w:w="2880"/>
          </w:tcPr>
          <w:p>
            <w:r>
              <w:t>issuer_id</w:t>
            </w:r>
          </w:p>
        </w:tc>
      </w:tr>
      <w:tr>
        <w:tc>
          <w:tcPr>
            <w:tcW w:type="dxa" w:w="2880"/>
          </w:tcPr>
          <w:p>
            <w:r>
              <w:t>Instrument</w:t>
            </w:r>
          </w:p>
        </w:tc>
        <w:tc>
          <w:tcPr>
            <w:tcW w:type="dxa" w:w="2880"/>
          </w:tcPr>
          <w:p>
            <w:r>
              <w:t>Static security definition</w:t>
            </w:r>
          </w:p>
        </w:tc>
        <w:tc>
          <w:tcPr>
            <w:tcW w:type="dxa" w:w="2880"/>
          </w:tcPr>
          <w:p>
            <w:r>
              <w:t>instrument_id -&gt; issuer_id, underlying_instrument_id (self)</w:t>
            </w:r>
          </w:p>
        </w:tc>
      </w:tr>
      <w:tr>
        <w:tc>
          <w:tcPr>
            <w:tcW w:type="dxa" w:w="2880"/>
          </w:tcPr>
          <w:p>
            <w:r>
              <w:t>Position</w:t>
            </w:r>
          </w:p>
        </w:tc>
        <w:tc>
          <w:tcPr>
            <w:tcW w:type="dxa" w:w="2880"/>
          </w:tcPr>
          <w:p>
            <w:r>
              <w:t>Netted daily holding, signed quantity</w:t>
            </w:r>
          </w:p>
        </w:tc>
        <w:tc>
          <w:tcPr>
            <w:tcW w:type="dxa" w:w="2880"/>
          </w:tcPr>
          <w:p>
            <w:r>
              <w:t>position_id -&gt; book_id, instrument_id</w:t>
            </w:r>
          </w:p>
        </w:tc>
      </w:tr>
    </w:tbl>
    <w:p/>
    <w:p>
      <w:r>
        <w:t>Named simplifications: average_cost deliberately excluded (risk P&amp;L doesn't need a cost basis, only trader P&amp;L does); the Instrument table is a wide, sparse table rather than per-asset-class subtype tables; reference data has no effective-dating.</w:t>
      </w:r>
    </w:p>
    <w:p>
      <w:pPr>
        <w:pStyle w:val="Heading2"/>
      </w:pPr>
      <w:r>
        <w:t>The synthetic portfolio (40 positions, engineered on purpose)</w:t>
      </w:r>
    </w:p>
    <w:p>
      <w:r>
        <w:t>3 desks (Equities, Fixed Income, FX), 6 books, 5 asset classes (Equity, Equity Option, Govt Bond, Corp Bond, FX). Deliberately engineered: JPMorgan Chase (ISS_JPM) is the issuer of equity, an equity option, and corporate bonds across TWO books (Investment Grade Credit and a Credit-Concentrated book), creating a $41M+ single-issuer concentration used throughout the rest of the project to demonstrate concentration risk and an eventual limit breach. This portfolio is hand-crafted, not randomly sampled — stated explicitly since a real bank's book never is.</w:t>
      </w:r>
    </w:p>
    <w:p>
      <w:pPr>
        <w:pStyle w:val="Heading1"/>
      </w:pPr>
      <w:r>
        <w:t>Module 2 — Market Data</w:t>
      </w:r>
    </w:p>
    <w:p>
      <w:pPr>
        <w:pStyle w:val="Heading2"/>
      </w:pPr>
      <w:r>
        <w:t>Risk factors by asset class</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 class</w:t>
            </w:r>
          </w:p>
        </w:tc>
        <w:tc>
          <w:tcPr>
            <w:tcW w:type="dxa" w:w="4320"/>
          </w:tcPr>
          <w:p>
            <w:r>
              <w:rPr>
                <w:b/>
              </w:rPr>
              <w:t>Risk factor(s)</w:t>
            </w:r>
          </w:p>
        </w:tc>
      </w:tr>
      <w:tr>
        <w:tc>
          <w:tcPr>
            <w:tcW w:type="dxa" w:w="4320"/>
          </w:tcPr>
          <w:p>
            <w:r>
              <w:t>Equity</w:t>
            </w:r>
          </w:p>
        </w:tc>
        <w:tc>
          <w:tcPr>
            <w:tcW w:type="dxa" w:w="4320"/>
          </w:tcPr>
          <w:p>
            <w:r>
              <w:t>Price</w:t>
            </w:r>
          </w:p>
        </w:tc>
      </w:tr>
      <w:tr>
        <w:tc>
          <w:tcPr>
            <w:tcW w:type="dxa" w:w="4320"/>
          </w:tcPr>
          <w:p>
            <w:r>
              <w:t>Equity Option</w:t>
            </w:r>
          </w:p>
        </w:tc>
        <w:tc>
          <w:tcPr>
            <w:tcW w:type="dxa" w:w="4320"/>
          </w:tcPr>
          <w:p>
            <w:r>
              <w:t>Underlying price, implied vol, interest rate (time-to-expiry is a computed instrument attribute, not a market series)</w:t>
            </w:r>
          </w:p>
        </w:tc>
      </w:tr>
      <w:tr>
        <w:tc>
          <w:tcPr>
            <w:tcW w:type="dxa" w:w="4320"/>
          </w:tcPr>
          <w:p>
            <w:r>
              <w:t>Govt Bond</w:t>
            </w:r>
          </w:p>
        </w:tc>
        <w:tc>
          <w:tcPr>
            <w:tcW w:type="dxa" w:w="4320"/>
          </w:tcPr>
          <w:p>
            <w:r>
              <w:t>Yield at the bond's tenor</w:t>
            </w:r>
          </w:p>
        </w:tc>
      </w:tr>
      <w:tr>
        <w:tc>
          <w:tcPr>
            <w:tcW w:type="dxa" w:w="4320"/>
          </w:tcPr>
          <w:p>
            <w:r>
              <w:t>Corp Bond</w:t>
            </w:r>
          </w:p>
        </w:tc>
        <w:tc>
          <w:tcPr>
            <w:tcW w:type="dxa" w:w="4320"/>
          </w:tcPr>
          <w:p>
            <w:r>
              <w:t>Credit spread + risk-free rate</w:t>
            </w:r>
          </w:p>
        </w:tc>
      </w:tr>
      <w:tr>
        <w:tc>
          <w:tcPr>
            <w:tcW w:type="dxa" w:w="4320"/>
          </w:tcPr>
          <w:p>
            <w:r>
              <w:t>FX</w:t>
            </w:r>
          </w:p>
        </w:tc>
        <w:tc>
          <w:tcPr>
            <w:tcW w:type="dxa" w:w="4320"/>
          </w:tcPr>
          <w:p>
            <w:r>
              <w:t>Spot rate</w:t>
            </w:r>
          </w:p>
        </w:tc>
      </w:tr>
    </w:tbl>
    <w:p/>
    <w:p>
      <w:pPr>
        <w:pStyle w:val="Heading2"/>
      </w:pPr>
      <w:r>
        <w:t>Levels vs. changes</w:t>
      </w:r>
    </w:p>
    <w:p>
      <w:r>
        <w:t>Equities/FX use log returns (scale-dependent, normalize by dividing by starting level). Yields and credit spreads use basis-point changes (already rate-like quantities). Volatility uses point changes (already a normalized %, a 'return on volatility' isn't meaningful).</w:t>
      </w:r>
    </w:p>
    <w:p>
      <w:pPr>
        <w:pStyle w:val="Heading2"/>
      </w:pPr>
      <w:r>
        <w:t>Data sources — real, synthetic, and approximated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w:t>
            </w:r>
          </w:p>
        </w:tc>
        <w:tc>
          <w:tcPr>
            <w:tcW w:type="dxa" w:w="2880"/>
          </w:tcPr>
          <w:p>
            <w:r>
              <w:rPr>
                <w:b/>
              </w:rPr>
              <w:t>Source</w:t>
            </w:r>
          </w:p>
        </w:tc>
        <w:tc>
          <w:tcPr>
            <w:tcW w:type="dxa" w:w="2880"/>
          </w:tcPr>
          <w:p>
            <w:r>
              <w:rPr>
                <w:b/>
              </w:rPr>
              <w:t>Classification</w:t>
            </w:r>
          </w:p>
        </w:tc>
      </w:tr>
      <w:tr>
        <w:tc>
          <w:tcPr>
            <w:tcW w:type="dxa" w:w="2880"/>
          </w:tcPr>
          <w:p>
            <w:r>
              <w:t>Equity prices</w:t>
            </w:r>
          </w:p>
        </w:tc>
        <w:tc>
          <w:tcPr>
            <w:tcW w:type="dxa" w:w="2880"/>
          </w:tcPr>
          <w:p>
            <w:r>
              <w:t>Yahoo Finance</w:t>
            </w:r>
          </w:p>
        </w:tc>
        <w:tc>
          <w:tcPr>
            <w:tcW w:type="dxa" w:w="2880"/>
          </w:tcPr>
          <w:p>
            <w:r>
              <w:t>Real</w:t>
            </w:r>
          </w:p>
        </w:tc>
      </w:tr>
      <w:tr>
        <w:tc>
          <w:tcPr>
            <w:tcW w:type="dxa" w:w="2880"/>
          </w:tcPr>
          <w:p>
            <w:r>
              <w:t>US Treasury yields</w:t>
            </w:r>
          </w:p>
        </w:tc>
        <w:tc>
          <w:tcPr>
            <w:tcW w:type="dxa" w:w="2880"/>
          </w:tcPr>
          <w:p>
            <w:r>
              <w:t>FRED (DGS2/5/10/30)</w:t>
            </w:r>
          </w:p>
        </w:tc>
        <w:tc>
          <w:tcPr>
            <w:tcW w:type="dxa" w:w="2880"/>
          </w:tcPr>
          <w:p>
            <w:r>
              <w:t>Real</w:t>
            </w:r>
          </w:p>
        </w:tc>
      </w:tr>
      <w:tr>
        <w:tc>
          <w:tcPr>
            <w:tcW w:type="dxa" w:w="2880"/>
          </w:tcPr>
          <w:p>
            <w:r>
              <w:t>UK Gilt / German Bund yields</w:t>
            </w:r>
          </w:p>
        </w:tc>
        <w:tc>
          <w:tcPr>
            <w:tcW w:type="dxa" w:w="2880"/>
          </w:tcPr>
          <w:p>
            <w:r>
              <w:t>Calibrated random walk</w:t>
            </w:r>
          </w:p>
        </w:tc>
        <w:tc>
          <w:tcPr>
            <w:tcW w:type="dxa" w:w="2880"/>
          </w:tcPr>
          <w:p>
            <w:r>
              <w:t>Synthetic — no free daily source</w:t>
            </w:r>
          </w:p>
        </w:tc>
      </w:tr>
      <w:tr>
        <w:tc>
          <w:tcPr>
            <w:tcW w:type="dxa" w:w="2880"/>
          </w:tcPr>
          <w:p>
            <w:r>
              <w:t>Corporate credit spreads</w:t>
            </w:r>
          </w:p>
        </w:tc>
        <w:tc>
          <w:tcPr>
            <w:tcW w:type="dxa" w:w="2880"/>
          </w:tcPr>
          <w:p>
            <w:r>
              <w:t>FRED ICE BofA OAS by rating bucket</w:t>
            </w:r>
          </w:p>
        </w:tc>
        <w:tc>
          <w:tcPr>
            <w:tcW w:type="dxa" w:w="2880"/>
          </w:tcPr>
          <w:p>
            <w:r>
              <w:t>Real data, rating-bucket approximation</w:t>
            </w:r>
          </w:p>
        </w:tc>
      </w:tr>
      <w:tr>
        <w:tc>
          <w:tcPr>
            <w:tcW w:type="dxa" w:w="2880"/>
          </w:tcPr>
          <w:p>
            <w:r>
              <w:t>Implied volatility</w:t>
            </w:r>
          </w:p>
        </w:tc>
        <w:tc>
          <w:tcPr>
            <w:tcW w:type="dxa" w:w="2880"/>
          </w:tcPr>
          <w:p>
            <w:r>
              <w:t>21-day rolling realized vol from real prices</w:t>
            </w:r>
          </w:p>
        </w:tc>
        <w:tc>
          <w:tcPr>
            <w:tcW w:type="dxa" w:w="2880"/>
          </w:tcPr>
          <w:p>
            <w:r>
              <w:t>Approximation — real IV needs a paid vendor</w:t>
            </w:r>
          </w:p>
        </w:tc>
      </w:tr>
      <w:tr>
        <w:tc>
          <w:tcPr>
            <w:tcW w:type="dxa" w:w="2880"/>
          </w:tcPr>
          <w:p>
            <w:r>
              <w:t>FX spot</w:t>
            </w:r>
          </w:p>
        </w:tc>
        <w:tc>
          <w:tcPr>
            <w:tcW w:type="dxa" w:w="2880"/>
          </w:tcPr>
          <w:p>
            <w:r>
              <w:t>FRED (Fed H.10)</w:t>
            </w:r>
          </w:p>
        </w:tc>
        <w:tc>
          <w:tcPr>
            <w:tcW w:type="dxa" w:w="2880"/>
          </w:tcPr>
          <w:p>
            <w:r>
              <w:t>Real</w:t>
            </w:r>
          </w:p>
        </w:tc>
      </w:tr>
    </w:tbl>
    <w:p/>
    <w:p>
      <w:r>
        <w:t>Missing dates are NOT forward-filled — each risk factor's 'previous value' is the prior available observation in its own series, since different markets (US/UK/DE/FX) trade on different calendars.</w:t>
      </w:r>
    </w:p>
    <w:p>
      <w:pPr>
        <w:pStyle w:val="Heading1"/>
      </w:pPr>
      <w:r>
        <w:t>Module 3 — Portfolio Valuation &amp; Exposure</w:t>
      </w:r>
    </w:p>
    <w:p>
      <w:pPr>
        <w:pStyle w:val="Heading2"/>
      </w:pPr>
      <w:r>
        <w:t>Concepts</w:t>
      </w:r>
    </w:p>
    <w:p>
      <w:r>
        <w:t>Gross exposure = sum of absolute market values (capital deployed). Net exposure = sum of signed market values (directional bet). Gross &gt;= |Net| always; the gap is the amount of long/short hedging.</w:t>
      </w:r>
    </w:p>
    <w:p>
      <w:pPr>
        <w:pStyle w:val="Heading2"/>
      </w:pPr>
      <w:r>
        <w:t>Valuation methods by asset class</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 class</w:t>
            </w:r>
          </w:p>
        </w:tc>
        <w:tc>
          <w:tcPr>
            <w:tcW w:type="dxa" w:w="4320"/>
          </w:tcPr>
          <w:p>
            <w:r>
              <w:rPr>
                <w:b/>
              </w:rPr>
              <w:t>Method</w:t>
            </w:r>
          </w:p>
        </w:tc>
      </w:tr>
      <w:tr>
        <w:tc>
          <w:tcPr>
            <w:tcW w:type="dxa" w:w="4320"/>
          </w:tcPr>
          <w:p>
            <w:r>
              <w:t>Equity</w:t>
            </w:r>
          </w:p>
        </w:tc>
        <w:tc>
          <w:tcPr>
            <w:tcW w:type="dxa" w:w="4320"/>
          </w:tcPr>
          <w:p>
            <w:r>
              <w:t>quantity x price</w:t>
            </w:r>
          </w:p>
        </w:tc>
      </w:tr>
      <w:tr>
        <w:tc>
          <w:tcPr>
            <w:tcW w:type="dxa" w:w="4320"/>
          </w:tcPr>
          <w:p>
            <w:r>
              <w:t>FX</w:t>
            </w:r>
          </w:p>
        </w:tc>
        <w:tc>
          <w:tcPr>
            <w:tcW w:type="dxa" w:w="4320"/>
          </w:tcPr>
          <w:p>
            <w:r>
              <w:t>quantity x spot rate, with a base/quote-currency USD-reporting rule</w:t>
            </w:r>
          </w:p>
        </w:tc>
      </w:tr>
      <w:tr>
        <w:tc>
          <w:tcPr>
            <w:tcW w:type="dxa" w:w="4320"/>
          </w:tcPr>
          <w:p>
            <w:r>
              <w:t>Govt Bond</w:t>
            </w:r>
          </w:p>
        </w:tc>
        <w:tc>
          <w:tcPr>
            <w:tcW w:type="dxa" w:w="4320"/>
          </w:tcPr>
          <w:p>
            <w:r>
              <w:t>Simplified annual-coupon DCF, discounted at the matching tenor's yield</w:t>
            </w:r>
          </w:p>
        </w:tc>
      </w:tr>
      <w:tr>
        <w:tc>
          <w:tcPr>
            <w:tcW w:type="dxa" w:w="4320"/>
          </w:tcPr>
          <w:p>
            <w:r>
              <w:t>Corp Bond</w:t>
            </w:r>
          </w:p>
        </w:tc>
        <w:tc>
          <w:tcPr>
            <w:tcW w:type="dxa" w:w="4320"/>
          </w:tcPr>
          <w:p>
            <w:r>
              <w:t>Same DCF, discounted at risk-free yield + credit spread</w:t>
            </w:r>
          </w:p>
        </w:tc>
      </w:tr>
      <w:tr>
        <w:tc>
          <w:tcPr>
            <w:tcW w:type="dxa" w:w="4320"/>
          </w:tcPr>
          <w:p>
            <w:r>
              <w:t>Equity Option</w:t>
            </w:r>
          </w:p>
        </w:tc>
        <w:tc>
          <w:tcPr>
            <w:tcW w:type="dxa" w:w="4320"/>
          </w:tcPr>
          <w:p>
            <w:r>
              <w:t>Black-Scholes (European)</w:t>
            </w:r>
          </w:p>
        </w:tc>
      </w:tr>
    </w:tbl>
    <w:p/>
    <w:p>
      <w:pPr>
        <w:pStyle w:val="Heading2"/>
      </w:pPr>
      <w:r>
        <w:t>Simplifications stated explicitly</w:t>
      </w:r>
    </w:p>
    <w:p>
      <w:pPr>
        <w:pStyle w:val="ListBullet"/>
      </w:pPr>
      <w:r>
        <w:t>Bonds: annual coupon compounding (not semi-annual); maturity rounded to nearest whole year; no accrued interest.</w:t>
      </w:r>
    </w:p>
    <w:p>
      <w:pPr>
        <w:pStyle w:val="ListBullet"/>
      </w:pPr>
      <w:r>
        <w:t>Corp bonds discount off the NEAREST available UST tenor (2/5/10/30Y) - no curve interpolation.</w:t>
      </w:r>
    </w:p>
    <w:p>
      <w:pPr>
        <w:pStyle w:val="ListBullet"/>
      </w:pPr>
      <w:r>
        <w:t>Options priced European-style; risk-free rate uses UST-2Y as a short-rate proxy.</w:t>
      </w:r>
    </w:p>
    <w:p>
      <w:pPr>
        <w:pStyle w:val="ListBullet"/>
      </w:pPr>
      <w:r>
        <w:t>FX/non-USD bond values converted at spot mid-rates only.</w:t>
      </w:r>
    </w:p>
    <w:p>
      <w:r>
        <w:t>Result on the real portfolio: Portfolio Value ~$104.7M, Gross Exposure ~$132.6M, Net Exposure ~$104.7M. JPMorgan Chase was the top issuer concentration (~$41.7M gross) exactly as designed.</w:t>
      </w:r>
    </w:p>
    <w:p>
      <w:pPr>
        <w:pStyle w:val="Heading1"/>
      </w:pPr>
      <w:r>
        <w:t>Module 4 — Historical VaR, Expected Shortfall, Parametric VaR</w:t>
      </w:r>
    </w:p>
    <w:p>
      <w:pPr>
        <w:pStyle w:val="Heading2"/>
      </w:pPr>
      <w:r>
        <w:t>Historical VaR methodology</w:t>
      </w:r>
    </w:p>
    <w:p>
      <w:pPr>
        <w:pStyle w:val="ListBullet"/>
      </w:pPr>
      <w:r>
        <w:t>Each historical date's simultaneous change across ALL risk factors becomes one scenario, preserving real historical co-movement.</w:t>
      </w:r>
    </w:p>
    <w:p>
      <w:pPr>
        <w:pStyle w:val="ListBullet"/>
      </w:pPr>
      <w:r>
        <w:t>Scenario P&amp;L = full revaluation (the same price_equity/price_bond/black_scholes_price functions from Module 3) under shocked levels, minus today's value.</w:t>
      </w:r>
    </w:p>
    <w:p>
      <w:pPr>
        <w:pStyle w:val="ListBullet"/>
      </w:pPr>
      <w:r>
        <w:t>Sort scenario P&amp;Ls ascending; VaR at confidence c = the loss at rank k = ceil((1-c) x N) from the worst end (an order statistic, no interpolation).</w:t>
      </w:r>
    </w:p>
    <w:p>
      <w:pPr>
        <w:pStyle w:val="ListBullet"/>
      </w:pPr>
      <w:r>
        <w:t>VaR is quoted as a positive loss number by convention.</w:t>
      </w:r>
    </w:p>
    <w:p>
      <w:r>
        <w:t>This project's Historical VaR uses FULL REVALUATION, not a sensitivity/delta approximation - stated explicitly, since it matters for accuracy on large moves (options especially).</w:t>
      </w:r>
    </w:p>
    <w:p>
      <w:pPr>
        <w:pStyle w:val="Heading2"/>
      </w:pPr>
      <w:r>
        <w:t>Expected Shortfall</w:t>
      </w:r>
    </w:p>
    <w:p>
      <w:r>
        <w:t>VaR marks where the tail begins; ES is the average loss across all scenarios at or beyond that threshold. ES &gt;= VaR always (once the tail has more than one observation).</w:t>
      </w:r>
    </w:p>
    <w:p>
      <w:pPr>
        <w:pStyle w:val="Heading2"/>
      </w:pPr>
      <w:r>
        <w:t>Parametric VaR — scoped down</w:t>
      </w:r>
    </w:p>
    <w:p>
      <w:r>
        <w:t>A true delta-normal Parametric VaR needs a risk-factor covariance matrix and position sensitivities (Module 5, not built at this point) - a textbook-complete version was deliberately not built. Instead, a normal distribution is fit directly to the SAME full-revaluation scenario P&amp;L series used for Historical VaR (mean/std, hardcoded z-scores 1.645/2.326), isolating the real comparison of interest: distributional assumption vs. empirical distribution.</w:t>
      </w:r>
    </w:p>
    <w:p>
      <w:pPr>
        <w:pStyle w:val="Heading2"/>
      </w:pPr>
      <w:r>
        <w:t>Real results (472 usable historical scenarios out of 529 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95%</w:t>
            </w:r>
          </w:p>
        </w:tc>
        <w:tc>
          <w:tcPr>
            <w:tcW w:type="dxa" w:w="2880"/>
          </w:tcPr>
          <w:p>
            <w:r>
              <w:rPr>
                <w:b/>
              </w:rPr>
              <w:t>99%</w:t>
            </w:r>
          </w:p>
        </w:tc>
      </w:tr>
      <w:tr>
        <w:tc>
          <w:tcPr>
            <w:tcW w:type="dxa" w:w="2880"/>
          </w:tcPr>
          <w:p>
            <w:r>
              <w:t>Historical VaR</w:t>
            </w:r>
          </w:p>
        </w:tc>
        <w:tc>
          <w:tcPr>
            <w:tcW w:type="dxa" w:w="2880"/>
          </w:tcPr>
          <w:p>
            <w:r>
              <w:t>$324,746</w:t>
            </w:r>
          </w:p>
        </w:tc>
        <w:tc>
          <w:tcPr>
            <w:tcW w:type="dxa" w:w="2880"/>
          </w:tcPr>
          <w:p>
            <w:r>
              <w:t>$559,377</w:t>
            </w:r>
          </w:p>
        </w:tc>
      </w:tr>
      <w:tr>
        <w:tc>
          <w:tcPr>
            <w:tcW w:type="dxa" w:w="2880"/>
          </w:tcPr>
          <w:p>
            <w:r>
              <w:t>Historical ES</w:t>
            </w:r>
          </w:p>
        </w:tc>
        <w:tc>
          <w:tcPr>
            <w:tcW w:type="dxa" w:w="2880"/>
          </w:tcPr>
          <w:p>
            <w:r>
              <w:t>$462,939</w:t>
            </w:r>
          </w:p>
        </w:tc>
        <w:tc>
          <w:tcPr>
            <w:tcW w:type="dxa" w:w="2880"/>
          </w:tcPr>
          <w:p>
            <w:r>
              <w:t>$666,674</w:t>
            </w:r>
          </w:p>
        </w:tc>
      </w:tr>
      <w:tr>
        <w:tc>
          <w:tcPr>
            <w:tcW w:type="dxa" w:w="2880"/>
          </w:tcPr>
          <w:p>
            <w:r>
              <w:t>Parametric VaR</w:t>
            </w:r>
          </w:p>
        </w:tc>
        <w:tc>
          <w:tcPr>
            <w:tcW w:type="dxa" w:w="2880"/>
          </w:tcPr>
          <w:p>
            <w:r>
              <w:t>$331,149</w:t>
            </w:r>
          </w:p>
        </w:tc>
        <w:tc>
          <w:tcPr>
            <w:tcW w:type="dxa" w:w="2880"/>
          </w:tcPr>
          <w:p>
            <w:r>
              <w:t>$470,185</w:t>
            </w:r>
          </w:p>
        </w:tc>
      </w:tr>
    </w:tbl>
    <w:p/>
    <w:p>
      <w:r>
        <w:t>Historical and Parametric agree closely at 95% but diverge sharply at 99% - the textbook signature of fat tails: a normal distribution understates how extreme the worst historical days actually were.</w:t>
      </w:r>
    </w:p>
    <w:p>
      <w:pPr>
        <w:pStyle w:val="Heading1"/>
      </w:pPr>
      <w:r>
        <w:t>Module 5 — Risk Sensitivities</w:t>
      </w:r>
    </w:p>
    <w:p>
      <w:r>
        <w:t>Unifying convention: every sensitivity in this module is '$ P&amp;L per one unit of that risk factor's move' - Delta per $1 spot move, Vega per 1 vol point, DV01/CS01 per 1bp.</w:t>
      </w:r>
    </w:p>
    <w:p>
      <w:pPr>
        <w:pStyle w:val="Heading2"/>
      </w:pPr>
      <w:r>
        <w:t>Equity / Options</w:t>
      </w:r>
    </w:p>
    <w:p>
      <w:pPr>
        <w:pStyle w:val="ListBullet"/>
      </w:pPr>
      <w:r>
        <w:t>Delta = dPrice/dSpot. A stock's Delta = its own quantity (dollar-for-dollar); zero Gamma/Vega (linear, no vol dependence).</w:t>
      </w:r>
    </w:p>
    <w:p>
      <w:pPr>
        <w:pStyle w:val="ListBullet"/>
      </w:pPr>
      <w:r>
        <w:t>Gamma = dDelta/dSpot - curvature, only meaningful for options.</w:t>
      </w:r>
    </w:p>
    <w:p>
      <w:pPr>
        <w:pStyle w:val="ListBullet"/>
      </w:pPr>
      <w:r>
        <w:t>Vega = dPrice/dVolatility, scaled to per-1-vol-point to match Module 2's convention.</w:t>
      </w:r>
    </w:p>
    <w:p>
      <w:pPr>
        <w:pStyle w:val="ListBullet"/>
      </w:pPr>
      <w:r>
        <w:t>All three reduce to functions of Black-Scholes' d1: Delta=N(d1) [Call] or N(d1)-1 [Put]; Gamma=phi(d1)/(S sigma sqrt(T)); Vega=S phi(d1) sqrt(T).</w:t>
      </w:r>
    </w:p>
    <w:p>
      <w:pPr>
        <w:pStyle w:val="Heading2"/>
      </w:pPr>
      <w:r>
        <w:t>Rates</w:t>
      </w:r>
    </w:p>
    <w:p>
      <w:r>
        <w:t>Bond price falls when yields rise (discount factors shrink). DV01 = dollar P&amp;L from a 1bp yield rise, computed by bumping yield +1bp and re-running the same price_bond DCF (bump-and-reprice, not a separate closed-form duration formula). Duration = DV01 / (Price x 0.0001).</w:t>
      </w:r>
    </w:p>
    <w:p>
      <w:pPr>
        <w:pStyle w:val="Heading2"/>
      </w:pPr>
      <w:r>
        <w:t>Credit</w:t>
      </w:r>
    </w:p>
    <w:p>
      <w:pPr>
        <w:pStyle w:val="ListBullet"/>
      </w:pPr>
      <w:r>
        <w:t>Corp bond discount rate = risk-free yield + credit spread (Module 3). CS01 bumps only the spread leg.</w:t>
      </w:r>
    </w:p>
    <w:p>
      <w:pPr>
        <w:pStyle w:val="ListBullet"/>
      </w:pPr>
      <w:r>
        <w:t>Because our model sums risk_free + spread into ONE number before discounting, DV01 and CS01 come out numerically EQUAL for a given corp bond - a stated simplification, not a coincidence to hide.</w:t>
      </w:r>
    </w:p>
    <w:p>
      <w:pPr>
        <w:pStyle w:val="ListBullet"/>
      </w:pPr>
      <w:r>
        <w:t>CS01 (market spread risk, continuous) is NOT the same as actual default risk (a discontinuous jump to near-zero) - a separate discipline (regulatory Default Risk Charge) not built here.</w:t>
      </w:r>
    </w:p>
    <w:p>
      <w:r>
        <w:t>Convexity is NOT implemented for bonds - only Delta/Gamma/Vega (options) and DV01/CS01 (bonds), stated explicitly as a scope decision.</w:t>
      </w:r>
    </w:p>
    <w:p>
      <w:r>
        <w:t>Result: Fixed Income Desk carries essentially all rate/spread risk (DV01 ~$34,853, CS01 ~$21,389), consistent with Module 1's design.</w:t>
      </w:r>
    </w:p>
    <w:p>
      <w:pPr>
        <w:pStyle w:val="Heading1"/>
      </w:pPr>
      <w:r>
        <w:t>Module 6 — P&amp;L Attribution &amp; Stress Testing</w:t>
      </w:r>
    </w:p>
    <w:p>
      <w:pPr>
        <w:pStyle w:val="Heading2"/>
      </w:pPr>
      <w:r>
        <w:t>P&amp;L Attribution</w:t>
      </w:r>
    </w:p>
    <w:p>
      <w:pPr>
        <w:pStyle w:val="ListBullet"/>
      </w:pPr>
      <w:r>
        <w:t>Actual P&amp;L: full revaluation between two dates (reuses Module 4's scenario engine, using the most recent historical date).</w:t>
      </w:r>
    </w:p>
    <w:p>
      <w:pPr>
        <w:pStyle w:val="ListBullet"/>
      </w:pPr>
      <w:r>
        <w:t>Explained P&amp;L: Module 5's sensitivities x Module 2's actual observed changes on that date - a first-order (plus Gamma) Taylor approximation.</w:t>
      </w:r>
    </w:p>
    <w:p>
      <w:pPr>
        <w:pStyle w:val="ListBullet"/>
      </w:pPr>
      <w:r>
        <w:t>Residual = Actual - Explained. Real and informative, not an error to eliminate.</w:t>
      </w:r>
    </w:p>
    <w:p>
      <w:r>
        <w:t>Sign convention (a real source of bugs if missed): Delta/Vega/Gamma are direct dV/dx, so P&amp;L = +sensitivity x change. DV01/CS01 were defined as 'loss for a 1bp RISE', so their P&amp;L needs a sign flip: P&amp;L = -DV01 x change_bp.</w:t>
      </w:r>
    </w:p>
    <w:p>
      <w:r>
        <w:t>Why residual exists: no bond convexity (main structural source); cross-terms between risk factors (e.g. an option's Delta depends on vol); option Rho not modeled. Theta/time-decay is NOT a source here, because Module 4's convention holds AS_OF_DATE fixed in both Actual and Explained calculations.</w:t>
      </w:r>
    </w:p>
    <w:p>
      <w:r>
        <w:t>Real result: on the worst historical day (2026-08-28, a genuine curve-flattening move: UST-2Y +14bp vs UST-30Y +3bp), Actual P&amp;L was -$819,533, Explained -$213,588 (26.1%), Residual -$605,945 - a large residual explained by that day's unusually large, non-parallel move, not a modelling error.</w:t>
      </w:r>
    </w:p>
    <w:p>
      <w:pPr>
        <w:pStyle w:val="Heading2"/>
      </w:pPr>
      <w:r>
        <w:t>Stress Testing</w:t>
      </w:r>
    </w:p>
    <w:p>
      <w:r>
        <w:t>Stress testing vs. VaR: VaR draws statistically from history; stress testing applies a deliberately chosen scenario with no probability attached. Historical stress replays a real past crisis; hypothetical (used here) is analyst-constructed. Single-factor isolates one driver; combined moves several at once.</w:t>
      </w:r>
    </w:p>
    <w:p>
      <w:r>
        <w:t>Scenarios stored in config/stress_scenarios.json (human-readable %/bp/vol-point units), reusing the exact same shock mechanism as Module 4's historical scenarios.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Type</w:t>
            </w:r>
          </w:p>
        </w:tc>
        <w:tc>
          <w:tcPr>
            <w:tcW w:type="dxa" w:w="2880"/>
          </w:tcPr>
          <w:p>
            <w:r>
              <w:rPr>
                <w:b/>
              </w:rPr>
              <w:t>Shock</w:t>
            </w:r>
          </w:p>
        </w:tc>
      </w:tr>
      <w:tr>
        <w:tc>
          <w:tcPr>
            <w:tcW w:type="dxa" w:w="2880"/>
          </w:tcPr>
          <w:p>
            <w:r>
              <w:t>Equity Selloff</w:t>
            </w:r>
          </w:p>
        </w:tc>
        <w:tc>
          <w:tcPr>
            <w:tcW w:type="dxa" w:w="2880"/>
          </w:tcPr>
          <w:p>
            <w:r>
              <w:t>Single-factor</w:t>
            </w:r>
          </w:p>
        </w:tc>
        <w:tc>
          <w:tcPr>
            <w:tcW w:type="dxa" w:w="2880"/>
          </w:tcPr>
          <w:p>
            <w:r>
              <w:t>-15% equities</w:t>
            </w:r>
          </w:p>
        </w:tc>
      </w:tr>
      <w:tr>
        <w:tc>
          <w:tcPr>
            <w:tcW w:type="dxa" w:w="2880"/>
          </w:tcPr>
          <w:p>
            <w:r>
              <w:t>Rapid Rate Increase</w:t>
            </w:r>
          </w:p>
        </w:tc>
        <w:tc>
          <w:tcPr>
            <w:tcW w:type="dxa" w:w="2880"/>
          </w:tcPr>
          <w:p>
            <w:r>
              <w:t>Single-factor</w:t>
            </w:r>
          </w:p>
        </w:tc>
        <w:tc>
          <w:tcPr>
            <w:tcW w:type="dxa" w:w="2880"/>
          </w:tcPr>
          <w:p>
            <w:r>
              <w:t>+150bp parallel yield shift</w:t>
            </w:r>
          </w:p>
        </w:tc>
      </w:tr>
      <w:tr>
        <w:tc>
          <w:tcPr>
            <w:tcW w:type="dxa" w:w="2880"/>
          </w:tcPr>
          <w:p>
            <w:r>
              <w:t>Credit Spread Widening</w:t>
            </w:r>
          </w:p>
        </w:tc>
        <w:tc>
          <w:tcPr>
            <w:tcW w:type="dxa" w:w="2880"/>
          </w:tcPr>
          <w:p>
            <w:r>
              <w:t>Single-factor</w:t>
            </w:r>
          </w:p>
        </w:tc>
        <w:tc>
          <w:tcPr>
            <w:tcW w:type="dxa" w:w="2880"/>
          </w:tcPr>
          <w:p>
            <w:r>
              <w:t>+100bp corporate spreads</w:t>
            </w:r>
          </w:p>
        </w:tc>
      </w:tr>
      <w:tr>
        <w:tc>
          <w:tcPr>
            <w:tcW w:type="dxa" w:w="2880"/>
          </w:tcPr>
          <w:p>
            <w:r>
              <w:t>Combined Severe Market Stress</w:t>
            </w:r>
          </w:p>
        </w:tc>
        <w:tc>
          <w:tcPr>
            <w:tcW w:type="dxa" w:w="2880"/>
          </w:tcPr>
          <w:p>
            <w:r>
              <w:t>Combined</w:t>
            </w:r>
          </w:p>
        </w:tc>
        <w:tc>
          <w:tcPr>
            <w:tcW w:type="dxa" w:w="2880"/>
          </w:tcPr>
          <w:p>
            <w:r>
              <w:t>-25% equity, +125bp yields, +200bp spreads, +20 vol points</w:t>
            </w:r>
          </w:p>
        </w:tc>
      </w:tr>
    </w:tbl>
    <w:p/>
    <w:p>
      <w:r>
        <w:t>All predictions (net-long book -&gt; loss in every scenario) were confirmed. JPM-CB-10Y and JPM-CB-3Y (the deliberately concentrated positions) topped the contributor list in every rate/credit scenario. Combined stress loss: -$9,287,968, exceeding every single-factor scenario as expected.</w:t>
      </w:r>
    </w:p>
    <w:p>
      <w:pPr>
        <w:pStyle w:val="Heading1"/>
      </w:pPr>
      <w:r>
        <w:t>Module 7 — Risk Limits, Controls &amp; Breach Investigation</w:t>
      </w:r>
    </w:p>
    <w:p>
      <w:pPr>
        <w:pStyle w:val="Heading2"/>
      </w:pPr>
      <w:r>
        <w:t>Limits</w:t>
      </w:r>
    </w:p>
    <w:p>
      <w:r>
        <w:t>Risk metric -&gt; Limit (pre-approved max) -&gt; Utilization (actual/limit) -&gt; Warning threshold (80%) -&gt; Breach (&gt;=100%). Status: GREEN (&lt;80%), AMBER (80-100%), RED (&gt;=100%). Limits stored in config/risk_limits.json. The JPM issuer concentration limit ($35M) was deliberately breached by the real $41.7M exposure engineered in Module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Scope</w:t>
            </w:r>
          </w:p>
        </w:tc>
        <w:tc>
          <w:tcPr>
            <w:tcW w:type="dxa" w:w="2880"/>
          </w:tcPr>
          <w:p>
            <w:r>
              <w:rPr>
                <w:b/>
              </w:rPr>
              <w:t>Status</w:t>
            </w:r>
          </w:p>
        </w:tc>
      </w:tr>
      <w:tr>
        <w:tc>
          <w:tcPr>
            <w:tcW w:type="dxa" w:w="2880"/>
          </w:tcPr>
          <w:p>
            <w:r>
              <w:t>99% VaR</w:t>
            </w:r>
          </w:p>
        </w:tc>
        <w:tc>
          <w:tcPr>
            <w:tcW w:type="dxa" w:w="2880"/>
          </w:tcPr>
          <w:p>
            <w:r>
              <w:t>Portfolio</w:t>
            </w:r>
          </w:p>
        </w:tc>
        <w:tc>
          <w:tcPr>
            <w:tcW w:type="dxa" w:w="2880"/>
          </w:tcPr>
          <w:p>
            <w:r>
              <w:t>GREEN (74.6%)</w:t>
            </w:r>
          </w:p>
        </w:tc>
      </w:tr>
      <w:tr>
        <w:tc>
          <w:tcPr>
            <w:tcW w:type="dxa" w:w="2880"/>
          </w:tcPr>
          <w:p>
            <w:r>
              <w:t>Stress Loss (Combined)</w:t>
            </w:r>
          </w:p>
        </w:tc>
        <w:tc>
          <w:tcPr>
            <w:tcW w:type="dxa" w:w="2880"/>
          </w:tcPr>
          <w:p>
            <w:r>
              <w:t>Portfolio</w:t>
            </w:r>
          </w:p>
        </w:tc>
        <w:tc>
          <w:tcPr>
            <w:tcW w:type="dxa" w:w="2880"/>
          </w:tcPr>
          <w:p>
            <w:r>
              <w:t>AMBER (92.9%)</w:t>
            </w:r>
          </w:p>
        </w:tc>
      </w:tr>
      <w:tr>
        <w:tc>
          <w:tcPr>
            <w:tcW w:type="dxa" w:w="2880"/>
          </w:tcPr>
          <w:p>
            <w:r>
              <w:t>DV01</w:t>
            </w:r>
          </w:p>
        </w:tc>
        <w:tc>
          <w:tcPr>
            <w:tcW w:type="dxa" w:w="2880"/>
          </w:tcPr>
          <w:p>
            <w:r>
              <w:t>Fixed Income Desk</w:t>
            </w:r>
          </w:p>
        </w:tc>
        <w:tc>
          <w:tcPr>
            <w:tcW w:type="dxa" w:w="2880"/>
          </w:tcPr>
          <w:p>
            <w:r>
              <w:t>GREEN (69.7%)</w:t>
            </w:r>
          </w:p>
        </w:tc>
      </w:tr>
      <w:tr>
        <w:tc>
          <w:tcPr>
            <w:tcW w:type="dxa" w:w="2880"/>
          </w:tcPr>
          <w:p>
            <w:r>
              <w:t>CS01</w:t>
            </w:r>
          </w:p>
        </w:tc>
        <w:tc>
          <w:tcPr>
            <w:tcW w:type="dxa" w:w="2880"/>
          </w:tcPr>
          <w:p>
            <w:r>
              <w:t>Fixed Income Desk</w:t>
            </w:r>
          </w:p>
        </w:tc>
        <w:tc>
          <w:tcPr>
            <w:tcW w:type="dxa" w:w="2880"/>
          </w:tcPr>
          <w:p>
            <w:r>
              <w:t>AMBER (85.6%)</w:t>
            </w:r>
          </w:p>
        </w:tc>
      </w:tr>
      <w:tr>
        <w:tc>
          <w:tcPr>
            <w:tcW w:type="dxa" w:w="2880"/>
          </w:tcPr>
          <w:p>
            <w:r>
              <w:t>Issuer Concentration</w:t>
            </w:r>
          </w:p>
        </w:tc>
        <w:tc>
          <w:tcPr>
            <w:tcW w:type="dxa" w:w="2880"/>
          </w:tcPr>
          <w:p>
            <w:r>
              <w:t>JPMorgan Chase &amp; Co</w:t>
            </w:r>
          </w:p>
        </w:tc>
        <w:tc>
          <w:tcPr>
            <w:tcW w:type="dxa" w:w="2880"/>
          </w:tcPr>
          <w:p>
            <w:r>
              <w:t>RED (119.3%)</w:t>
            </w:r>
          </w:p>
        </w:tc>
      </w:tr>
    </w:tbl>
    <w:p/>
    <w:p>
      <w:pPr>
        <w:pStyle w:val="Heading2"/>
      </w:pPr>
      <w:r>
        <w:t>Data Quality / Reconciliation</w:t>
      </w:r>
    </w:p>
    <w:p>
      <w:r>
        <w:t>A sudden risk change may be bad data, not real risk: a stale feed shows zero change (understates risk); a duplicate position double-counts exposure; one bad tick can swing valuation with no real market event behind it.</w:t>
      </w:r>
    </w:p>
    <w:p>
      <w:pPr>
        <w:pStyle w:val="ListBullet"/>
      </w:pPr>
      <w:r>
        <w:t>Row-level controls (duplicates, missing fields, invalid mappings, missing/stale market data, outliers, position-count recon) - demonstrated on a separate in-memory demo dataset with injected issues; real files are never touched.</w:t>
      </w:r>
    </w:p>
    <w:p>
      <w:pPr>
        <w:pStyle w:val="ListBullet"/>
      </w:pPr>
      <w:r>
        <w:t>Aggregate controls (market-value recon, P&amp;L recon) require successful valuation, so demonstrated on the real, clean portfolio: fresh recompute vs. persisted total; bottom-up vs. top-down P&amp;L.</w:t>
      </w:r>
    </w:p>
    <w:p>
      <w:pPr>
        <w:pStyle w:val="Heading2"/>
      </w:pPr>
      <w:r>
        <w:t>Breach Investigation workflow</w:t>
      </w:r>
    </w:p>
    <w:p>
      <w:pPr>
        <w:ind w:left="360"/>
      </w:pPr>
      <w:r>
        <w:rPr>
          <w:rFonts w:ascii="Consolas" w:hAnsi="Consolas"/>
          <w:sz w:val="18"/>
        </w:rPr>
        <w:t>Breach detected -&gt; Data Quality -&gt; Reconciliation -&gt; Prior vs Current Exposure</w:t>
        <w:br/>
        <w:t xml:space="preserve">  -&gt; Largest Contributors -&gt; Market Drivers -&gt; Preliminary Conclusion</w:t>
      </w:r>
    </w:p>
    <w:p>
      <w:r>
        <w:t>Real conclusion for the JPM breach: Data Quality PASS, Reconciliation PASS, exposure essentially flat day-over-day (+0.22%, positions unchanged), so this is a STRUCTURAL concentration (position sizing in the Credit-Concentrated book), not a data issue or a market spike - confirmed by the market driver check showing JPM's credit spread actually TIGHTENED 1bp that day.</w:t>
      </w:r>
    </w:p>
    <w:p>
      <w:r>
        <w:t>More formal in a real bank: independent Market Risk investigating (not the desk), real trade history instead of a same-position proxy, a formal breach log with SLA and sign-off, a documented limit waiver process, automated alerting with an audit trail, and possible regulatory reporting.</w:t>
      </w:r>
    </w:p>
    <w:p>
      <w:pPr>
        <w:pStyle w:val="Heading1"/>
      </w:pPr>
      <w:r>
        <w:t>Module 8 — Educational FRTB Mapping</w:t>
      </w:r>
    </w:p>
    <w:p>
      <w:r>
        <w:t>DISCLAIMER (restated here as in the code): this is an educational mapping only. No risk weights, correlations, correlation scenarios, DRC, RRAO, or capital aggregation are implemented, and no capital number - official or otherwise - is produced anywhere in this module.</w:t>
      </w:r>
    </w:p>
    <w:p>
      <w:pPr>
        <w:pStyle w:val="Heading2"/>
      </w:pPr>
      <w:r>
        <w:t>Key concepts</w:t>
      </w:r>
    </w:p>
    <w:p>
      <w:pPr>
        <w:pStyle w:val="ListBullet"/>
      </w:pPr>
      <w:r>
        <w:t>FRTB exists because Basel 2.5's VaR-based capital understated tail risk and allowed trading/banking book capital arbitrage.</w:t>
      </w:r>
    </w:p>
    <w:p>
      <w:pPr>
        <w:pStyle w:val="ListBullet"/>
      </w:pPr>
      <w:r>
        <w:t>Trading book (market risk capital, marked daily) vs Banking book (credit risk capital, held to maturity).</w:t>
      </w:r>
    </w:p>
    <w:p>
      <w:pPr>
        <w:pStyle w:val="ListBullet"/>
      </w:pPr>
      <w:r>
        <w:t>Standardized Approach (SA): prescribed formula, mandatory floor even at IMA banks. Internal Models Approach (IMA): the bank's own model, needs per-desk approval and ongoing testing.</w:t>
      </w:r>
    </w:p>
    <w:p>
      <w:pPr>
        <w:pStyle w:val="ListBullet"/>
      </w:pPr>
      <w:r>
        <w:t>Major risk classes: GIRR, Credit Spread Risk, Equity Risk, Commodity Risk, FX Risk.</w:t>
      </w:r>
    </w:p>
    <w:p>
      <w:pPr>
        <w:pStyle w:val="ListBullet"/>
      </w:pPr>
      <w:r>
        <w:t>Sensitivities-Based Method (SBM): Delta/Vega/Curvature per risk class with regulator-prescribed weights/correlations - conceptually Module 5, with the bank's numbers replaced by regulatory ones.</w:t>
      </w:r>
    </w:p>
    <w:p>
      <w:pPr>
        <w:pStyle w:val="ListBullet"/>
      </w:pPr>
      <w:r>
        <w:t>Curvature is the regulatory cousin of Gamma - the nonlinear part Delta misses.</w:t>
      </w:r>
    </w:p>
    <w:p>
      <w:pPr>
        <w:pStyle w:val="ListBullet"/>
      </w:pPr>
      <w:r>
        <w:t>Default Risk Charge (DRC): separate jump-to-default charge - the same 'market spread risk vs actual default risk' distinction flagged when CS01 was built.</w:t>
      </w:r>
    </w:p>
    <w:p>
      <w:pPr>
        <w:pStyle w:val="ListBullet"/>
      </w:pPr>
      <w:r>
        <w:t>Residual Risk Add-On (RRAO): backstop for exotic features - zero for our book (no exotics).</w:t>
      </w:r>
    </w:p>
    <w:p>
      <w:pPr>
        <w:pStyle w:val="ListBullet"/>
      </w:pPr>
      <w:r>
        <w:t>FRTB Expected Shortfall: 97.5% confidence, multiple liquidity horizons (10-120 days), stressed calibration - our Module 4 ES is a simplified, single-horizon, unstressed version of the same idea.</w:t>
      </w:r>
    </w:p>
    <w:p>
      <w:pPr>
        <w:pStyle w:val="ListBullet"/>
      </w:pPr>
      <w:r>
        <w:t>P&amp;L Attribution Test: a per-desk eligibility test comparing risk-model P&amp;L to actual P&amp;L - conceptually identical to Module 6's Actual/Explained/Residual, with a hard pass/fail consequence attached.</w:t>
      </w:r>
    </w:p>
    <w:p>
      <w:pPr>
        <w:pStyle w:val="Heading2"/>
      </w:pPr>
      <w:r>
        <w:t>Mapping result</w:t>
      </w:r>
    </w:p>
    <w:p>
      <w:r>
        <w:t>All 40 positions mapped to 62 risk-class rows (a corp bond produces 2 rows: GIRR + Credit Spread Risk; an option produces 3: Delta/Vega/Curvature, all under Equity Risk). GIRR=18 rows, Credit Spread Risk=10, Equity Risk=28, FX Risk=6.</w:t>
      </w:r>
    </w:p>
    <w:p>
      <w:pPr>
        <w:pStyle w:val="Heading1"/>
      </w:pPr>
      <w:r>
        <w:t>Module 9 — Data Platform: Database, SQL, EOD Pipeline, Lineage</w:t>
      </w:r>
    </w:p>
    <w:p>
      <w:pPr>
        <w:pStyle w:val="Heading2"/>
      </w:pPr>
      <w:r>
        <w:t>Database design principle</w:t>
      </w:r>
    </w:p>
    <w:p>
      <w:r>
        <w:t>Deliberately not over-normalized: results tables carry a redundant as_of_date for query simplicity; risk_results is a generic scalar metric store (scope_type, scope_value, metric, value) rather than one table per metric, so VaR, ES, stress totals, DV01/CS01 aggregates, and issuer concentration all share one shape; control_results.details uses JSONB since exception shapes genuinely vary by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Type</w:t>
            </w:r>
          </w:p>
        </w:tc>
      </w:tr>
      <w:tr>
        <w:tc>
          <w:tcPr>
            <w:tcW w:type="dxa" w:w="4320"/>
          </w:tcPr>
          <w:p>
            <w:r>
              <w:t>desks, books, issuers, instruments</w:t>
            </w:r>
          </w:p>
        </w:tc>
        <w:tc>
          <w:tcPr>
            <w:tcW w:type="dxa" w:w="4320"/>
          </w:tcPr>
          <w:p>
            <w:r>
              <w:t>Reference</w:t>
            </w:r>
          </w:p>
        </w:tc>
      </w:tr>
      <w:tr>
        <w:tc>
          <w:tcPr>
            <w:tcW w:type="dxa" w:w="4320"/>
          </w:tcPr>
          <w:p>
            <w:r>
              <w:t>positions, market_data</w:t>
            </w:r>
          </w:p>
        </w:tc>
        <w:tc>
          <w:tcPr>
            <w:tcW w:type="dxa" w:w="4320"/>
          </w:tcPr>
          <w:p>
            <w:r>
              <w:t>Source</w:t>
            </w:r>
          </w:p>
        </w:tc>
      </w:tr>
      <w:tr>
        <w:tc>
          <w:tcPr>
            <w:tcW w:type="dxa" w:w="4320"/>
          </w:tcPr>
          <w:p>
            <w:r>
              <w:t>position_valuations, sensitivities, risk_results, pnl_attribution, stress_results, frtb_mapping</w:t>
            </w:r>
          </w:p>
        </w:tc>
        <w:tc>
          <w:tcPr>
            <w:tcW w:type="dxa" w:w="4320"/>
          </w:tcPr>
          <w:p>
            <w:r>
              <w:t>Derived</w:t>
            </w:r>
          </w:p>
        </w:tc>
      </w:tr>
      <w:tr>
        <w:tc>
          <w:tcPr>
            <w:tcW w:type="dxa" w:w="4320"/>
          </w:tcPr>
          <w:p>
            <w:r>
              <w:t>risk_limits</w:t>
            </w:r>
          </w:p>
        </w:tc>
        <w:tc>
          <w:tcPr>
            <w:tcW w:type="dxa" w:w="4320"/>
          </w:tcPr>
          <w:p>
            <w:r>
              <w:t>Config</w:t>
            </w:r>
          </w:p>
        </w:tc>
      </w:tr>
      <w:tr>
        <w:tc>
          <w:tcPr>
            <w:tcW w:type="dxa" w:w="4320"/>
          </w:tcPr>
          <w:p>
            <w:r>
              <w:t>control_results</w:t>
            </w:r>
          </w:p>
        </w:tc>
        <w:tc>
          <w:tcPr>
            <w:tcW w:type="dxa" w:w="4320"/>
          </w:tcPr>
          <w:p>
            <w:r>
              <w:t>Control</w:t>
            </w:r>
          </w:p>
        </w:tc>
      </w:tr>
    </w:tbl>
    <w:p/>
    <w:p>
      <w:pPr>
        <w:pStyle w:val="Heading2"/>
      </w:pPr>
      <w:r>
        <w:t>EOD Pipeline ordering</w:t>
      </w:r>
    </w:p>
    <w:p>
      <w:pPr>
        <w:ind w:left="360"/>
      </w:pPr>
      <w:r>
        <w:rPr>
          <w:rFonts w:ascii="Consolas" w:hAnsi="Consolas"/>
          <w:sz w:val="18"/>
        </w:rPr>
        <w:t>Validation -&gt; Valuation -&gt; Sensitivities -&gt; VaR/ES -&gt; P&amp;L Attribution</w:t>
        <w:br/>
        <w:t xml:space="preserve">  -&gt; Stress Testing -&gt; Limits -&gt; Controls -&gt; Persist</w:t>
      </w:r>
    </w:p>
    <w:p>
      <w:r>
        <w:t>Basic structural validation runs FIRST (garbage positions poison every downstream number) and HALTS the pipeline on failure. Full reconciliation controls run LAST, right before persisting, since they can only be checked once valuation/attribution have produced numbers to reconcile against. A breach/failed-control does NOT halt the pipeline - it's recorded and persisted as a flag, so it's visible rather than silently swallowed. This is a BATCH (once-per-day) pipeline, not real-time.</w:t>
      </w:r>
    </w:p>
    <w:p>
      <w:pPr>
        <w:pStyle w:val="Heading2"/>
      </w:pPr>
      <w:r>
        <w:t>Lineage example: 99% VaR</w:t>
      </w:r>
    </w:p>
    <w:p>
      <w:pPr>
        <w:ind w:left="360"/>
      </w:pPr>
      <w:r>
        <w:rPr>
          <w:rFonts w:ascii="Consolas" w:hAnsi="Consolas"/>
          <w:sz w:val="18"/>
        </w:rPr>
        <w:t>Yahoo/FRED/synthetic -&gt; raw CSVs -&gt; normalized levels+changes -&gt;</w:t>
        <w:br/>
        <w:t xml:space="preserve">  472 historical scenarios (full revaluation) -&gt; historical_var() -&gt; $559,377.15 -&gt;</w:t>
        <w:br/>
        <w:t xml:space="preserve">  risk_results row (Portfolio/ALL/'Historical VaR 99%') -&gt; joined against risk_limits at query time</w:t>
        <w:br/>
        <w:t xml:space="preserve">  -&gt; (future) API endpoint -&gt; dashboard tile</w:t>
      </w:r>
    </w:p>
    <w:p>
      <w:pPr>
        <w:pStyle w:val="Heading2"/>
      </w:pPr>
      <w:r>
        <w:t>Two real bugs found while building this module</w:t>
      </w:r>
    </w:p>
    <w:p>
      <w:pPr>
        <w:pStyle w:val="ListBullet"/>
      </w:pPr>
      <w:r>
        <w:t>psycopg2 treats any literal '%' in SQL as its own substitution marker whenever ANY params object is passed, even an empty one - broke a query comparing against 'VaR 99%'. Fixed at the query() helper boundary.</w:t>
      </w:r>
    </w:p>
    <w:p>
      <w:pPr>
        <w:pStyle w:val="ListBullet"/>
      </w:pPr>
      <w:r>
        <w:t>pandas' df.where(pd.notnull(df), None) does not reliably convert NaN to None on float64 columns - NaN was landing in Postgres as the literal numeric 'NaN' (not NULL), so 'IS NOT NULL' silently failed to filter it. Fixed by sanitizing each value at the actual insert boundary.</w:t>
      </w:r>
    </w:p>
    <w:p>
      <w:pPr>
        <w:pStyle w:val="Heading1"/>
      </w:pPr>
      <w:r>
        <w:t>Module 10 — API and Dashboard</w:t>
      </w:r>
    </w:p>
    <w:p>
      <w:pPr>
        <w:pStyle w:val="Heading2"/>
      </w:pPr>
      <w:r>
        <w:t>Why an API separates the layers</w:t>
      </w:r>
    </w:p>
    <w:p>
      <w:r>
        <w:t>The risk engine (Postgres + calculation logic) and the presentation layer (dashboard, future consumers) are different concerns with different lifecycles. An API is one stable, versioned contract between them: the dashboard never needs DB credentials or SQL knowledge, the engine can change internals without breaking consumers, and future consumers reuse the same endpoints.</w:t>
      </w:r>
    </w:p>
    <w:p>
      <w:pPr>
        <w:pStyle w:val="Heading2"/>
      </w:pPr>
      <w:r>
        <w:t>API endpoints (FastAPI, no authentication - out of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Purpose</w:t>
            </w:r>
          </w:p>
        </w:tc>
        <w:tc>
          <w:tcPr>
            <w:tcW w:type="dxa" w:w="2880"/>
          </w:tcPr>
          <w:p>
            <w:r>
              <w:rPr>
                <w:b/>
              </w:rPr>
              <w:t>Source</w:t>
            </w:r>
          </w:p>
        </w:tc>
      </w:tr>
      <w:tr>
        <w:tc>
          <w:tcPr>
            <w:tcW w:type="dxa" w:w="2880"/>
          </w:tcPr>
          <w:p>
            <w:r>
              <w:t>/positions</w:t>
            </w:r>
          </w:p>
        </w:tc>
        <w:tc>
          <w:tcPr>
            <w:tcW w:type="dxa" w:w="2880"/>
          </w:tcPr>
          <w:p>
            <w:r>
              <w:t>Position blotter, filterable</w:t>
            </w:r>
          </w:p>
        </w:tc>
        <w:tc>
          <w:tcPr>
            <w:tcW w:type="dxa" w:w="2880"/>
          </w:tcPr>
          <w:p>
            <w:r>
              <w:t>positions JOIN books/desks/instruments</w:t>
            </w:r>
          </w:p>
        </w:tc>
      </w:tr>
      <w:tr>
        <w:tc>
          <w:tcPr>
            <w:tcW w:type="dxa" w:w="2880"/>
          </w:tcPr>
          <w:p>
            <w:r>
              <w:t>/risk/summary</w:t>
            </w:r>
          </w:p>
        </w:tc>
        <w:tc>
          <w:tcPr>
            <w:tcW w:type="dxa" w:w="2880"/>
          </w:tcPr>
          <w:p>
            <w:r>
              <w:t>Executive tiles</w:t>
            </w:r>
          </w:p>
        </w:tc>
        <w:tc>
          <w:tcPr>
            <w:tcW w:type="dxa" w:w="2880"/>
          </w:tcPr>
          <w:p>
            <w:r>
              <w:t>position_valuations, risk_results, pnl_attribution, risk_limits</w:t>
            </w:r>
          </w:p>
        </w:tc>
      </w:tr>
      <w:tr>
        <w:tc>
          <w:tcPr>
            <w:tcW w:type="dxa" w:w="2880"/>
          </w:tcPr>
          <w:p>
            <w:r>
              <w:t>/risk/var</w:t>
            </w:r>
          </w:p>
        </w:tc>
        <w:tc>
          <w:tcPr>
            <w:tcW w:type="dxa" w:w="2880"/>
          </w:tcPr>
          <w:p>
            <w:r>
              <w:t>VaR/ES at all confidence levels</w:t>
            </w:r>
          </w:p>
        </w:tc>
        <w:tc>
          <w:tcPr>
            <w:tcW w:type="dxa" w:w="2880"/>
          </w:tcPr>
          <w:p>
            <w:r>
              <w:t>risk_results</w:t>
            </w:r>
          </w:p>
        </w:tc>
      </w:tr>
      <w:tr>
        <w:tc>
          <w:tcPr>
            <w:tcW w:type="dxa" w:w="2880"/>
          </w:tcPr>
          <w:p>
            <w:r>
              <w:t>/risk/var/history</w:t>
            </w:r>
          </w:p>
        </w:tc>
        <w:tc>
          <w:tcPr>
            <w:tcW w:type="dxa" w:w="2880"/>
          </w:tcPr>
          <w:p>
            <w:r>
              <w:t>Rolling 60-day VaR trend</w:t>
            </w:r>
          </w:p>
        </w:tc>
        <w:tc>
          <w:tcPr>
            <w:tcW w:type="dxa" w:w="2880"/>
          </w:tcPr>
          <w:p>
            <w:r>
              <w:t>scenario_pnls.csv (the one non-DB endpoint, noted explicitly)</w:t>
            </w:r>
          </w:p>
        </w:tc>
      </w:tr>
      <w:tr>
        <w:tc>
          <w:tcPr>
            <w:tcW w:type="dxa" w:w="2880"/>
          </w:tcPr>
          <w:p>
            <w:r>
              <w:t>/risk/sensitivities</w:t>
            </w:r>
          </w:p>
        </w:tc>
        <w:tc>
          <w:tcPr>
            <w:tcW w:type="dxa" w:w="2880"/>
          </w:tcPr>
          <w:p>
            <w:r>
              <w:t>Greeks/DV01/CS01, optionally grouped</w:t>
            </w:r>
          </w:p>
        </w:tc>
        <w:tc>
          <w:tcPr>
            <w:tcW w:type="dxa" w:w="2880"/>
          </w:tcPr>
          <w:p>
            <w:r>
              <w:t>sensitivities JOIN positions</w:t>
            </w:r>
          </w:p>
        </w:tc>
      </w:tr>
      <w:tr>
        <w:tc>
          <w:tcPr>
            <w:tcW w:type="dxa" w:w="2880"/>
          </w:tcPr>
          <w:p>
            <w:r>
              <w:t>/risk/pnl</w:t>
            </w:r>
          </w:p>
        </w:tc>
        <w:tc>
          <w:tcPr>
            <w:tcW w:type="dxa" w:w="2880"/>
          </w:tcPr>
          <w:p>
            <w:r>
              <w:t>Latest attribution breakdown</w:t>
            </w:r>
          </w:p>
        </w:tc>
        <w:tc>
          <w:tcPr>
            <w:tcW w:type="dxa" w:w="2880"/>
          </w:tcPr>
          <w:p>
            <w:r>
              <w:t>pnl_attribution</w:t>
            </w:r>
          </w:p>
        </w:tc>
      </w:tr>
      <w:tr>
        <w:tc>
          <w:tcPr>
            <w:tcW w:type="dxa" w:w="2880"/>
          </w:tcPr>
          <w:p>
            <w:r>
              <w:t>/risk/stress</w:t>
            </w:r>
          </w:p>
        </w:tc>
        <w:tc>
          <w:tcPr>
            <w:tcW w:type="dxa" w:w="2880"/>
          </w:tcPr>
          <w:p>
            <w:r>
              <w:t>Stress results, optionally broken down</w:t>
            </w:r>
          </w:p>
        </w:tc>
        <w:tc>
          <w:tcPr>
            <w:tcW w:type="dxa" w:w="2880"/>
          </w:tcPr>
          <w:p>
            <w:r>
              <w:t>stress_results</w:t>
            </w:r>
          </w:p>
        </w:tc>
      </w:tr>
      <w:tr>
        <w:tc>
          <w:tcPr>
            <w:tcW w:type="dxa" w:w="2880"/>
          </w:tcPr>
          <w:p>
            <w:r>
              <w:t>/risk/limits</w:t>
            </w:r>
          </w:p>
        </w:tc>
        <w:tc>
          <w:tcPr>
            <w:tcW w:type="dxa" w:w="2880"/>
          </w:tcPr>
          <w:p>
            <w:r>
              <w:t>Limit status (computed at query time)</w:t>
            </w:r>
          </w:p>
        </w:tc>
        <w:tc>
          <w:tcPr>
            <w:tcW w:type="dxa" w:w="2880"/>
          </w:tcPr>
          <w:p>
            <w:r>
              <w:t>risk_limits JOIN risk_results</w:t>
            </w:r>
          </w:p>
        </w:tc>
      </w:tr>
      <w:tr>
        <w:tc>
          <w:tcPr>
            <w:tcW w:type="dxa" w:w="2880"/>
          </w:tcPr>
          <w:p>
            <w:r>
              <w:t>/controls</w:t>
            </w:r>
          </w:p>
        </w:tc>
        <w:tc>
          <w:tcPr>
            <w:tcW w:type="dxa" w:w="2880"/>
          </w:tcPr>
          <w:p>
            <w:r>
              <w:t>Data quality status</w:t>
            </w:r>
          </w:p>
        </w:tc>
        <w:tc>
          <w:tcPr>
            <w:tcW w:type="dxa" w:w="2880"/>
          </w:tcPr>
          <w:p>
            <w:r>
              <w:t>control_results</w:t>
            </w:r>
          </w:p>
        </w:tc>
      </w:tr>
      <w:tr>
        <w:tc>
          <w:tcPr>
            <w:tcW w:type="dxa" w:w="2880"/>
          </w:tcPr>
          <w:p>
            <w:r>
              <w:t>/risk/frtb</w:t>
            </w:r>
          </w:p>
        </w:tc>
        <w:tc>
          <w:tcPr>
            <w:tcW w:type="dxa" w:w="2880"/>
          </w:tcPr>
          <w:p>
            <w:r>
              <w:t>Educational FRTB mapping</w:t>
            </w:r>
          </w:p>
        </w:tc>
        <w:tc>
          <w:tcPr>
            <w:tcW w:type="dxa" w:w="2880"/>
          </w:tcPr>
          <w:p>
            <w:r>
              <w:t>frtb_mapping</w:t>
            </w:r>
          </w:p>
        </w:tc>
      </w:tr>
    </w:tbl>
    <w:p/>
    <w:p>
      <w:pPr>
        <w:pStyle w:val="Heading2"/>
      </w:pPr>
      <w:r>
        <w:t>Dashboard — page by page</w:t>
      </w:r>
    </w:p>
    <w:p>
      <w:pPr>
        <w:pStyle w:val="Heading3"/>
      </w:pPr>
      <w:r>
        <w:t>1. Executive Dashboard</w:t>
      </w:r>
    </w:p>
    <w:p>
      <w:r>
        <w:t>Audience: Senior Risk Manager</w:t>
      </w:r>
    </w:p>
    <w:p>
      <w:r>
        <w:t>Business question: Is the book healthy right now?</w:t>
      </w:r>
    </w:p>
    <w:p>
      <w:r>
        <w:t>7 headline tiles (Portfolio Value, 99% VaR, ES, Actual P&amp;L, Worst Stress Loss, Max Limit Utilization, Active Breaches), a rolling 60-day VaR trend line built from the 472 real historical scenarios, exposure by asset class (via the Combined Severe stress view), and a GREEN/AMBER/RED limit utilization bar chart.</w:t>
      </w:r>
    </w:p>
    <w:p>
      <w:pPr>
        <w:pStyle w:val="Heading3"/>
      </w:pPr>
      <w:r>
        <w:t>2. Risk Explorer</w:t>
      </w:r>
    </w:p>
    <w:p>
      <w:r>
        <w:t>Audience: Market Risk Analyst</w:t>
      </w:r>
    </w:p>
    <w:p>
      <w:r>
        <w:t>Business question: Where exactly is the risk concentrated?</w:t>
      </w:r>
    </w:p>
    <w:p>
      <w:r>
        <w:t>Three tabs: DV01/CS01 by desk (bar chart + table), sensitivities by asset class, and a filterable position-level Greeks table (filter by desk).</w:t>
      </w:r>
    </w:p>
    <w:p>
      <w:pPr>
        <w:pStyle w:val="Heading3"/>
      </w:pPr>
      <w:r>
        <w:t>3. P&amp;L &amp; Stress</w:t>
      </w:r>
    </w:p>
    <w:p>
      <w:r>
        <w:t>Audience: Analyst / Senior Risk Manager</w:t>
      </w:r>
    </w:p>
    <w:p>
      <w:r>
        <w:t>Business question: Why did we move, and how bad could it get?</w:t>
      </w:r>
    </w:p>
    <w:p>
      <w:r>
        <w:t>A P&amp;L attribution waterfall chart (Equity/Delta, Gamma, Vega, Rates, Credit, FX, Residual, summing exactly to the Actual P&amp;L total bar), a 4-scenario stress comparison bar chart, and a top-contributors-by-desk table for the worst scenario.</w:t>
      </w:r>
    </w:p>
    <w:p>
      <w:pPr>
        <w:pStyle w:val="Heading3"/>
      </w:pPr>
      <w:r>
        <w:t>4. Limits &amp; Breach Investigation</w:t>
      </w:r>
    </w:p>
    <w:p>
      <w:r>
        <w:t>Audience: Senior Risk Manager / Controls</w:t>
      </w:r>
    </w:p>
    <w:p>
      <w:r>
        <w:t>Business question: What's breached, and is it real?</w:t>
      </w:r>
    </w:p>
    <w:p>
      <w:r>
        <w:t>Every limit listed with a colored status badge and utilization; for any RED breach, an expandable panel that checks Data Quality status first, before pointing to the full breach_investigation.py workflow rather than duplicating its logic.</w:t>
      </w:r>
    </w:p>
    <w:p>
      <w:pPr>
        <w:pStyle w:val="Heading3"/>
      </w:pPr>
      <w:r>
        <w:t>5. Data Quality / Controls</w:t>
      </w:r>
    </w:p>
    <w:p>
      <w:r>
        <w:t>Audience: Business Analyst / Controls</w:t>
      </w:r>
    </w:p>
    <w:p>
      <w:r>
        <w:t>Business question: Can I trust today's numbers?</w:t>
      </w:r>
    </w:p>
    <w:p>
      <w:r>
        <w:t>A 'controls not passing' count tile, then every one of the 9 controls with status badge, severity, and expandable JSON detail (the same JSONB persisted in Postgres).</w:t>
      </w:r>
    </w:p>
    <w:p>
      <w:pPr>
        <w:pStyle w:val="Heading3"/>
      </w:pPr>
      <w:r>
        <w:t>6. FRTB Explorer</w:t>
      </w:r>
    </w:p>
    <w:p>
      <w:r>
        <w:t>Audience: Market Risk Analyst / Business Analyst</w:t>
      </w:r>
    </w:p>
    <w:p>
      <w:r>
        <w:t>Business question: How would each position map onto FRTB risk classes?</w:t>
      </w:r>
    </w:p>
    <w:p>
      <w:r>
        <w:t>A prominent educational-only disclaimer banner shown before any data, a filterable mapping table (position/instrument/risk class/risk factor/sensitivity type/value), and a row-count-by-risk-class chart labeled explicitly as 'not capital'.</w:t>
      </w:r>
    </w:p>
    <w:p>
      <w:r>
        <w:t>Every number on every dashboard page is sourced live from the FastAPI layer, which in turn only ever reads what the EOD pipeline persisted to Postgres - no dashboard-only or fabricated figures.</w:t>
      </w:r>
    </w:p>
    <w:p>
      <w:pPr>
        <w:pStyle w:val="Heading1"/>
      </w:pPr>
      <w:r>
        <w:t>Module 11 — Testing Framework and UAT</w:t>
      </w:r>
    </w:p>
    <w:p>
      <w:pPr>
        <w:pStyle w:val="Heading2"/>
      </w:pPr>
      <w:r>
        <w:t>Test type definitions</w:t>
      </w:r>
    </w:p>
    <w:p>
      <w:pPr>
        <w:pStyle w:val="ListBullet"/>
      </w:pPr>
      <w:r>
        <w:t>Unit test: one function in isolation with known inputs. Fast, pinpoints exactly what broke.</w:t>
      </w:r>
    </w:p>
    <w:p>
      <w:pPr>
        <w:pStyle w:val="ListBullet"/>
      </w:pPr>
      <w:r>
        <w:t>Integration test: multiple pieces working together (e.g. the full value_positions() pipeline against real data). Catches wiring/interface bugs.</w:t>
      </w:r>
    </w:p>
    <w:p>
      <w:pPr>
        <w:pStyle w:val="ListBullet"/>
      </w:pPr>
      <w:r>
        <w:t>Regression test: locks in a previously-verified behaviour (e.g. the JPM breach staying RED) so a future change can't silently break it.</w:t>
      </w:r>
    </w:p>
    <w:p>
      <w:pPr>
        <w:pStyle w:val="ListBullet"/>
      </w:pPr>
      <w:r>
        <w:t>UAT: a business user manually confirms the system as a whole is fit for purpose, using the real UI/API - not code, and answers a question no amount of passing pytest can answer alone.</w:t>
      </w:r>
    </w:p>
    <w:p>
      <w:pPr>
        <w:pStyle w:val="Heading2"/>
      </w:pPr>
      <w:r>
        <w:t>Automated test suite</w:t>
      </w:r>
    </w:p>
    <w:p>
      <w:r>
        <w:t>40 tests across 6 files (tests/), using pytest markers unit/integration/regression, running in under 0.2 seconds. Covers market value, VaR (matched to the Module 4 hand-worked example), Expected Shortfall, DV01, CS01, option Delta/Vega, stress testing, P&amp;L reconciliation, duplicate-position detection, missing market data, and limit breach detection - plus the explicitly requested property tests: ES &gt;= VaR, upward yields reduce a long bond's value, credit spread widening reduces a long corporate bond's value, and larger positions create proportionally larger exposure.</w:t>
      </w:r>
    </w:p>
    <w:p>
      <w:r>
        <w:t>A REAL bug was found and fixed by this suite: historical_var/historical_es computed k = ceil((1-confidence) x N) using raw floating-point arithmetic. Because 1-0.95 is not exactly 0.05 in floating point, cases where (1-confidence) x N should land exactly on an integer (e.g. 0.05 x 20 = 1.0) could round up to the wrong rank, silently selecting the second-worst scenario instead of the worst. It never surfaced in the real 472-scenario run (23.6/4.72 aren't integer boundaries) - fixed at the source by rounding before the ceiling.</w:t>
      </w:r>
    </w:p>
    <w:p>
      <w:pPr>
        <w:pStyle w:val="Heading2"/>
      </w:pPr>
      <w:r>
        <w:t>UAT — kept conceptually and physically separate from automated tests</w:t>
      </w:r>
    </w:p>
    <w:p>
      <w:r>
        <w:t>15 UAT cases (docs/UAT_cases.md), each with UAT ID, Requirement/Feature, Scenario, Precondition, Steps, Expected Result, and a blank Status field for the tester. Covers VaR, ES, sensitivities, P&amp;L attribution, stress, limits (both RED and AMBER), controls, dashboard drilldown, the API (including input validation), FRTB, and reconciliation.</w:t>
      </w:r>
    </w:p>
    <w:p>
      <w:r>
        <w:br w:type="page"/>
      </w:r>
    </w:p>
    <w:p>
      <w:pPr>
        <w:pStyle w:val="Heading1"/>
      </w:pPr>
      <w:r>
        <w:t>Appendix — File Reading Order</w:t>
      </w:r>
    </w:p>
    <w:p>
      <w:r>
        <w:t>Each file builds on the ones before it:</w:t>
      </w:r>
    </w:p>
    <w:p>
      <w:pPr>
        <w:pStyle w:val="ListBullet"/>
      </w:pPr>
      <w:r>
        <w:t>src/build_portfolio.py - data model</w:t>
      </w:r>
    </w:p>
    <w:p>
      <w:pPr>
        <w:pStyle w:val="ListBullet"/>
      </w:pPr>
      <w:r>
        <w:t>src/build_market_data.py - market data ingestion</w:t>
      </w:r>
    </w:p>
    <w:p>
      <w:pPr>
        <w:pStyle w:val="ListBullet"/>
      </w:pPr>
      <w:r>
        <w:t>src/valuation.py - core pricing functions, reused everywhere</w:t>
      </w:r>
    </w:p>
    <w:p>
      <w:pPr>
        <w:pStyle w:val="ListBullet"/>
      </w:pPr>
      <w:r>
        <w:t>src/var_es.py - Historical VaR/ES scenario engine</w:t>
      </w:r>
    </w:p>
    <w:p>
      <w:pPr>
        <w:pStyle w:val="ListBullet"/>
      </w:pPr>
      <w:r>
        <w:t>src/sensitivities.py - Greeks, DV01, CS01</w:t>
      </w:r>
    </w:p>
    <w:p>
      <w:pPr>
        <w:pStyle w:val="ListBullet"/>
      </w:pPr>
      <w:r>
        <w:t>src/pnl_attribution.py - Actual/Explained/Residual</w:t>
      </w:r>
    </w:p>
    <w:p>
      <w:pPr>
        <w:pStyle w:val="ListBullet"/>
      </w:pPr>
      <w:r>
        <w:t>src/stress_testing.py + config/stress_scenarios.json</w:t>
      </w:r>
    </w:p>
    <w:p>
      <w:pPr>
        <w:pStyle w:val="ListBullet"/>
      </w:pPr>
      <w:r>
        <w:t>src/risk_limits.py + config/risk_limits.json</w:t>
      </w:r>
    </w:p>
    <w:p>
      <w:pPr>
        <w:pStyle w:val="ListBullet"/>
      </w:pPr>
      <w:r>
        <w:t>src/data_quality.py - controls</w:t>
      </w:r>
    </w:p>
    <w:p>
      <w:pPr>
        <w:pStyle w:val="ListBullet"/>
      </w:pPr>
      <w:r>
        <w:t>src/breach_investigation.py - ties limits + controls together</w:t>
      </w:r>
    </w:p>
    <w:p>
      <w:pPr>
        <w:pStyle w:val="ListBullet"/>
      </w:pPr>
      <w:r>
        <w:t>src/frtb_mapping.py - educational mapping</w:t>
      </w:r>
    </w:p>
    <w:p>
      <w:pPr>
        <w:pStyle w:val="ListBullet"/>
      </w:pPr>
      <w:r>
        <w:t>sql/schema.sql - what gets persisted</w:t>
      </w:r>
    </w:p>
    <w:p>
      <w:pPr>
        <w:pStyle w:val="ListBullet"/>
      </w:pPr>
      <w:r>
        <w:t>src/run_eod_pipeline.py - orchestrates everything above</w:t>
      </w:r>
    </w:p>
    <w:p>
      <w:pPr>
        <w:pStyle w:val="ListBullet"/>
      </w:pPr>
      <w:r>
        <w:t>sql/queries.sql, src/api.py, src/dashboard.py</w:t>
      </w:r>
    </w:p>
    <w:p>
      <w:pPr>
        <w:pStyle w:val="ListBullet"/>
      </w:pPr>
      <w:r>
        <w:t>tests/conftest.py then test_*.py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