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Trading Book Risk &amp; Controls</w:t>
      </w:r>
    </w:p>
    <w:p>
      <w:r>
        <w:rPr>
          <w:b/>
          <w:sz w:val="32"/>
        </w:rPr>
        <w:t>Module 1 — Trading Book Data Model &amp; Synthetic Portfolio</w:t>
      </w:r>
    </w:p>
    <w:p>
      <w:r>
        <w:rPr>
          <w:i/>
        </w:rPr>
        <w:t>Business Analyst Design Documentation  |  Prepared as part of a self-directed Market Risk portfolio project</w:t>
      </w:r>
    </w:p>
    <w:p/>
    <w:p>
      <w:r>
        <w:t>This document captures the design reasoning, schema, synthetic data generation approach, validation logic, and knowledge checks produced while building Module 1 of a one-week Trading Book Risk &amp; Controls project. It is written in the style of business-analyst design documentation: concepts, requirements, an initial proposal, stakeholder-style revisions, the final agreed design, and the resulting implementation.</w:t>
      </w:r>
    </w:p>
    <w:p>
      <w:r>
        <w:br w:type="page"/>
      </w:r>
    </w:p>
    <w:p>
      <w:pPr>
        <w:pStyle w:val="Heading1"/>
      </w:pPr>
      <w:r>
        <w:t>1. Core Concepts in a Bank Trading / Risk Environment</w:t>
      </w:r>
    </w:p>
    <w:p>
      <w:pPr>
        <w:pStyle w:val="Heading3"/>
      </w:pPr>
      <w:r>
        <w:t>Trade</w:t>
      </w:r>
    </w:p>
    <w:p>
      <w:r>
        <w:t>A single, discrete transaction event — e.g. "bought 300 shares of JPM at $485.38 on 2026-07-01." It has an execution timestamp, a price, and a counterparty, and is immutable once booked (amendments create new records rather than editing history). Trades are the atomic unit of Front Office activity.</w:t>
      </w:r>
    </w:p>
    <w:p>
      <w:pPr>
        <w:pStyle w:val="Heading3"/>
      </w:pPr>
      <w:r>
        <w:t>Instrument</w:t>
      </w:r>
    </w:p>
    <w:p>
      <w:r>
        <w:t>The thing being traded, defined by its own static characteristics, independent of who traded it or when. "AAPL common stock" is one instrument. "AAPL Jan-2027 $500 Call" is a different instrument from the $550 Call — the strike is part of what defines it. Two different trades by two different desks in the same bond (same ISIN) reference the same instrument.</w:t>
      </w:r>
    </w:p>
    <w:p>
      <w:pPr>
        <w:pStyle w:val="Heading3"/>
      </w:pPr>
      <w:r>
        <w:t>Position</w:t>
      </w:r>
    </w:p>
    <w:p>
      <w:r>
        <w:t>The net holding in one instrument within one book, after aggregating (netting) all trades. If a book bought 300 shares on Monday and sold 100 on Tuesday, the position is 200 shares long — a single number that risk actually cares about. Risk, VaR, and limits are calculated on positions, not on the raw trade log.</w:t>
      </w:r>
    </w:p>
    <w:p>
      <w:pPr>
        <w:pStyle w:val="Heading3"/>
      </w:pPr>
      <w:r>
        <w:t>Trading book</w:t>
      </w:r>
    </w:p>
    <w:p>
      <w:r>
        <w:t>A ledger/sub-account within a desk where trades are booked for P&amp;L and risk aggregation purposes, often aligned to a strategy. It is the level at which limits are frequently set and P&amp;L is attributed.</w:t>
      </w:r>
    </w:p>
    <w:p>
      <w:pPr>
        <w:pStyle w:val="Heading3"/>
      </w:pPr>
      <w:r>
        <w:t>Trading desk</w:t>
      </w:r>
    </w:p>
    <w:p>
      <w:r>
        <w:t>An organisational unit of traders covering a related set of products (e.g. "Equities Desk", "Rates Desk"). A desk contains multiple books, and is the level senior risk reports usually roll up to.</w:t>
      </w:r>
    </w:p>
    <w:p>
      <w:pPr>
        <w:pStyle w:val="Heading3"/>
      </w:pPr>
      <w:r>
        <w:t>Issuer</w:t>
      </w:r>
    </w:p>
    <w:p>
      <w:r>
        <w:t>The legal entity that created (issued) a security — a company for a stock or corporate bond, a government for a government bond. FX has no issuer — a currency is not a claim on a legal entity's balance sheet the way a bond or stock is.</w:t>
      </w:r>
    </w:p>
    <w:p>
      <w:pPr>
        <w:pStyle w:val="Heading3"/>
      </w:pPr>
      <w:r>
        <w:t>Counterparty</w:t>
      </w:r>
    </w:p>
    <w:p>
      <w:r>
        <w:t>The entity on the other side of a trade (who you bought from / sold to). This drives counterparty credit risk and settlement risk, which is a different discipline from market risk and was deliberately kept out of this project's scope.</w:t>
      </w:r>
    </w:p>
    <w:p>
      <w:pPr>
        <w:pStyle w:val="Heading3"/>
      </w:pPr>
      <w:r>
        <w:t>Risk factor</w:t>
      </w:r>
    </w:p>
    <w:p>
      <w:r>
        <w:t>The specific market observable whose movement changes a position's value — e.g. "AAPL share price", "USD 10Y interest rate", "EUR/USD FX rate", "AAPL 500-strike implied volatility", "JPM 5Y credit spread". One instrument can depend on several risk factors (an equity option depends on the underlying price, implied vol, and interest rates). This mapping underpins VaR and sensitivities.</w:t>
      </w:r>
    </w:p>
    <w:p>
      <w:pPr>
        <w:pStyle w:val="Heading3"/>
      </w:pPr>
      <w:r>
        <w:t>Market value</w:t>
      </w:r>
    </w:p>
    <w:p>
      <w:r>
        <w:t>The current worth of a position, marked at today's market price: quantity x current market price (plus adjustments such as accrued interest on bonds). This is not an input — it is computed, and changes every day the market moves.</w:t>
      </w:r>
    </w:p>
    <w:p>
      <w:pPr>
        <w:pStyle w:val="Heading3"/>
      </w:pPr>
      <w:r>
        <w:t>Notional</w:t>
      </w:r>
    </w:p>
    <w:p>
      <w:r>
        <w:t>A reference amount used to size a contract or calculate cash flows — not the same as market value. For FX spot, notional is the currency amount exchanged. For a bond, notional is face value (paid back at maturity), not the price paid for it. For an option, notional is contract multiplier x quantity x underlying price (the exposure being leveraged onto) — very different from the premium actually paid.</w:t>
      </w:r>
    </w:p>
    <w:p>
      <w:pPr>
        <w:pStyle w:val="Heading1"/>
      </w:pPr>
      <w:r>
        <w:t>2. Entity Relationships</w:t>
      </w:r>
    </w:p>
    <w:p>
      <w:r>
        <w:t>The trading book data model is organised as a hierarchy, with one more complex many-to-many relationship at the bottom:</w:t>
      </w:r>
    </w:p>
    <w:p>
      <w:pPr>
        <w:spacing w:before="80" w:after="160"/>
        <w:ind w:left="360"/>
      </w:pPr>
      <w:r>
        <w:rPr>
          <w:rFonts w:ascii="Consolas" w:hAnsi="Consolas"/>
          <w:sz w:val="18"/>
        </w:rPr>
        <w:t>Desk (1) --&lt; (many) Book</w:t>
        <w:br/>
        <w:t>Book (1) --&lt; (many) Position</w:t>
        <w:br/>
        <w:t>Position (many) &gt;-- (1) Instrument</w:t>
        <w:br/>
        <w:t>Instrument (many) &gt;-- (0..1) Issuer          [0..1 because FX has none]</w:t>
        <w:br/>
        <w:t>Instrument (many) &gt;--&lt; (many) Risk Factor    [deferred to later modules]</w:t>
      </w:r>
    </w:p>
    <w:p>
      <w:pPr>
        <w:pStyle w:val="ListBullet"/>
      </w:pPr>
      <w:r>
        <w:t>One desk has many books; one book has many positions.</w:t>
      </w:r>
    </w:p>
    <w:p>
      <w:pPr>
        <w:pStyle w:val="ListBullet"/>
      </w:pPr>
      <w:r>
        <w:t>Many positions can reference the same instrument — this is why Instrument is its own reference entity rather than duplicated data on every position row.</w:t>
      </w:r>
    </w:p>
    <w:p>
      <w:pPr>
        <w:pStyle w:val="ListBullet"/>
      </w:pPr>
      <w:r>
        <w:t>Many instruments can share one issuer (a stock, a corporate bond, and an option on that stock can all point to the same issuer). FX instruments have no issuer link at all.</w:t>
      </w:r>
    </w:p>
    <w:p>
      <w:pPr>
        <w:pStyle w:val="ListBullet"/>
      </w:pPr>
      <w:r>
        <w:t>Instrument-to-risk-factor is many-to-many and structurally more complex than the others — deferred to the Market Data and Sensitivities modules rather than modelled now.</w:t>
      </w:r>
    </w:p>
    <w:p>
      <w:pPr>
        <w:pStyle w:val="Heading1"/>
      </w:pPr>
      <w:r>
        <w:t>3. Data Model Design Process</w:t>
      </w:r>
    </w:p>
    <w:p>
      <w:r>
        <w:t>The schema was developed iteratively, in the style of real requirements refinement: an initial proposal was made, reviewed, and revised before being locked in.</w:t>
      </w:r>
    </w:p>
    <w:p>
      <w:pPr>
        <w:pStyle w:val="Heading2"/>
      </w:pPr>
      <w:r>
        <w:t>3.1 Initial Proposal — Position Table (Draft)</w:t>
      </w:r>
    </w:p>
    <w:p>
      <w:r>
        <w:t>The first draft of the Position table modelled each row as if it were closer to a raw trade, including fields such as trade_date, direction, entry price, trade currency, counterparty_id and status. On review, this was inconsistent with the agreed decision that each row represents an already-netted position, not a raw trade.</w:t>
      </w:r>
    </w:p>
    <w:p>
      <w:pPr>
        <w:pStyle w:val="Heading2"/>
      </w:pPr>
      <w:r>
        <w:t>3.2 Requested Revisions &amp; Rationale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Field removed</w:t>
            </w:r>
          </w:p>
        </w:tc>
        <w:tc>
          <w:tcPr>
            <w:tcW w:type="dxa" w:w="4320"/>
          </w:tcPr>
          <w:p>
            <w:r>
              <w:rPr>
                <w:b/>
                <w:sz w:val="19"/>
              </w:rPr>
              <w:t>Reason</w:t>
            </w:r>
          </w:p>
        </w:tc>
      </w:tr>
      <w:tr>
        <w:tc>
          <w:tcPr>
            <w:tcW w:type="dxa" w:w="4320"/>
          </w:tcPr>
          <w:p>
            <w:r>
              <w:rPr>
                <w:sz w:val="19"/>
              </w:rPr>
              <w:t>trade_date</w:t>
            </w:r>
          </w:p>
        </w:tc>
        <w:tc>
          <w:tcPr>
            <w:tcW w:type="dxa" w:w="4320"/>
          </w:tcPr>
          <w:p>
            <w:r>
              <w:rPr>
                <w:sz w:val="19"/>
              </w:rPr>
              <w:t>If one position aggregates multiple underlying trades, there is not necessarily one meaningful trade date.</w:t>
            </w:r>
          </w:p>
        </w:tc>
      </w:tr>
      <w:tr>
        <w:tc>
          <w:tcPr>
            <w:tcW w:type="dxa" w:w="4320"/>
          </w:tcPr>
          <w:p>
            <w:r>
              <w:rPr>
                <w:sz w:val="19"/>
              </w:rPr>
              <w:t>execution price</w:t>
            </w:r>
          </w:p>
        </w:tc>
        <w:tc>
          <w:tcPr>
            <w:tcW w:type="dxa" w:w="4320"/>
          </w:tcPr>
          <w:p>
            <w:r>
              <w:rPr>
                <w:sz w:val="19"/>
              </w:rPr>
              <w:t>Same reasoning — a netted position has no single meaningful execution price; cost basis is a separate concern (see average_cost discussion below).</w:t>
            </w:r>
          </w:p>
        </w:tc>
      </w:tr>
      <w:tr>
        <w:tc>
          <w:tcPr>
            <w:tcW w:type="dxa" w:w="4320"/>
          </w:tcPr>
          <w:p>
            <w:r>
              <w:rPr>
                <w:sz w:val="19"/>
              </w:rPr>
              <w:t>direction</w:t>
            </w:r>
          </w:p>
        </w:tc>
        <w:tc>
          <w:tcPr>
            <w:tcW w:type="dxa" w:w="4320"/>
          </w:tcPr>
          <w:p>
            <w:r>
              <w:rPr>
                <w:sz w:val="19"/>
              </w:rPr>
              <w:t>Fully derivable from the sign of quantity; storing both risks the two disagreeing.</w:t>
            </w:r>
          </w:p>
        </w:tc>
      </w:tr>
      <w:tr>
        <w:tc>
          <w:tcPr>
            <w:tcW w:type="dxa" w:w="4320"/>
          </w:tcPr>
          <w:p>
            <w:r>
              <w:rPr>
                <w:sz w:val="19"/>
              </w:rPr>
              <w:t>trade_currency</w:t>
            </w:r>
          </w:p>
        </w:tc>
        <w:tc>
          <w:tcPr>
            <w:tcW w:type="dxa" w:w="4320"/>
          </w:tcPr>
          <w:p>
            <w:r>
              <w:rPr>
                <w:sz w:val="19"/>
              </w:rPr>
              <w:t>Duplicates the instrument's own currency field.</w:t>
            </w:r>
          </w:p>
        </w:tc>
      </w:tr>
      <w:tr>
        <w:tc>
          <w:tcPr>
            <w:tcW w:type="dxa" w:w="4320"/>
          </w:tcPr>
          <w:p>
            <w:r>
              <w:rPr>
                <w:sz w:val="19"/>
              </w:rPr>
              <w:t>counterparty_id</w:t>
            </w:r>
          </w:p>
        </w:tc>
        <w:tc>
          <w:tcPr>
            <w:tcW w:type="dxa" w:w="4320"/>
          </w:tcPr>
          <w:p>
            <w:r>
              <w:rPr>
                <w:sz w:val="19"/>
              </w:rPr>
              <w:t>Counterparty credit risk is out of scope for a market-risk-focused project.</w:t>
            </w:r>
          </w:p>
        </w:tc>
      </w:tr>
      <w:tr>
        <w:tc>
          <w:tcPr>
            <w:tcW w:type="dxa" w:w="4320"/>
          </w:tcPr>
          <w:p>
            <w:r>
              <w:rPr>
                <w:sz w:val="19"/>
              </w:rPr>
              <w:t>status</w:t>
            </w:r>
          </w:p>
        </w:tc>
        <w:tc>
          <w:tcPr>
            <w:tcW w:type="dxa" w:w="4320"/>
          </w:tcPr>
          <w:p>
            <w:r>
              <w:rPr>
                <w:sz w:val="19"/>
              </w:rPr>
              <w:t>Trade lifecycle processing (new/amended/cancelled/matured) is out of scope.</w:t>
            </w:r>
          </w:p>
        </w:tc>
      </w:tr>
    </w:tbl>
    <w:p/>
    <w:p>
      <w:r>
        <w:t>A related question raised during review: should average_cost be added to Position, to support P&amp;L attribution later? Decision: not yet. average_cost would matter for trader-style P&amp;L (realised/unrealised P&amp;L against a cost basis). For a market-risk book, the standard approach is instead risk / hypothetical P&amp;L — holding today's position constant and repricing it under yesterday's vs. today's market data — which needs no cost-basis information at all, only two market snapshots. This is also what VaR backtesting uses. average_cost will only be added later if a specific module genuinely needs trader P&amp;L, with an explicit reason given at that time.</w:t>
      </w:r>
    </w:p>
    <w:p>
      <w:pPr>
        <w:pStyle w:val="Heading2"/>
      </w:pPr>
      <w:r>
        <w:t>3.3 Other Revisions Made at the Same Time</w:t>
      </w:r>
    </w:p>
    <w:p>
      <w:pPr>
        <w:pStyle w:val="ListBullet"/>
      </w:pPr>
      <w:r>
        <w:t>Instrument: added instrument_name; replaced a plain underlying_ticker string with underlying_instrument_id, a proper self-referencing foreign key back into the Instrument table, so an option references its underlying as a first-class entity rather than a loose string.</w:t>
      </w:r>
    </w:p>
    <w:p>
      <w:pPr>
        <w:pStyle w:val="ListBullet"/>
      </w:pPr>
      <w:r>
        <w:t>Instrument (FX): added base_currency and quote_currency, left null for all non-FX instruments; the single generic currency field was judged not meaningful for a pair and is itself left null for FX.</w:t>
      </w:r>
    </w:p>
    <w:p>
      <w:pPr>
        <w:pStyle w:val="ListBullet"/>
      </w:pPr>
      <w:r>
        <w:t>Issuer: credit_rating documented explicitly as a simplified, current, issuer-level, agency-agnostic rating for this educational project — real ratings are time-varying, agency-specific, and often issue-specific rather than issuer-wide.</w:t>
      </w:r>
    </w:p>
    <w:p>
      <w:pPr>
        <w:pStyle w:val="ListBullet"/>
      </w:pPr>
      <w:r>
        <w:t>Instrument x Issuer: FX instruments simply have issuer_id = NULL, rather than inventing a fake "N/A" issuer row purely to satisfy a not-null constraint.</w:t>
      </w:r>
    </w:p>
    <w:p>
      <w:pPr>
        <w:pStyle w:val="ListBullet"/>
      </w:pPr>
      <w:r>
        <w:t>Desk: asset_class_focus is treated as descriptive/informational only, not an enforced constraint — a desk may legitimately hold a cross-asset hedge.</w:t>
      </w:r>
    </w:p>
    <w:p>
      <w:pPr>
        <w:pStyle w:val="Heading1"/>
      </w:pPr>
      <w:r>
        <w:t>4. Final Approved Schema</w:t>
      </w:r>
    </w:p>
    <w:p>
      <w:pPr>
        <w:pStyle w:val="Heading2"/>
      </w:pPr>
      <w:r>
        <w:t>4.1 Desk</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Field</w:t>
            </w:r>
          </w:p>
        </w:tc>
        <w:tc>
          <w:tcPr>
            <w:tcW w:type="dxa" w:w="1440"/>
          </w:tcPr>
          <w:p>
            <w:r>
              <w:rPr>
                <w:b/>
                <w:sz w:val="19"/>
              </w:rPr>
              <w:t>Meaning</w:t>
            </w:r>
          </w:p>
        </w:tc>
        <w:tc>
          <w:tcPr>
            <w:tcW w:type="dxa" w:w="1440"/>
          </w:tcPr>
          <w:p>
            <w:r>
              <w:rPr>
                <w:b/>
                <w:sz w:val="19"/>
              </w:rPr>
              <w:t>Origin</w:t>
            </w:r>
          </w:p>
        </w:tc>
        <w:tc>
          <w:tcPr>
            <w:tcW w:type="dxa" w:w="1440"/>
          </w:tcPr>
          <w:p>
            <w:r>
              <w:rPr>
                <w:b/>
                <w:sz w:val="19"/>
              </w:rPr>
              <w:t>Type</w:t>
            </w:r>
          </w:p>
        </w:tc>
        <w:tc>
          <w:tcPr>
            <w:tcW w:type="dxa" w:w="1440"/>
          </w:tcPr>
          <w:p>
            <w:r>
              <w:rPr>
                <w:b/>
                <w:sz w:val="19"/>
              </w:rPr>
              <w:t>Mandatory / Nullable</w:t>
            </w:r>
          </w:p>
        </w:tc>
        <w:tc>
          <w:tcPr>
            <w:tcW w:type="dxa" w:w="1440"/>
          </w:tcPr>
          <w:p>
            <w:r>
              <w:rPr>
                <w:b/>
                <w:sz w:val="19"/>
              </w:rPr>
              <w:t>Key</w:t>
            </w:r>
          </w:p>
        </w:tc>
      </w:tr>
      <w:tr>
        <w:tc>
          <w:tcPr>
            <w:tcW w:type="dxa" w:w="1440"/>
          </w:tcPr>
          <w:p>
            <w:r>
              <w:rPr>
                <w:sz w:val="19"/>
              </w:rPr>
              <w:t>desk_id</w:t>
            </w:r>
          </w:p>
        </w:tc>
        <w:tc>
          <w:tcPr>
            <w:tcW w:type="dxa" w:w="1440"/>
          </w:tcPr>
          <w:p>
            <w:r>
              <w:rPr>
                <w:sz w:val="19"/>
              </w:rPr>
              <w:t>Unique desk code</w:t>
            </w:r>
          </w:p>
        </w:tc>
        <w:tc>
          <w:tcPr>
            <w:tcW w:type="dxa" w:w="1440"/>
          </w:tcPr>
          <w:p>
            <w:r>
              <w:rPr>
                <w:sz w:val="19"/>
              </w:rPr>
              <w:t>Reference/master data</w:t>
            </w:r>
          </w:p>
        </w:tc>
        <w:tc>
          <w:tcPr>
            <w:tcW w:type="dxa" w:w="1440"/>
          </w:tcPr>
          <w:p>
            <w:r>
              <w:rPr>
                <w:sz w:val="19"/>
              </w:rPr>
              <w:t>string</w:t>
            </w:r>
          </w:p>
        </w:tc>
        <w:tc>
          <w:tcPr>
            <w:tcW w:type="dxa" w:w="1440"/>
          </w:tcPr>
          <w:p>
            <w:r>
              <w:rPr>
                <w:sz w:val="19"/>
              </w:rPr>
              <w:t>Mandatory</w:t>
            </w:r>
          </w:p>
        </w:tc>
        <w:tc>
          <w:tcPr>
            <w:tcW w:type="dxa" w:w="1440"/>
          </w:tcPr>
          <w:p>
            <w:r>
              <w:rPr>
                <w:sz w:val="19"/>
              </w:rPr>
              <w:t>PK</w:t>
            </w:r>
          </w:p>
        </w:tc>
      </w:tr>
      <w:tr>
        <w:tc>
          <w:tcPr>
            <w:tcW w:type="dxa" w:w="1440"/>
          </w:tcPr>
          <w:p>
            <w:r>
              <w:rPr>
                <w:sz w:val="19"/>
              </w:rPr>
              <w:t>desk_name</w:t>
            </w:r>
          </w:p>
        </w:tc>
        <w:tc>
          <w:tcPr>
            <w:tcW w:type="dxa" w:w="1440"/>
          </w:tcPr>
          <w:p>
            <w:r>
              <w:rPr>
                <w:sz w:val="19"/>
              </w:rPr>
              <w:t>Display name</w:t>
            </w:r>
          </w:p>
        </w:tc>
        <w:tc>
          <w:tcPr>
            <w:tcW w:type="dxa" w:w="1440"/>
          </w:tcPr>
          <w:p>
            <w:r>
              <w:rPr>
                <w:sz w:val="19"/>
              </w:rPr>
              <w:t>Reference/master data</w:t>
            </w:r>
          </w:p>
        </w:tc>
        <w:tc>
          <w:tcPr>
            <w:tcW w:type="dxa" w:w="1440"/>
          </w:tcPr>
          <w:p>
            <w:r>
              <w:rPr>
                <w:sz w:val="19"/>
              </w:rPr>
              <w:t>string</w:t>
            </w:r>
          </w:p>
        </w:tc>
        <w:tc>
          <w:tcPr>
            <w:tcW w:type="dxa" w:w="1440"/>
          </w:tcPr>
          <w:p>
            <w:r>
              <w:rPr>
                <w:sz w:val="19"/>
              </w:rPr>
              <w:t>Mandatory</w:t>
            </w:r>
          </w:p>
        </w:tc>
        <w:tc>
          <w:tcPr>
            <w:tcW w:type="dxa" w:w="1440"/>
          </w:tcPr>
          <w:p>
            <w:r>
              <w:rPr>
                <w:sz w:val="19"/>
              </w:rPr>
            </w:r>
          </w:p>
        </w:tc>
      </w:tr>
      <w:tr>
        <w:tc>
          <w:tcPr>
            <w:tcW w:type="dxa" w:w="1440"/>
          </w:tcPr>
          <w:p>
            <w:r>
              <w:rPr>
                <w:sz w:val="19"/>
              </w:rPr>
              <w:t>asset_class_focus</w:t>
            </w:r>
          </w:p>
        </w:tc>
        <w:tc>
          <w:tcPr>
            <w:tcW w:type="dxa" w:w="1440"/>
          </w:tcPr>
          <w:p>
            <w:r>
              <w:rPr>
                <w:sz w:val="19"/>
              </w:rPr>
              <w:t>Primary asset class(es) the desk is organised around — descriptive only, not a constraint</w:t>
            </w:r>
          </w:p>
        </w:tc>
        <w:tc>
          <w:tcPr>
            <w:tcW w:type="dxa" w:w="1440"/>
          </w:tcPr>
          <w:p>
            <w:r>
              <w:rPr>
                <w:sz w:val="19"/>
              </w:rPr>
              <w:t>Reference/master data</w:t>
            </w:r>
          </w:p>
        </w:tc>
        <w:tc>
          <w:tcPr>
            <w:tcW w:type="dxa" w:w="1440"/>
          </w:tcPr>
          <w:p>
            <w:r>
              <w:rPr>
                <w:sz w:val="19"/>
              </w:rPr>
              <w:t>string</w:t>
            </w:r>
          </w:p>
        </w:tc>
        <w:tc>
          <w:tcPr>
            <w:tcW w:type="dxa" w:w="1440"/>
          </w:tcPr>
          <w:p>
            <w:r>
              <w:rPr>
                <w:sz w:val="19"/>
              </w:rPr>
              <w:t>Mandatory</w:t>
            </w:r>
          </w:p>
        </w:tc>
        <w:tc>
          <w:tcPr>
            <w:tcW w:type="dxa" w:w="1440"/>
          </w:tcPr>
          <w:p>
            <w:r>
              <w:rPr>
                <w:sz w:val="19"/>
              </w:rPr>
            </w:r>
          </w:p>
        </w:tc>
      </w:tr>
    </w:tbl>
    <w:p/>
    <w:p>
      <w:pPr>
        <w:pStyle w:val="Heading2"/>
      </w:pPr>
      <w:r>
        <w:t>4.2 Book</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Field</w:t>
            </w:r>
          </w:p>
        </w:tc>
        <w:tc>
          <w:tcPr>
            <w:tcW w:type="dxa" w:w="1440"/>
          </w:tcPr>
          <w:p>
            <w:r>
              <w:rPr>
                <w:b/>
                <w:sz w:val="19"/>
              </w:rPr>
              <w:t>Meaning</w:t>
            </w:r>
          </w:p>
        </w:tc>
        <w:tc>
          <w:tcPr>
            <w:tcW w:type="dxa" w:w="1440"/>
          </w:tcPr>
          <w:p>
            <w:r>
              <w:rPr>
                <w:b/>
                <w:sz w:val="19"/>
              </w:rPr>
              <w:t>Origin</w:t>
            </w:r>
          </w:p>
        </w:tc>
        <w:tc>
          <w:tcPr>
            <w:tcW w:type="dxa" w:w="1440"/>
          </w:tcPr>
          <w:p>
            <w:r>
              <w:rPr>
                <w:b/>
                <w:sz w:val="19"/>
              </w:rPr>
              <w:t>Type</w:t>
            </w:r>
          </w:p>
        </w:tc>
        <w:tc>
          <w:tcPr>
            <w:tcW w:type="dxa" w:w="1440"/>
          </w:tcPr>
          <w:p>
            <w:r>
              <w:rPr>
                <w:b/>
                <w:sz w:val="19"/>
              </w:rPr>
              <w:t>Mandatory / Nullable</w:t>
            </w:r>
          </w:p>
        </w:tc>
        <w:tc>
          <w:tcPr>
            <w:tcW w:type="dxa" w:w="1440"/>
          </w:tcPr>
          <w:p>
            <w:r>
              <w:rPr>
                <w:b/>
                <w:sz w:val="19"/>
              </w:rPr>
              <w:t>Key</w:t>
            </w:r>
          </w:p>
        </w:tc>
      </w:tr>
      <w:tr>
        <w:tc>
          <w:tcPr>
            <w:tcW w:type="dxa" w:w="1440"/>
          </w:tcPr>
          <w:p>
            <w:r>
              <w:rPr>
                <w:sz w:val="19"/>
              </w:rPr>
              <w:t>book_id</w:t>
            </w:r>
          </w:p>
        </w:tc>
        <w:tc>
          <w:tcPr>
            <w:tcW w:type="dxa" w:w="1440"/>
          </w:tcPr>
          <w:p>
            <w:r>
              <w:rPr>
                <w:sz w:val="19"/>
              </w:rPr>
              <w:t>Unique book code</w:t>
            </w:r>
          </w:p>
        </w:tc>
        <w:tc>
          <w:tcPr>
            <w:tcW w:type="dxa" w:w="1440"/>
          </w:tcPr>
          <w:p>
            <w:r>
              <w:rPr>
                <w:sz w:val="19"/>
              </w:rPr>
              <w:t>Reference/master data</w:t>
            </w:r>
          </w:p>
        </w:tc>
        <w:tc>
          <w:tcPr>
            <w:tcW w:type="dxa" w:w="1440"/>
          </w:tcPr>
          <w:p>
            <w:r>
              <w:rPr>
                <w:sz w:val="19"/>
              </w:rPr>
              <w:t>string</w:t>
            </w:r>
          </w:p>
        </w:tc>
        <w:tc>
          <w:tcPr>
            <w:tcW w:type="dxa" w:w="1440"/>
          </w:tcPr>
          <w:p>
            <w:r>
              <w:rPr>
                <w:sz w:val="19"/>
              </w:rPr>
              <w:t>Mandatory</w:t>
            </w:r>
          </w:p>
        </w:tc>
        <w:tc>
          <w:tcPr>
            <w:tcW w:type="dxa" w:w="1440"/>
          </w:tcPr>
          <w:p>
            <w:r>
              <w:rPr>
                <w:sz w:val="19"/>
              </w:rPr>
              <w:t>PK</w:t>
            </w:r>
          </w:p>
        </w:tc>
      </w:tr>
      <w:tr>
        <w:tc>
          <w:tcPr>
            <w:tcW w:type="dxa" w:w="1440"/>
          </w:tcPr>
          <w:p>
            <w:r>
              <w:rPr>
                <w:sz w:val="19"/>
              </w:rPr>
              <w:t>book_name</w:t>
            </w:r>
          </w:p>
        </w:tc>
        <w:tc>
          <w:tcPr>
            <w:tcW w:type="dxa" w:w="1440"/>
          </w:tcPr>
          <w:p>
            <w:r>
              <w:rPr>
                <w:sz w:val="19"/>
              </w:rPr>
              <w:t>Display name</w:t>
            </w:r>
          </w:p>
        </w:tc>
        <w:tc>
          <w:tcPr>
            <w:tcW w:type="dxa" w:w="1440"/>
          </w:tcPr>
          <w:p>
            <w:r>
              <w:rPr>
                <w:sz w:val="19"/>
              </w:rPr>
              <w:t>Reference/master data</w:t>
            </w:r>
          </w:p>
        </w:tc>
        <w:tc>
          <w:tcPr>
            <w:tcW w:type="dxa" w:w="1440"/>
          </w:tcPr>
          <w:p>
            <w:r>
              <w:rPr>
                <w:sz w:val="19"/>
              </w:rPr>
              <w:t>string</w:t>
            </w:r>
          </w:p>
        </w:tc>
        <w:tc>
          <w:tcPr>
            <w:tcW w:type="dxa" w:w="1440"/>
          </w:tcPr>
          <w:p>
            <w:r>
              <w:rPr>
                <w:sz w:val="19"/>
              </w:rPr>
              <w:t>Mandatory</w:t>
            </w:r>
          </w:p>
        </w:tc>
        <w:tc>
          <w:tcPr>
            <w:tcW w:type="dxa" w:w="1440"/>
          </w:tcPr>
          <w:p>
            <w:r>
              <w:rPr>
                <w:sz w:val="19"/>
              </w:rPr>
            </w:r>
          </w:p>
        </w:tc>
      </w:tr>
      <w:tr>
        <w:tc>
          <w:tcPr>
            <w:tcW w:type="dxa" w:w="1440"/>
          </w:tcPr>
          <w:p>
            <w:r>
              <w:rPr>
                <w:sz w:val="19"/>
              </w:rPr>
              <w:t>desk_id</w:t>
            </w:r>
          </w:p>
        </w:tc>
        <w:tc>
          <w:tcPr>
            <w:tcW w:type="dxa" w:w="1440"/>
          </w:tcPr>
          <w:p>
            <w:r>
              <w:rPr>
                <w:sz w:val="19"/>
              </w:rPr>
              <w:t>Owning desk</w:t>
            </w:r>
          </w:p>
        </w:tc>
        <w:tc>
          <w:tcPr>
            <w:tcW w:type="dxa" w:w="1440"/>
          </w:tcPr>
          <w:p>
            <w:r>
              <w:rPr>
                <w:sz w:val="19"/>
              </w:rPr>
              <w:t>Reference/master data</w:t>
            </w:r>
          </w:p>
        </w:tc>
        <w:tc>
          <w:tcPr>
            <w:tcW w:type="dxa" w:w="1440"/>
          </w:tcPr>
          <w:p>
            <w:r>
              <w:rPr>
                <w:sz w:val="19"/>
              </w:rPr>
              <w:t>string</w:t>
            </w:r>
          </w:p>
        </w:tc>
        <w:tc>
          <w:tcPr>
            <w:tcW w:type="dxa" w:w="1440"/>
          </w:tcPr>
          <w:p>
            <w:r>
              <w:rPr>
                <w:sz w:val="19"/>
              </w:rPr>
              <w:t>Mandatory</w:t>
            </w:r>
          </w:p>
        </w:tc>
        <w:tc>
          <w:tcPr>
            <w:tcW w:type="dxa" w:w="1440"/>
          </w:tcPr>
          <w:p>
            <w:r>
              <w:rPr>
                <w:sz w:val="19"/>
              </w:rPr>
              <w:t>FK -&gt; Desk.desk_id</w:t>
            </w:r>
          </w:p>
        </w:tc>
      </w:tr>
    </w:tbl>
    <w:p/>
    <w:p>
      <w:pPr>
        <w:pStyle w:val="Heading2"/>
      </w:pPr>
      <w:r>
        <w:t>4.3 Issuer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Field</w:t>
            </w:r>
          </w:p>
        </w:tc>
        <w:tc>
          <w:tcPr>
            <w:tcW w:type="dxa" w:w="1440"/>
          </w:tcPr>
          <w:p>
            <w:r>
              <w:rPr>
                <w:b/>
                <w:sz w:val="19"/>
              </w:rPr>
              <w:t>Meaning</w:t>
            </w:r>
          </w:p>
        </w:tc>
        <w:tc>
          <w:tcPr>
            <w:tcW w:type="dxa" w:w="1440"/>
          </w:tcPr>
          <w:p>
            <w:r>
              <w:rPr>
                <w:b/>
                <w:sz w:val="19"/>
              </w:rPr>
              <w:t>Origin</w:t>
            </w:r>
          </w:p>
        </w:tc>
        <w:tc>
          <w:tcPr>
            <w:tcW w:type="dxa" w:w="1440"/>
          </w:tcPr>
          <w:p>
            <w:r>
              <w:rPr>
                <w:b/>
                <w:sz w:val="19"/>
              </w:rPr>
              <w:t>Type</w:t>
            </w:r>
          </w:p>
        </w:tc>
        <w:tc>
          <w:tcPr>
            <w:tcW w:type="dxa" w:w="1440"/>
          </w:tcPr>
          <w:p>
            <w:r>
              <w:rPr>
                <w:b/>
                <w:sz w:val="19"/>
              </w:rPr>
              <w:t>Mandatory / Nullable</w:t>
            </w:r>
          </w:p>
        </w:tc>
        <w:tc>
          <w:tcPr>
            <w:tcW w:type="dxa" w:w="1440"/>
          </w:tcPr>
          <w:p>
            <w:r>
              <w:rPr>
                <w:b/>
                <w:sz w:val="19"/>
              </w:rPr>
              <w:t>Key</w:t>
            </w:r>
          </w:p>
        </w:tc>
      </w:tr>
      <w:tr>
        <w:tc>
          <w:tcPr>
            <w:tcW w:type="dxa" w:w="1440"/>
          </w:tcPr>
          <w:p>
            <w:r>
              <w:rPr>
                <w:sz w:val="19"/>
              </w:rPr>
              <w:t>issuer_id</w:t>
            </w:r>
          </w:p>
        </w:tc>
        <w:tc>
          <w:tcPr>
            <w:tcW w:type="dxa" w:w="1440"/>
          </w:tcPr>
          <w:p>
            <w:r>
              <w:rPr>
                <w:sz w:val="19"/>
              </w:rPr>
              <w:t>Unique legal-entity identifier</w:t>
            </w:r>
          </w:p>
        </w:tc>
        <w:tc>
          <w:tcPr>
            <w:tcW w:type="dxa" w:w="1440"/>
          </w:tcPr>
          <w:p>
            <w:r>
              <w:rPr>
                <w:sz w:val="19"/>
              </w:rPr>
              <w:t>Reference/master data</w:t>
            </w:r>
          </w:p>
        </w:tc>
        <w:tc>
          <w:tcPr>
            <w:tcW w:type="dxa" w:w="1440"/>
          </w:tcPr>
          <w:p>
            <w:r>
              <w:rPr>
                <w:sz w:val="19"/>
              </w:rPr>
              <w:t>string</w:t>
            </w:r>
          </w:p>
        </w:tc>
        <w:tc>
          <w:tcPr>
            <w:tcW w:type="dxa" w:w="1440"/>
          </w:tcPr>
          <w:p>
            <w:r>
              <w:rPr>
                <w:sz w:val="19"/>
              </w:rPr>
              <w:t>Mandatory</w:t>
            </w:r>
          </w:p>
        </w:tc>
        <w:tc>
          <w:tcPr>
            <w:tcW w:type="dxa" w:w="1440"/>
          </w:tcPr>
          <w:p>
            <w:r>
              <w:rPr>
                <w:sz w:val="19"/>
              </w:rPr>
              <w:t>PK</w:t>
            </w:r>
          </w:p>
        </w:tc>
      </w:tr>
      <w:tr>
        <w:tc>
          <w:tcPr>
            <w:tcW w:type="dxa" w:w="1440"/>
          </w:tcPr>
          <w:p>
            <w:r>
              <w:rPr>
                <w:sz w:val="19"/>
              </w:rPr>
              <w:t>issuer_name</w:t>
            </w:r>
          </w:p>
        </w:tc>
        <w:tc>
          <w:tcPr>
            <w:tcW w:type="dxa" w:w="1440"/>
          </w:tcPr>
          <w:p>
            <w:r>
              <w:rPr>
                <w:sz w:val="19"/>
              </w:rPr>
              <w:t>Display name</w:t>
            </w:r>
          </w:p>
        </w:tc>
        <w:tc>
          <w:tcPr>
            <w:tcW w:type="dxa" w:w="1440"/>
          </w:tcPr>
          <w:p>
            <w:r>
              <w:rPr>
                <w:sz w:val="19"/>
              </w:rPr>
              <w:t>Reference/master data</w:t>
            </w:r>
          </w:p>
        </w:tc>
        <w:tc>
          <w:tcPr>
            <w:tcW w:type="dxa" w:w="1440"/>
          </w:tcPr>
          <w:p>
            <w:r>
              <w:rPr>
                <w:sz w:val="19"/>
              </w:rPr>
              <w:t>string</w:t>
            </w:r>
          </w:p>
        </w:tc>
        <w:tc>
          <w:tcPr>
            <w:tcW w:type="dxa" w:w="1440"/>
          </w:tcPr>
          <w:p>
            <w:r>
              <w:rPr>
                <w:sz w:val="19"/>
              </w:rPr>
              <w:t>Mandatory</w:t>
            </w:r>
          </w:p>
        </w:tc>
        <w:tc>
          <w:tcPr>
            <w:tcW w:type="dxa" w:w="1440"/>
          </w:tcPr>
          <w:p>
            <w:r>
              <w:rPr>
                <w:sz w:val="19"/>
              </w:rPr>
            </w:r>
          </w:p>
        </w:tc>
      </w:tr>
      <w:tr>
        <w:tc>
          <w:tcPr>
            <w:tcW w:type="dxa" w:w="1440"/>
          </w:tcPr>
          <w:p>
            <w:r>
              <w:rPr>
                <w:sz w:val="19"/>
              </w:rPr>
              <w:t>issuer_type</w:t>
            </w:r>
          </w:p>
        </w:tc>
        <w:tc>
          <w:tcPr>
            <w:tcW w:type="dxa" w:w="1440"/>
          </w:tcPr>
          <w:p>
            <w:r>
              <w:rPr>
                <w:sz w:val="19"/>
              </w:rPr>
              <w:t>Sovereign / Corporate</w:t>
            </w:r>
          </w:p>
        </w:tc>
        <w:tc>
          <w:tcPr>
            <w:tcW w:type="dxa" w:w="1440"/>
          </w:tcPr>
          <w:p>
            <w:r>
              <w:rPr>
                <w:sz w:val="19"/>
              </w:rPr>
              <w:t>Reference/master data</w:t>
            </w:r>
          </w:p>
        </w:tc>
        <w:tc>
          <w:tcPr>
            <w:tcW w:type="dxa" w:w="1440"/>
          </w:tcPr>
          <w:p>
            <w:r>
              <w:rPr>
                <w:sz w:val="19"/>
              </w:rPr>
              <w:t>categorical</w:t>
            </w:r>
          </w:p>
        </w:tc>
        <w:tc>
          <w:tcPr>
            <w:tcW w:type="dxa" w:w="1440"/>
          </w:tcPr>
          <w:p>
            <w:r>
              <w:rPr>
                <w:sz w:val="19"/>
              </w:rPr>
              <w:t>Mandatory</w:t>
            </w:r>
          </w:p>
        </w:tc>
        <w:tc>
          <w:tcPr>
            <w:tcW w:type="dxa" w:w="1440"/>
          </w:tcPr>
          <w:p>
            <w:r>
              <w:rPr>
                <w:sz w:val="19"/>
              </w:rPr>
            </w:r>
          </w:p>
        </w:tc>
      </w:tr>
      <w:tr>
        <w:tc>
          <w:tcPr>
            <w:tcW w:type="dxa" w:w="1440"/>
          </w:tcPr>
          <w:p>
            <w:r>
              <w:rPr>
                <w:sz w:val="19"/>
              </w:rPr>
              <w:t>country</w:t>
            </w:r>
          </w:p>
        </w:tc>
        <w:tc>
          <w:tcPr>
            <w:tcW w:type="dxa" w:w="1440"/>
          </w:tcPr>
          <w:p>
            <w:r>
              <w:rPr>
                <w:sz w:val="19"/>
              </w:rPr>
              <w:t>Domicile / incorporation country</w:t>
            </w:r>
          </w:p>
        </w:tc>
        <w:tc>
          <w:tcPr>
            <w:tcW w:type="dxa" w:w="1440"/>
          </w:tcPr>
          <w:p>
            <w:r>
              <w:rPr>
                <w:sz w:val="19"/>
              </w:rPr>
              <w:t>Reference/master data</w:t>
            </w:r>
          </w:p>
        </w:tc>
        <w:tc>
          <w:tcPr>
            <w:tcW w:type="dxa" w:w="1440"/>
          </w:tcPr>
          <w:p>
            <w:r>
              <w:rPr>
                <w:sz w:val="19"/>
              </w:rPr>
              <w:t>string</w:t>
            </w:r>
          </w:p>
        </w:tc>
        <w:tc>
          <w:tcPr>
            <w:tcW w:type="dxa" w:w="1440"/>
          </w:tcPr>
          <w:p>
            <w:r>
              <w:rPr>
                <w:sz w:val="19"/>
              </w:rPr>
              <w:t>Mandatory</w:t>
            </w:r>
          </w:p>
        </w:tc>
        <w:tc>
          <w:tcPr>
            <w:tcW w:type="dxa" w:w="1440"/>
          </w:tcPr>
          <w:p>
            <w:r>
              <w:rPr>
                <w:sz w:val="19"/>
              </w:rPr>
            </w:r>
          </w:p>
        </w:tc>
      </w:tr>
      <w:tr>
        <w:tc>
          <w:tcPr>
            <w:tcW w:type="dxa" w:w="1440"/>
          </w:tcPr>
          <w:p>
            <w:r>
              <w:rPr>
                <w:sz w:val="19"/>
              </w:rPr>
              <w:t>sector</w:t>
            </w:r>
          </w:p>
        </w:tc>
        <w:tc>
          <w:tcPr>
            <w:tcW w:type="dxa" w:w="1440"/>
          </w:tcPr>
          <w:p>
            <w:r>
              <w:rPr>
                <w:sz w:val="19"/>
              </w:rPr>
              <w:t>Industry sector</w:t>
            </w:r>
          </w:p>
        </w:tc>
        <w:tc>
          <w:tcPr>
            <w:tcW w:type="dxa" w:w="1440"/>
          </w:tcPr>
          <w:p>
            <w:r>
              <w:rPr>
                <w:sz w:val="19"/>
              </w:rPr>
              <w:t>Reference/master data</w:t>
            </w:r>
          </w:p>
        </w:tc>
        <w:tc>
          <w:tcPr>
            <w:tcW w:type="dxa" w:w="1440"/>
          </w:tcPr>
          <w:p>
            <w:r>
              <w:rPr>
                <w:sz w:val="19"/>
              </w:rPr>
              <w:t>string</w:t>
            </w:r>
          </w:p>
        </w:tc>
        <w:tc>
          <w:tcPr>
            <w:tcW w:type="dxa" w:w="1440"/>
          </w:tcPr>
          <w:p>
            <w:r>
              <w:rPr>
                <w:sz w:val="19"/>
              </w:rPr>
              <w:t>Nullable (null for Sovereign)</w:t>
            </w:r>
          </w:p>
        </w:tc>
        <w:tc>
          <w:tcPr>
            <w:tcW w:type="dxa" w:w="1440"/>
          </w:tcPr>
          <w:p>
            <w:r>
              <w:rPr>
                <w:sz w:val="19"/>
              </w:rPr>
            </w:r>
          </w:p>
        </w:tc>
      </w:tr>
      <w:tr>
        <w:tc>
          <w:tcPr>
            <w:tcW w:type="dxa" w:w="1440"/>
          </w:tcPr>
          <w:p>
            <w:r>
              <w:rPr>
                <w:sz w:val="19"/>
              </w:rPr>
              <w:t>credit_rating</w:t>
            </w:r>
          </w:p>
        </w:tc>
        <w:tc>
          <w:tcPr>
            <w:tcW w:type="dxa" w:w="1440"/>
          </w:tcPr>
          <w:p>
            <w:r>
              <w:rPr>
                <w:sz w:val="19"/>
              </w:rPr>
              <w:t>Simplified current issuer-level rating (see 3.3)</w:t>
            </w:r>
          </w:p>
        </w:tc>
        <w:tc>
          <w:tcPr>
            <w:tcW w:type="dxa" w:w="1440"/>
          </w:tcPr>
          <w:p>
            <w:r>
              <w:rPr>
                <w:sz w:val="19"/>
              </w:rPr>
              <w:t>Reference/master data (simplified)</w:t>
            </w:r>
          </w:p>
        </w:tc>
        <w:tc>
          <w:tcPr>
            <w:tcW w:type="dxa" w:w="1440"/>
          </w:tcPr>
          <w:p>
            <w:r>
              <w:rPr>
                <w:sz w:val="19"/>
              </w:rPr>
              <w:t>string</w:t>
            </w:r>
          </w:p>
        </w:tc>
        <w:tc>
          <w:tcPr>
            <w:tcW w:type="dxa" w:w="1440"/>
          </w:tcPr>
          <w:p>
            <w:r>
              <w:rPr>
                <w:sz w:val="19"/>
              </w:rPr>
              <w:t>Mandatory</w:t>
            </w:r>
          </w:p>
        </w:tc>
        <w:tc>
          <w:tcPr>
            <w:tcW w:type="dxa" w:w="1440"/>
          </w:tcPr>
          <w:p>
            <w:r>
              <w:rPr>
                <w:sz w:val="19"/>
              </w:rPr>
            </w:r>
          </w:p>
        </w:tc>
      </w:tr>
    </w:tbl>
    <w:p/>
    <w:p>
      <w:pPr>
        <w:pStyle w:val="Heading2"/>
      </w:pPr>
      <w:r>
        <w:t>4.4 Instrument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Field</w:t>
            </w:r>
          </w:p>
        </w:tc>
        <w:tc>
          <w:tcPr>
            <w:tcW w:type="dxa" w:w="1440"/>
          </w:tcPr>
          <w:p>
            <w:r>
              <w:rPr>
                <w:b/>
                <w:sz w:val="19"/>
              </w:rPr>
              <w:t>Meaning</w:t>
            </w:r>
          </w:p>
        </w:tc>
        <w:tc>
          <w:tcPr>
            <w:tcW w:type="dxa" w:w="1440"/>
          </w:tcPr>
          <w:p>
            <w:r>
              <w:rPr>
                <w:b/>
                <w:sz w:val="19"/>
              </w:rPr>
              <w:t>Origin</w:t>
            </w:r>
          </w:p>
        </w:tc>
        <w:tc>
          <w:tcPr>
            <w:tcW w:type="dxa" w:w="1440"/>
          </w:tcPr>
          <w:p>
            <w:r>
              <w:rPr>
                <w:b/>
                <w:sz w:val="19"/>
              </w:rPr>
              <w:t>Type</w:t>
            </w:r>
          </w:p>
        </w:tc>
        <w:tc>
          <w:tcPr>
            <w:tcW w:type="dxa" w:w="1440"/>
          </w:tcPr>
          <w:p>
            <w:r>
              <w:rPr>
                <w:b/>
                <w:sz w:val="19"/>
              </w:rPr>
              <w:t>Mandatory / Nullable</w:t>
            </w:r>
          </w:p>
        </w:tc>
        <w:tc>
          <w:tcPr>
            <w:tcW w:type="dxa" w:w="1440"/>
          </w:tcPr>
          <w:p>
            <w:r>
              <w:rPr>
                <w:b/>
                <w:sz w:val="19"/>
              </w:rPr>
              <w:t>Key</w:t>
            </w:r>
          </w:p>
        </w:tc>
      </w:tr>
      <w:tr>
        <w:tc>
          <w:tcPr>
            <w:tcW w:type="dxa" w:w="1440"/>
          </w:tcPr>
          <w:p>
            <w:r>
              <w:rPr>
                <w:sz w:val="19"/>
              </w:rPr>
              <w:t>instrument_id</w:t>
            </w:r>
          </w:p>
        </w:tc>
        <w:tc>
          <w:tcPr>
            <w:tcW w:type="dxa" w:w="1440"/>
          </w:tcPr>
          <w:p>
            <w:r>
              <w:rPr>
                <w:sz w:val="19"/>
              </w:rPr>
              <w:t>Unique instrument identifier</w:t>
            </w:r>
          </w:p>
        </w:tc>
        <w:tc>
          <w:tcPr>
            <w:tcW w:type="dxa" w:w="1440"/>
          </w:tcPr>
          <w:p>
            <w:r>
              <w:rPr>
                <w:sz w:val="19"/>
              </w:rPr>
              <w:t>Reference/master data</w:t>
            </w:r>
          </w:p>
        </w:tc>
        <w:tc>
          <w:tcPr>
            <w:tcW w:type="dxa" w:w="1440"/>
          </w:tcPr>
          <w:p>
            <w:r>
              <w:rPr>
                <w:sz w:val="19"/>
              </w:rPr>
              <w:t>string</w:t>
            </w:r>
          </w:p>
        </w:tc>
        <w:tc>
          <w:tcPr>
            <w:tcW w:type="dxa" w:w="1440"/>
          </w:tcPr>
          <w:p>
            <w:r>
              <w:rPr>
                <w:sz w:val="19"/>
              </w:rPr>
              <w:t>Mandatory</w:t>
            </w:r>
          </w:p>
        </w:tc>
        <w:tc>
          <w:tcPr>
            <w:tcW w:type="dxa" w:w="1440"/>
          </w:tcPr>
          <w:p>
            <w:r>
              <w:rPr>
                <w:sz w:val="19"/>
              </w:rPr>
              <w:t>PK</w:t>
            </w:r>
          </w:p>
        </w:tc>
      </w:tr>
      <w:tr>
        <w:tc>
          <w:tcPr>
            <w:tcW w:type="dxa" w:w="1440"/>
          </w:tcPr>
          <w:p>
            <w:r>
              <w:rPr>
                <w:sz w:val="19"/>
              </w:rPr>
              <w:t>instrument_name</w:t>
            </w:r>
          </w:p>
        </w:tc>
        <w:tc>
          <w:tcPr>
            <w:tcW w:type="dxa" w:w="1440"/>
          </w:tcPr>
          <w:p>
            <w:r>
              <w:rPr>
                <w:sz w:val="19"/>
              </w:rPr>
              <w:t>Human-readable name</w:t>
            </w:r>
          </w:p>
        </w:tc>
        <w:tc>
          <w:tcPr>
            <w:tcW w:type="dxa" w:w="1440"/>
          </w:tcPr>
          <w:p>
            <w:r>
              <w:rPr>
                <w:sz w:val="19"/>
              </w:rPr>
              <w:t>Reference/master data</w:t>
            </w:r>
          </w:p>
        </w:tc>
        <w:tc>
          <w:tcPr>
            <w:tcW w:type="dxa" w:w="1440"/>
          </w:tcPr>
          <w:p>
            <w:r>
              <w:rPr>
                <w:sz w:val="19"/>
              </w:rPr>
              <w:t>string</w:t>
            </w:r>
          </w:p>
        </w:tc>
        <w:tc>
          <w:tcPr>
            <w:tcW w:type="dxa" w:w="1440"/>
          </w:tcPr>
          <w:p>
            <w:r>
              <w:rPr>
                <w:sz w:val="19"/>
              </w:rPr>
              <w:t>Mandatory</w:t>
            </w:r>
          </w:p>
        </w:tc>
        <w:tc>
          <w:tcPr>
            <w:tcW w:type="dxa" w:w="1440"/>
          </w:tcPr>
          <w:p>
            <w:r>
              <w:rPr>
                <w:sz w:val="19"/>
              </w:rPr>
            </w:r>
          </w:p>
        </w:tc>
      </w:tr>
      <w:tr>
        <w:tc>
          <w:tcPr>
            <w:tcW w:type="dxa" w:w="1440"/>
          </w:tcPr>
          <w:p>
            <w:r>
              <w:rPr>
                <w:sz w:val="19"/>
              </w:rPr>
              <w:t>asset_class</w:t>
            </w:r>
          </w:p>
        </w:tc>
        <w:tc>
          <w:tcPr>
            <w:tcW w:type="dxa" w:w="1440"/>
          </w:tcPr>
          <w:p>
            <w:r>
              <w:rPr>
                <w:sz w:val="19"/>
              </w:rPr>
              <w:t>Equity / Equity Option / Govt Bond / Corp Bond / FX</w:t>
            </w:r>
          </w:p>
        </w:tc>
        <w:tc>
          <w:tcPr>
            <w:tcW w:type="dxa" w:w="1440"/>
          </w:tcPr>
          <w:p>
            <w:r>
              <w:rPr>
                <w:sz w:val="19"/>
              </w:rPr>
              <w:t>Reference/master data</w:t>
            </w:r>
          </w:p>
        </w:tc>
        <w:tc>
          <w:tcPr>
            <w:tcW w:type="dxa" w:w="1440"/>
          </w:tcPr>
          <w:p>
            <w:r>
              <w:rPr>
                <w:sz w:val="19"/>
              </w:rPr>
              <w:t>categorical</w:t>
            </w:r>
          </w:p>
        </w:tc>
        <w:tc>
          <w:tcPr>
            <w:tcW w:type="dxa" w:w="1440"/>
          </w:tcPr>
          <w:p>
            <w:r>
              <w:rPr>
                <w:sz w:val="19"/>
              </w:rPr>
              <w:t>Mandatory</w:t>
            </w:r>
          </w:p>
        </w:tc>
        <w:tc>
          <w:tcPr>
            <w:tcW w:type="dxa" w:w="1440"/>
          </w:tcPr>
          <w:p>
            <w:r>
              <w:rPr>
                <w:sz w:val="19"/>
              </w:rPr>
            </w:r>
          </w:p>
        </w:tc>
      </w:tr>
      <w:tr>
        <w:tc>
          <w:tcPr>
            <w:tcW w:type="dxa" w:w="1440"/>
          </w:tcPr>
          <w:p>
            <w:r>
              <w:rPr>
                <w:sz w:val="19"/>
              </w:rPr>
              <w:t>issuer_id</w:t>
            </w:r>
          </w:p>
        </w:tc>
        <w:tc>
          <w:tcPr>
            <w:tcW w:type="dxa" w:w="1440"/>
          </w:tcPr>
          <w:p>
            <w:r>
              <w:rPr>
                <w:sz w:val="19"/>
              </w:rPr>
              <w:t>Issuing legal entity</w:t>
            </w:r>
          </w:p>
        </w:tc>
        <w:tc>
          <w:tcPr>
            <w:tcW w:type="dxa" w:w="1440"/>
          </w:tcPr>
          <w:p>
            <w:r>
              <w:rPr>
                <w:sz w:val="19"/>
              </w:rPr>
              <w:t>Reference/master data</w:t>
            </w:r>
          </w:p>
        </w:tc>
        <w:tc>
          <w:tcPr>
            <w:tcW w:type="dxa" w:w="1440"/>
          </w:tcPr>
          <w:p>
            <w:r>
              <w:rPr>
                <w:sz w:val="19"/>
              </w:rPr>
              <w:t>string</w:t>
            </w:r>
          </w:p>
        </w:tc>
        <w:tc>
          <w:tcPr>
            <w:tcW w:type="dxa" w:w="1440"/>
          </w:tcPr>
          <w:p>
            <w:r>
              <w:rPr>
                <w:sz w:val="19"/>
              </w:rPr>
              <w:t>Nullable — NULL for FX</w:t>
            </w:r>
          </w:p>
        </w:tc>
        <w:tc>
          <w:tcPr>
            <w:tcW w:type="dxa" w:w="1440"/>
          </w:tcPr>
          <w:p>
            <w:r>
              <w:rPr>
                <w:sz w:val="19"/>
              </w:rPr>
              <w:t>FK -&gt; Issuer.issuer_id</w:t>
            </w:r>
          </w:p>
        </w:tc>
      </w:tr>
      <w:tr>
        <w:tc>
          <w:tcPr>
            <w:tcW w:type="dxa" w:w="1440"/>
          </w:tcPr>
          <w:p>
            <w:r>
              <w:rPr>
                <w:sz w:val="19"/>
              </w:rPr>
              <w:t>underlying_instrument_id</w:t>
            </w:r>
          </w:p>
        </w:tc>
        <w:tc>
          <w:tcPr>
            <w:tcW w:type="dxa" w:w="1440"/>
          </w:tcPr>
          <w:p>
            <w:r>
              <w:rPr>
                <w:sz w:val="19"/>
              </w:rPr>
              <w:t>The equity this option is written on</w:t>
            </w:r>
          </w:p>
        </w:tc>
        <w:tc>
          <w:tcPr>
            <w:tcW w:type="dxa" w:w="1440"/>
          </w:tcPr>
          <w:p>
            <w:r>
              <w:rPr>
                <w:sz w:val="19"/>
              </w:rPr>
              <w:t>Reference/master data</w:t>
            </w:r>
          </w:p>
        </w:tc>
        <w:tc>
          <w:tcPr>
            <w:tcW w:type="dxa" w:w="1440"/>
          </w:tcPr>
          <w:p>
            <w:r>
              <w:rPr>
                <w:sz w:val="19"/>
              </w:rPr>
              <w:t>string</w:t>
            </w:r>
          </w:p>
        </w:tc>
        <w:tc>
          <w:tcPr>
            <w:tcW w:type="dxa" w:w="1440"/>
          </w:tcPr>
          <w:p>
            <w:r>
              <w:rPr>
                <w:sz w:val="19"/>
              </w:rPr>
              <w:t>Nullable — Equity Option only</w:t>
            </w:r>
          </w:p>
        </w:tc>
        <w:tc>
          <w:tcPr>
            <w:tcW w:type="dxa" w:w="1440"/>
          </w:tcPr>
          <w:p>
            <w:r>
              <w:rPr>
                <w:sz w:val="19"/>
              </w:rPr>
              <w:t>FK -&gt; Instrument.instrument_id (self)</w:t>
            </w:r>
          </w:p>
        </w:tc>
      </w:tr>
      <w:tr>
        <w:tc>
          <w:tcPr>
            <w:tcW w:type="dxa" w:w="1440"/>
          </w:tcPr>
          <w:p>
            <w:r>
              <w:rPr>
                <w:sz w:val="19"/>
              </w:rPr>
              <w:t>currency</w:t>
            </w:r>
          </w:p>
        </w:tc>
        <w:tc>
          <w:tcPr>
            <w:tcW w:type="dxa" w:w="1440"/>
          </w:tcPr>
          <w:p>
            <w:r>
              <w:rPr>
                <w:sz w:val="19"/>
              </w:rPr>
              <w:t>Denomination currency</w:t>
            </w:r>
          </w:p>
        </w:tc>
        <w:tc>
          <w:tcPr>
            <w:tcW w:type="dxa" w:w="1440"/>
          </w:tcPr>
          <w:p>
            <w:r>
              <w:rPr>
                <w:sz w:val="19"/>
              </w:rPr>
              <w:t>Reference/master data</w:t>
            </w:r>
          </w:p>
        </w:tc>
        <w:tc>
          <w:tcPr>
            <w:tcW w:type="dxa" w:w="1440"/>
          </w:tcPr>
          <w:p>
            <w:r>
              <w:rPr>
                <w:sz w:val="19"/>
              </w:rPr>
              <w:t>string (ISO)</w:t>
            </w:r>
          </w:p>
        </w:tc>
        <w:tc>
          <w:tcPr>
            <w:tcW w:type="dxa" w:w="1440"/>
          </w:tcPr>
          <w:p>
            <w:r>
              <w:rPr>
                <w:sz w:val="19"/>
              </w:rPr>
              <w:t>Mandatory for Equity/Option/Bond; NULL for FX</w:t>
            </w:r>
          </w:p>
        </w:tc>
        <w:tc>
          <w:tcPr>
            <w:tcW w:type="dxa" w:w="1440"/>
          </w:tcPr>
          <w:p>
            <w:r>
              <w:rPr>
                <w:sz w:val="19"/>
              </w:rPr>
            </w:r>
          </w:p>
        </w:tc>
      </w:tr>
      <w:tr>
        <w:tc>
          <w:tcPr>
            <w:tcW w:type="dxa" w:w="1440"/>
          </w:tcPr>
          <w:p>
            <w:r>
              <w:rPr>
                <w:sz w:val="19"/>
              </w:rPr>
              <w:t>base_currency</w:t>
            </w:r>
          </w:p>
        </w:tc>
        <w:tc>
          <w:tcPr>
            <w:tcW w:type="dxa" w:w="1440"/>
          </w:tcPr>
          <w:p>
            <w:r>
              <w:rPr>
                <w:sz w:val="19"/>
              </w:rPr>
              <w:t>Currency being bought/sold</w:t>
            </w:r>
          </w:p>
        </w:tc>
        <w:tc>
          <w:tcPr>
            <w:tcW w:type="dxa" w:w="1440"/>
          </w:tcPr>
          <w:p>
            <w:r>
              <w:rPr>
                <w:sz w:val="19"/>
              </w:rPr>
              <w:t>Reference/master data</w:t>
            </w:r>
          </w:p>
        </w:tc>
        <w:tc>
          <w:tcPr>
            <w:tcW w:type="dxa" w:w="1440"/>
          </w:tcPr>
          <w:p>
            <w:r>
              <w:rPr>
                <w:sz w:val="19"/>
              </w:rPr>
              <w:t>string (ISO)</w:t>
            </w:r>
          </w:p>
        </w:tc>
        <w:tc>
          <w:tcPr>
            <w:tcW w:type="dxa" w:w="1440"/>
          </w:tcPr>
          <w:p>
            <w:r>
              <w:rPr>
                <w:sz w:val="19"/>
              </w:rPr>
              <w:t>Mandatory for FX only</w:t>
            </w:r>
          </w:p>
        </w:tc>
        <w:tc>
          <w:tcPr>
            <w:tcW w:type="dxa" w:w="1440"/>
          </w:tcPr>
          <w:p>
            <w:r>
              <w:rPr>
                <w:sz w:val="19"/>
              </w:rPr>
            </w:r>
          </w:p>
        </w:tc>
      </w:tr>
      <w:tr>
        <w:tc>
          <w:tcPr>
            <w:tcW w:type="dxa" w:w="1440"/>
          </w:tcPr>
          <w:p>
            <w:r>
              <w:rPr>
                <w:sz w:val="19"/>
              </w:rPr>
              <w:t>quote_currency</w:t>
            </w:r>
          </w:p>
        </w:tc>
        <w:tc>
          <w:tcPr>
            <w:tcW w:type="dxa" w:w="1440"/>
          </w:tcPr>
          <w:p>
            <w:r>
              <w:rPr>
                <w:sz w:val="19"/>
              </w:rPr>
              <w:t>Currency it is priced in</w:t>
            </w:r>
          </w:p>
        </w:tc>
        <w:tc>
          <w:tcPr>
            <w:tcW w:type="dxa" w:w="1440"/>
          </w:tcPr>
          <w:p>
            <w:r>
              <w:rPr>
                <w:sz w:val="19"/>
              </w:rPr>
              <w:t>Reference/master data</w:t>
            </w:r>
          </w:p>
        </w:tc>
        <w:tc>
          <w:tcPr>
            <w:tcW w:type="dxa" w:w="1440"/>
          </w:tcPr>
          <w:p>
            <w:r>
              <w:rPr>
                <w:sz w:val="19"/>
              </w:rPr>
              <w:t>string (ISO)</w:t>
            </w:r>
          </w:p>
        </w:tc>
        <w:tc>
          <w:tcPr>
            <w:tcW w:type="dxa" w:w="1440"/>
          </w:tcPr>
          <w:p>
            <w:r>
              <w:rPr>
                <w:sz w:val="19"/>
              </w:rPr>
              <w:t>Mandatory for FX only</w:t>
            </w:r>
          </w:p>
        </w:tc>
        <w:tc>
          <w:tcPr>
            <w:tcW w:type="dxa" w:w="1440"/>
          </w:tcPr>
          <w:p>
            <w:r>
              <w:rPr>
                <w:sz w:val="19"/>
              </w:rPr>
            </w:r>
          </w:p>
        </w:tc>
      </w:tr>
      <w:tr>
        <w:tc>
          <w:tcPr>
            <w:tcW w:type="dxa" w:w="1440"/>
          </w:tcPr>
          <w:p>
            <w:r>
              <w:rPr>
                <w:sz w:val="19"/>
              </w:rPr>
              <w:t>maturity_date</w:t>
            </w:r>
          </w:p>
        </w:tc>
        <w:tc>
          <w:tcPr>
            <w:tcW w:type="dxa" w:w="1440"/>
          </w:tcPr>
          <w:p>
            <w:r>
              <w:rPr>
                <w:sz w:val="19"/>
              </w:rPr>
              <w:t>Bond maturity / option expiry</w:t>
            </w:r>
          </w:p>
        </w:tc>
        <w:tc>
          <w:tcPr>
            <w:tcW w:type="dxa" w:w="1440"/>
          </w:tcPr>
          <w:p>
            <w:r>
              <w:rPr>
                <w:sz w:val="19"/>
              </w:rPr>
              <w:t>Reference/master data</w:t>
            </w:r>
          </w:p>
        </w:tc>
        <w:tc>
          <w:tcPr>
            <w:tcW w:type="dxa" w:w="1440"/>
          </w:tcPr>
          <w:p>
            <w:r>
              <w:rPr>
                <w:sz w:val="19"/>
              </w:rPr>
              <w:t>date</w:t>
            </w:r>
          </w:p>
        </w:tc>
        <w:tc>
          <w:tcPr>
            <w:tcW w:type="dxa" w:w="1440"/>
          </w:tcPr>
          <w:p>
            <w:r>
              <w:rPr>
                <w:sz w:val="19"/>
              </w:rPr>
              <w:t>Mandatory for Bond/Option; null otherwise</w:t>
            </w:r>
          </w:p>
        </w:tc>
        <w:tc>
          <w:tcPr>
            <w:tcW w:type="dxa" w:w="1440"/>
          </w:tcPr>
          <w:p>
            <w:r>
              <w:rPr>
                <w:sz w:val="19"/>
              </w:rPr>
            </w:r>
          </w:p>
        </w:tc>
      </w:tr>
      <w:tr>
        <w:tc>
          <w:tcPr>
            <w:tcW w:type="dxa" w:w="1440"/>
          </w:tcPr>
          <w:p>
            <w:r>
              <w:rPr>
                <w:sz w:val="19"/>
              </w:rPr>
              <w:t>coupon_rate</w:t>
            </w:r>
          </w:p>
        </w:tc>
        <w:tc>
          <w:tcPr>
            <w:tcW w:type="dxa" w:w="1440"/>
          </w:tcPr>
          <w:p>
            <w:r>
              <w:rPr>
                <w:sz w:val="19"/>
              </w:rPr>
              <w:t>Fixed coupon</w:t>
            </w:r>
          </w:p>
        </w:tc>
        <w:tc>
          <w:tcPr>
            <w:tcW w:type="dxa" w:w="1440"/>
          </w:tcPr>
          <w:p>
            <w:r>
              <w:rPr>
                <w:sz w:val="19"/>
              </w:rPr>
              <w:t>Reference/master data</w:t>
            </w:r>
          </w:p>
        </w:tc>
        <w:tc>
          <w:tcPr>
            <w:tcW w:type="dxa" w:w="1440"/>
          </w:tcPr>
          <w:p>
            <w:r>
              <w:rPr>
                <w:sz w:val="19"/>
              </w:rPr>
              <w:t>float</w:t>
            </w:r>
          </w:p>
        </w:tc>
        <w:tc>
          <w:tcPr>
            <w:tcW w:type="dxa" w:w="1440"/>
          </w:tcPr>
          <w:p>
            <w:r>
              <w:rPr>
                <w:sz w:val="19"/>
              </w:rPr>
              <w:t>Mandatory for Bond only</w:t>
            </w:r>
          </w:p>
        </w:tc>
        <w:tc>
          <w:tcPr>
            <w:tcW w:type="dxa" w:w="1440"/>
          </w:tcPr>
          <w:p>
            <w:r>
              <w:rPr>
                <w:sz w:val="19"/>
              </w:rPr>
            </w:r>
          </w:p>
        </w:tc>
      </w:tr>
      <w:tr>
        <w:tc>
          <w:tcPr>
            <w:tcW w:type="dxa" w:w="1440"/>
          </w:tcPr>
          <w:p>
            <w:r>
              <w:rPr>
                <w:sz w:val="19"/>
              </w:rPr>
              <w:t>strike_price</w:t>
            </w:r>
          </w:p>
        </w:tc>
        <w:tc>
          <w:tcPr>
            <w:tcW w:type="dxa" w:w="1440"/>
          </w:tcPr>
          <w:p>
            <w:r>
              <w:rPr>
                <w:sz w:val="19"/>
              </w:rPr>
              <w:t>Option strike</w:t>
            </w:r>
          </w:p>
        </w:tc>
        <w:tc>
          <w:tcPr>
            <w:tcW w:type="dxa" w:w="1440"/>
          </w:tcPr>
          <w:p>
            <w:r>
              <w:rPr>
                <w:sz w:val="19"/>
              </w:rPr>
              <w:t>Reference/master data</w:t>
            </w:r>
          </w:p>
        </w:tc>
        <w:tc>
          <w:tcPr>
            <w:tcW w:type="dxa" w:w="1440"/>
          </w:tcPr>
          <w:p>
            <w:r>
              <w:rPr>
                <w:sz w:val="19"/>
              </w:rPr>
              <w:t>float</w:t>
            </w:r>
          </w:p>
        </w:tc>
        <w:tc>
          <w:tcPr>
            <w:tcW w:type="dxa" w:w="1440"/>
          </w:tcPr>
          <w:p>
            <w:r>
              <w:rPr>
                <w:sz w:val="19"/>
              </w:rPr>
              <w:t>Mandatory for Option only</w:t>
            </w:r>
          </w:p>
        </w:tc>
        <w:tc>
          <w:tcPr>
            <w:tcW w:type="dxa" w:w="1440"/>
          </w:tcPr>
          <w:p>
            <w:r>
              <w:rPr>
                <w:sz w:val="19"/>
              </w:rPr>
            </w:r>
          </w:p>
        </w:tc>
      </w:tr>
      <w:tr>
        <w:tc>
          <w:tcPr>
            <w:tcW w:type="dxa" w:w="1440"/>
          </w:tcPr>
          <w:p>
            <w:r>
              <w:rPr>
                <w:sz w:val="19"/>
              </w:rPr>
              <w:t>option_type</w:t>
            </w:r>
          </w:p>
        </w:tc>
        <w:tc>
          <w:tcPr>
            <w:tcW w:type="dxa" w:w="1440"/>
          </w:tcPr>
          <w:p>
            <w:r>
              <w:rPr>
                <w:sz w:val="19"/>
              </w:rPr>
              <w:t>Call / Put</w:t>
            </w:r>
          </w:p>
        </w:tc>
        <w:tc>
          <w:tcPr>
            <w:tcW w:type="dxa" w:w="1440"/>
          </w:tcPr>
          <w:p>
            <w:r>
              <w:rPr>
                <w:sz w:val="19"/>
              </w:rPr>
              <w:t>Reference/master data</w:t>
            </w:r>
          </w:p>
        </w:tc>
        <w:tc>
          <w:tcPr>
            <w:tcW w:type="dxa" w:w="1440"/>
          </w:tcPr>
          <w:p>
            <w:r>
              <w:rPr>
                <w:sz w:val="19"/>
              </w:rPr>
              <w:t>categorical</w:t>
            </w:r>
          </w:p>
        </w:tc>
        <w:tc>
          <w:tcPr>
            <w:tcW w:type="dxa" w:w="1440"/>
          </w:tcPr>
          <w:p>
            <w:r>
              <w:rPr>
                <w:sz w:val="19"/>
              </w:rPr>
              <w:t>Mandatory for Option only</w:t>
            </w:r>
          </w:p>
        </w:tc>
        <w:tc>
          <w:tcPr>
            <w:tcW w:type="dxa" w:w="1440"/>
          </w:tcPr>
          <w:p>
            <w:r>
              <w:rPr>
                <w:sz w:val="19"/>
              </w:rPr>
            </w:r>
          </w:p>
        </w:tc>
      </w:tr>
      <w:tr>
        <w:tc>
          <w:tcPr>
            <w:tcW w:type="dxa" w:w="1440"/>
          </w:tcPr>
          <w:p>
            <w:r>
              <w:rPr>
                <w:sz w:val="19"/>
              </w:rPr>
              <w:t>contract_multiplier</w:t>
            </w:r>
          </w:p>
        </w:tc>
        <w:tc>
          <w:tcPr>
            <w:tcW w:type="dxa" w:w="1440"/>
          </w:tcPr>
          <w:p>
            <w:r>
              <w:rPr>
                <w:sz w:val="19"/>
              </w:rPr>
              <w:t>Shares per option contract</w:t>
            </w:r>
          </w:p>
        </w:tc>
        <w:tc>
          <w:tcPr>
            <w:tcW w:type="dxa" w:w="1440"/>
          </w:tcPr>
          <w:p>
            <w:r>
              <w:rPr>
                <w:sz w:val="19"/>
              </w:rPr>
              <w:t>Reference/master data</w:t>
            </w:r>
          </w:p>
        </w:tc>
        <w:tc>
          <w:tcPr>
            <w:tcW w:type="dxa" w:w="1440"/>
          </w:tcPr>
          <w:p>
            <w:r>
              <w:rPr>
                <w:sz w:val="19"/>
              </w:rPr>
              <w:t>int</w:t>
            </w:r>
          </w:p>
        </w:tc>
        <w:tc>
          <w:tcPr>
            <w:tcW w:type="dxa" w:w="1440"/>
          </w:tcPr>
          <w:p>
            <w:r>
              <w:rPr>
                <w:sz w:val="19"/>
              </w:rPr>
              <w:t>Mandatory for Option only</w:t>
            </w:r>
          </w:p>
        </w:tc>
        <w:tc>
          <w:tcPr>
            <w:tcW w:type="dxa" w:w="1440"/>
          </w:tcPr>
          <w:p>
            <w:r>
              <w:rPr>
                <w:sz w:val="19"/>
              </w:rPr>
            </w:r>
          </w:p>
        </w:tc>
      </w:tr>
    </w:tbl>
    <w:p/>
    <w:p>
      <w:pPr>
        <w:pStyle w:val="Heading2"/>
      </w:pPr>
      <w:r>
        <w:t>4.5 Position (netted, not raw trades)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Field</w:t>
            </w:r>
          </w:p>
        </w:tc>
        <w:tc>
          <w:tcPr>
            <w:tcW w:type="dxa" w:w="1440"/>
          </w:tcPr>
          <w:p>
            <w:r>
              <w:rPr>
                <w:b/>
                <w:sz w:val="19"/>
              </w:rPr>
              <w:t>Meaning</w:t>
            </w:r>
          </w:p>
        </w:tc>
        <w:tc>
          <w:tcPr>
            <w:tcW w:type="dxa" w:w="1440"/>
          </w:tcPr>
          <w:p>
            <w:r>
              <w:rPr>
                <w:b/>
                <w:sz w:val="19"/>
              </w:rPr>
              <w:t>Origin</w:t>
            </w:r>
          </w:p>
        </w:tc>
        <w:tc>
          <w:tcPr>
            <w:tcW w:type="dxa" w:w="1440"/>
          </w:tcPr>
          <w:p>
            <w:r>
              <w:rPr>
                <w:b/>
                <w:sz w:val="19"/>
              </w:rPr>
              <w:t>Type</w:t>
            </w:r>
          </w:p>
        </w:tc>
        <w:tc>
          <w:tcPr>
            <w:tcW w:type="dxa" w:w="1440"/>
          </w:tcPr>
          <w:p>
            <w:r>
              <w:rPr>
                <w:b/>
                <w:sz w:val="19"/>
              </w:rPr>
              <w:t>Mandatory / Nullable</w:t>
            </w:r>
          </w:p>
        </w:tc>
        <w:tc>
          <w:tcPr>
            <w:tcW w:type="dxa" w:w="1440"/>
          </w:tcPr>
          <w:p>
            <w:r>
              <w:rPr>
                <w:b/>
                <w:sz w:val="19"/>
              </w:rPr>
              <w:t>Key</w:t>
            </w:r>
          </w:p>
        </w:tc>
      </w:tr>
      <w:tr>
        <w:tc>
          <w:tcPr>
            <w:tcW w:type="dxa" w:w="1440"/>
          </w:tcPr>
          <w:p>
            <w:r>
              <w:rPr>
                <w:sz w:val="19"/>
              </w:rPr>
              <w:t>position_id</w:t>
            </w:r>
          </w:p>
        </w:tc>
        <w:tc>
          <w:tcPr>
            <w:tcW w:type="dxa" w:w="1440"/>
          </w:tcPr>
          <w:p>
            <w:r>
              <w:rPr>
                <w:sz w:val="19"/>
              </w:rPr>
              <w:t>Unique row identifier</w:t>
            </w:r>
          </w:p>
        </w:tc>
        <w:tc>
          <w:tcPr>
            <w:tcW w:type="dxa" w:w="1440"/>
          </w:tcPr>
          <w:p>
            <w:r>
              <w:rPr>
                <w:sz w:val="19"/>
              </w:rPr>
              <w:t>Position-keeping system (derived from Front Office trades, not typed by a trader)</w:t>
            </w:r>
          </w:p>
        </w:tc>
        <w:tc>
          <w:tcPr>
            <w:tcW w:type="dxa" w:w="1440"/>
          </w:tcPr>
          <w:p>
            <w:r>
              <w:rPr>
                <w:sz w:val="19"/>
              </w:rPr>
              <w:t>string</w:t>
            </w:r>
          </w:p>
        </w:tc>
        <w:tc>
          <w:tcPr>
            <w:tcW w:type="dxa" w:w="1440"/>
          </w:tcPr>
          <w:p>
            <w:r>
              <w:rPr>
                <w:sz w:val="19"/>
              </w:rPr>
              <w:t>Mandatory</w:t>
            </w:r>
          </w:p>
        </w:tc>
        <w:tc>
          <w:tcPr>
            <w:tcW w:type="dxa" w:w="1440"/>
          </w:tcPr>
          <w:p>
            <w:r>
              <w:rPr>
                <w:sz w:val="19"/>
              </w:rPr>
              <w:t>PK</w:t>
            </w:r>
          </w:p>
        </w:tc>
      </w:tr>
      <w:tr>
        <w:tc>
          <w:tcPr>
            <w:tcW w:type="dxa" w:w="1440"/>
          </w:tcPr>
          <w:p>
            <w:r>
              <w:rPr>
                <w:sz w:val="19"/>
              </w:rPr>
              <w:t>as_of_date</w:t>
            </w:r>
          </w:p>
        </w:tc>
        <w:tc>
          <w:tcPr>
            <w:tcW w:type="dxa" w:w="1440"/>
          </w:tcPr>
          <w:p>
            <w:r>
              <w:rPr>
                <w:sz w:val="19"/>
              </w:rPr>
              <w:t>Date this position snapshot is valid for</w:t>
            </w:r>
          </w:p>
        </w:tc>
        <w:tc>
          <w:tcPr>
            <w:tcW w:type="dxa" w:w="1440"/>
          </w:tcPr>
          <w:p>
            <w:r>
              <w:rPr>
                <w:sz w:val="19"/>
              </w:rPr>
              <w:t>Position-keeping system</w:t>
            </w:r>
          </w:p>
        </w:tc>
        <w:tc>
          <w:tcPr>
            <w:tcW w:type="dxa" w:w="1440"/>
          </w:tcPr>
          <w:p>
            <w:r>
              <w:rPr>
                <w:sz w:val="19"/>
              </w:rPr>
              <w:t>date</w:t>
            </w:r>
          </w:p>
        </w:tc>
        <w:tc>
          <w:tcPr>
            <w:tcW w:type="dxa" w:w="1440"/>
          </w:tcPr>
          <w:p>
            <w:r>
              <w:rPr>
                <w:sz w:val="19"/>
              </w:rPr>
              <w:t>Mandatory</w:t>
            </w:r>
          </w:p>
        </w:tc>
        <w:tc>
          <w:tcPr>
            <w:tcW w:type="dxa" w:w="1440"/>
          </w:tcPr>
          <w:p>
            <w:r>
              <w:rPr>
                <w:sz w:val="19"/>
              </w:rPr>
            </w:r>
          </w:p>
        </w:tc>
      </w:tr>
      <w:tr>
        <w:tc>
          <w:tcPr>
            <w:tcW w:type="dxa" w:w="1440"/>
          </w:tcPr>
          <w:p>
            <w:r>
              <w:rPr>
                <w:sz w:val="19"/>
              </w:rPr>
              <w:t>book_id</w:t>
            </w:r>
          </w:p>
        </w:tc>
        <w:tc>
          <w:tcPr>
            <w:tcW w:type="dxa" w:w="1440"/>
          </w:tcPr>
          <w:p>
            <w:r>
              <w:rPr>
                <w:sz w:val="19"/>
              </w:rPr>
              <w:t>Owning book</w:t>
            </w:r>
          </w:p>
        </w:tc>
        <w:tc>
          <w:tcPr>
            <w:tcW w:type="dxa" w:w="1440"/>
          </w:tcPr>
          <w:p>
            <w:r>
              <w:rPr>
                <w:sz w:val="19"/>
              </w:rPr>
              <w:t>Position-keeping system</w:t>
            </w:r>
          </w:p>
        </w:tc>
        <w:tc>
          <w:tcPr>
            <w:tcW w:type="dxa" w:w="1440"/>
          </w:tcPr>
          <w:p>
            <w:r>
              <w:rPr>
                <w:sz w:val="19"/>
              </w:rPr>
              <w:t>string</w:t>
            </w:r>
          </w:p>
        </w:tc>
        <w:tc>
          <w:tcPr>
            <w:tcW w:type="dxa" w:w="1440"/>
          </w:tcPr>
          <w:p>
            <w:r>
              <w:rPr>
                <w:sz w:val="19"/>
              </w:rPr>
              <w:t>Mandatory</w:t>
            </w:r>
          </w:p>
        </w:tc>
        <w:tc>
          <w:tcPr>
            <w:tcW w:type="dxa" w:w="1440"/>
          </w:tcPr>
          <w:p>
            <w:r>
              <w:rPr>
                <w:sz w:val="19"/>
              </w:rPr>
              <w:t>FK -&gt; Book.book_id</w:t>
            </w:r>
          </w:p>
        </w:tc>
      </w:tr>
      <w:tr>
        <w:tc>
          <w:tcPr>
            <w:tcW w:type="dxa" w:w="1440"/>
          </w:tcPr>
          <w:p>
            <w:r>
              <w:rPr>
                <w:sz w:val="19"/>
              </w:rPr>
              <w:t>instrument_id</w:t>
            </w:r>
          </w:p>
        </w:tc>
        <w:tc>
          <w:tcPr>
            <w:tcW w:type="dxa" w:w="1440"/>
          </w:tcPr>
          <w:p>
            <w:r>
              <w:rPr>
                <w:sz w:val="19"/>
              </w:rPr>
              <w:t>What is held</w:t>
            </w:r>
          </w:p>
        </w:tc>
        <w:tc>
          <w:tcPr>
            <w:tcW w:type="dxa" w:w="1440"/>
          </w:tcPr>
          <w:p>
            <w:r>
              <w:rPr>
                <w:sz w:val="19"/>
              </w:rPr>
              <w:t>Position-keeping system</w:t>
            </w:r>
          </w:p>
        </w:tc>
        <w:tc>
          <w:tcPr>
            <w:tcW w:type="dxa" w:w="1440"/>
          </w:tcPr>
          <w:p>
            <w:r>
              <w:rPr>
                <w:sz w:val="19"/>
              </w:rPr>
              <w:t>string</w:t>
            </w:r>
          </w:p>
        </w:tc>
        <w:tc>
          <w:tcPr>
            <w:tcW w:type="dxa" w:w="1440"/>
          </w:tcPr>
          <w:p>
            <w:r>
              <w:rPr>
                <w:sz w:val="19"/>
              </w:rPr>
              <w:t>Mandatory</w:t>
            </w:r>
          </w:p>
        </w:tc>
        <w:tc>
          <w:tcPr>
            <w:tcW w:type="dxa" w:w="1440"/>
          </w:tcPr>
          <w:p>
            <w:r>
              <w:rPr>
                <w:sz w:val="19"/>
              </w:rPr>
              <w:t>FK -&gt; Instrument.instrument_id</w:t>
            </w:r>
          </w:p>
        </w:tc>
      </w:tr>
      <w:tr>
        <w:tc>
          <w:tcPr>
            <w:tcW w:type="dxa" w:w="1440"/>
          </w:tcPr>
          <w:p>
            <w:r>
              <w:rPr>
                <w:sz w:val="19"/>
              </w:rPr>
              <w:t>quantity</w:t>
            </w:r>
          </w:p>
        </w:tc>
        <w:tc>
          <w:tcPr>
            <w:tcW w:type="dxa" w:w="1440"/>
          </w:tcPr>
          <w:p>
            <w:r>
              <w:rPr>
                <w:sz w:val="19"/>
              </w:rPr>
              <w:t>Signed net size (shares / contracts / face value / FX amount); sign gives direction</w:t>
            </w:r>
          </w:p>
        </w:tc>
        <w:tc>
          <w:tcPr>
            <w:tcW w:type="dxa" w:w="1440"/>
          </w:tcPr>
          <w:p>
            <w:r>
              <w:rPr>
                <w:sz w:val="19"/>
              </w:rPr>
              <w:t>Position-keeping system</w:t>
            </w:r>
          </w:p>
        </w:tc>
        <w:tc>
          <w:tcPr>
            <w:tcW w:type="dxa" w:w="1440"/>
          </w:tcPr>
          <w:p>
            <w:r>
              <w:rPr>
                <w:sz w:val="19"/>
              </w:rPr>
              <w:t>float</w:t>
            </w:r>
          </w:p>
        </w:tc>
        <w:tc>
          <w:tcPr>
            <w:tcW w:type="dxa" w:w="1440"/>
          </w:tcPr>
          <w:p>
            <w:r>
              <w:rPr>
                <w:sz w:val="19"/>
              </w:rPr>
              <w:t>Mandatory</w:t>
            </w:r>
          </w:p>
        </w:tc>
        <w:tc>
          <w:tcPr>
            <w:tcW w:type="dxa" w:w="1440"/>
          </w:tcPr>
          <w:p>
            <w:r>
              <w:rPr>
                <w:sz w:val="19"/>
              </w:rPr>
            </w:r>
          </w:p>
        </w:tc>
      </w:tr>
    </w:tbl>
    <w:p/>
    <w:p>
      <w:pPr>
        <w:pStyle w:val="Heading2"/>
      </w:pPr>
      <w:r>
        <w:t>4.6 Final Relationships</w:t>
      </w:r>
    </w:p>
    <w:p>
      <w:pPr>
        <w:spacing w:before="80" w:after="160"/>
        <w:ind w:left="360"/>
      </w:pPr>
      <w:r>
        <w:rPr>
          <w:rFonts w:ascii="Consolas" w:hAnsi="Consolas"/>
          <w:sz w:val="18"/>
        </w:rPr>
        <w:t>Desk (1) --&lt; (many) Book</w:t>
        <w:br/>
        <w:t>Book (1) --&lt; (many) Position</w:t>
        <w:br/>
        <w:t>Position (many) &gt;-- (1) Instrument</w:t>
        <w:br/>
        <w:t>Instrument (many) &gt;-- (0..1) Issuer            [FK nullable; NULL for FX]</w:t>
        <w:br/>
        <w:t>Instrument (many) &gt;-- (0..1) Instrument        [self-FK underlying_instrument_id; Option only]</w:t>
        <w:br/>
        <w:t>Instrument (many) &gt;--&lt; (many) Risk Factor      [deferred to Market Data / Sensitivities modules]</w:t>
      </w:r>
    </w:p>
    <w:p>
      <w:pPr>
        <w:pStyle w:val="Heading2"/>
      </w:pPr>
      <w:r>
        <w:t>4.7 Remaining Simplifications &amp; Normalization Issues (Named Explicitly)</w:t>
      </w:r>
    </w:p>
    <w:p>
      <w:pPr>
        <w:pStyle w:val="ListBullet"/>
      </w:pPr>
      <w:r>
        <w:t>No enforced natural key on Position: (book_id, instrument_id, as_of_date) should conceptually be unique, but position_id is a surrogate key — nothing at the schema level stops a duplicate; caught instead by an application-level validation check (Section 6).</w:t>
      </w:r>
    </w:p>
    <w:p>
      <w:pPr>
        <w:pStyle w:val="ListBullet"/>
      </w:pPr>
      <w:r>
        <w:t>Trade-level audit history has been traded away entirely by committing to netted positions only. This pushes later P&amp;L attribution toward risk/hypothetical P&amp;L (market-move based) rather than trader P&amp;L (cost-basis based) — a real consequence of this schema choice, not a free simplification.</w:t>
      </w:r>
    </w:p>
    <w:p>
      <w:pPr>
        <w:pStyle w:val="ListBullet"/>
      </w:pPr>
      <w:r>
        <w:t>The Instrument table is a wide, sparse table: nullability is conditional on asset_class (bond fields null for equities, FX fields null for everything else). A fully normalized design would split this into subtype tables (class-table inheritance). One wide table was chosen deliberately for a one-week pandas-based project.</w:t>
      </w:r>
    </w:p>
    <w:p>
      <w:pPr>
        <w:pStyle w:val="ListBullet"/>
      </w:pPr>
      <w:r>
        <w:t>underlying_instrument_id assumes the underlying is always one of the modelled Equity instruments; this would not extend cleanly to index options or FX options.</w:t>
      </w:r>
    </w:p>
    <w:p>
      <w:pPr>
        <w:pStyle w:val="ListBullet"/>
      </w:pPr>
      <w:r>
        <w:t>Reference data has no effective-dating (no valid_from/valid_to) — issuer ratings and sectors are treated as single current values with no history.</w:t>
      </w:r>
    </w:p>
    <w:p>
      <w:pPr>
        <w:pStyle w:val="ListBullet"/>
      </w:pPr>
      <w:r>
        <w:t>as_of_date on Position is, for this project, a single constant snapshot rather than a time series. This was an open decision resolved in favour of "single current snapshot" unless a later module specifically needs position history rather than market-data history.</w:t>
      </w:r>
    </w:p>
    <w:p>
      <w:pPr>
        <w:pStyle w:val="Heading1"/>
      </w:pPr>
      <w:r>
        <w:t>5. Synthetic Portfolio Design</w:t>
      </w:r>
    </w:p>
    <w:p>
      <w:r>
        <w:t>The synthetic book (~40 positions) was deliberately engineered — not randomly sampled — so that later modules can demonstrate specific, realistic scenarios: desk- and book-level aggregation, issuer concentration, diversified risk-factor exposure, and a desk approaching or breaching a risk limit. This is an explicit and important simplification: a real bank's book is never hand-crafted like this; randomness was avoided here specifically because the brief calls for engineered scenarios.</w:t>
      </w:r>
    </w:p>
    <w:p>
      <w:pPr>
        <w:pStyle w:val="Heading2"/>
      </w:pPr>
      <w:r>
        <w:t>5.1 Desk Structure (3 desks)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desk_id</w:t>
            </w:r>
          </w:p>
        </w:tc>
        <w:tc>
          <w:tcPr>
            <w:tcW w:type="dxa" w:w="2880"/>
          </w:tcPr>
          <w:p>
            <w:r>
              <w:rPr>
                <w:b/>
                <w:sz w:val="19"/>
              </w:rPr>
              <w:t>desk_name</w:t>
            </w:r>
          </w:p>
        </w:tc>
        <w:tc>
          <w:tcPr>
            <w:tcW w:type="dxa" w:w="2880"/>
          </w:tcPr>
          <w:p>
            <w:r>
              <w:rPr>
                <w:b/>
                <w:sz w:val="19"/>
              </w:rPr>
              <w:t>asset_class_focus (informational)</w:t>
            </w:r>
          </w:p>
        </w:tc>
      </w:tr>
      <w:tr>
        <w:tc>
          <w:tcPr>
            <w:tcW w:type="dxa" w:w="2880"/>
          </w:tcPr>
          <w:p>
            <w:r>
              <w:rPr>
                <w:sz w:val="19"/>
              </w:rPr>
              <w:t>DSK_EQ</w:t>
            </w:r>
          </w:p>
        </w:tc>
        <w:tc>
          <w:tcPr>
            <w:tcW w:type="dxa" w:w="2880"/>
          </w:tcPr>
          <w:p>
            <w:r>
              <w:rPr>
                <w:sz w:val="19"/>
              </w:rPr>
              <w:t>Equities Desk</w:t>
            </w:r>
          </w:p>
        </w:tc>
        <w:tc>
          <w:tcPr>
            <w:tcW w:type="dxa" w:w="2880"/>
          </w:tcPr>
          <w:p>
            <w:r>
              <w:rPr>
                <w:sz w:val="19"/>
              </w:rPr>
              <w:t>Equity, Equity Option</w:t>
            </w:r>
          </w:p>
        </w:tc>
      </w:tr>
      <w:tr>
        <w:tc>
          <w:tcPr>
            <w:tcW w:type="dxa" w:w="2880"/>
          </w:tcPr>
          <w:p>
            <w:r>
              <w:rPr>
                <w:sz w:val="19"/>
              </w:rPr>
              <w:t>DSK_FI</w:t>
            </w:r>
          </w:p>
        </w:tc>
        <w:tc>
          <w:tcPr>
            <w:tcW w:type="dxa" w:w="2880"/>
          </w:tcPr>
          <w:p>
            <w:r>
              <w:rPr>
                <w:sz w:val="19"/>
              </w:rPr>
              <w:t>Fixed Income Desk</w:t>
            </w:r>
          </w:p>
        </w:tc>
        <w:tc>
          <w:tcPr>
            <w:tcW w:type="dxa" w:w="2880"/>
          </w:tcPr>
          <w:p>
            <w:r>
              <w:rPr>
                <w:sz w:val="19"/>
              </w:rPr>
              <w:t>Govt Bond, Corp Bond</w:t>
            </w:r>
          </w:p>
        </w:tc>
      </w:tr>
      <w:tr>
        <w:tc>
          <w:tcPr>
            <w:tcW w:type="dxa" w:w="2880"/>
          </w:tcPr>
          <w:p>
            <w:r>
              <w:rPr>
                <w:sz w:val="19"/>
              </w:rPr>
              <w:t>DSK_FX</w:t>
            </w:r>
          </w:p>
        </w:tc>
        <w:tc>
          <w:tcPr>
            <w:tcW w:type="dxa" w:w="2880"/>
          </w:tcPr>
          <w:p>
            <w:r>
              <w:rPr>
                <w:sz w:val="19"/>
              </w:rPr>
              <w:t>FX Desk</w:t>
            </w:r>
          </w:p>
        </w:tc>
        <w:tc>
          <w:tcPr>
            <w:tcW w:type="dxa" w:w="2880"/>
          </w:tcPr>
          <w:p>
            <w:r>
              <w:rPr>
                <w:sz w:val="19"/>
              </w:rPr>
              <w:t>FX</w:t>
            </w:r>
          </w:p>
        </w:tc>
      </w:tr>
    </w:tbl>
    <w:p/>
    <w:p>
      <w:pPr>
        <w:pStyle w:val="Heading2"/>
      </w:pPr>
      <w:r>
        <w:t>5.2 Books (6 books)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book_id</w:t>
            </w:r>
          </w:p>
        </w:tc>
        <w:tc>
          <w:tcPr>
            <w:tcW w:type="dxa" w:w="2160"/>
          </w:tcPr>
          <w:p>
            <w:r>
              <w:rPr>
                <w:b/>
                <w:sz w:val="19"/>
              </w:rPr>
              <w:t>book_name</w:t>
            </w:r>
          </w:p>
        </w:tc>
        <w:tc>
          <w:tcPr>
            <w:tcW w:type="dxa" w:w="2160"/>
          </w:tcPr>
          <w:p>
            <w:r>
              <w:rPr>
                <w:b/>
                <w:sz w:val="19"/>
              </w:rPr>
              <w:t>desk_id</w:t>
            </w:r>
          </w:p>
        </w:tc>
        <w:tc>
          <w:tcPr>
            <w:tcW w:type="dxa" w:w="2160"/>
          </w:tcPr>
          <w:p>
            <w:r>
              <w:rPr>
                <w:b/>
                <w:sz w:val="19"/>
              </w:rPr>
              <w:t>positions</w:t>
            </w:r>
          </w:p>
        </w:tc>
      </w:tr>
      <w:tr>
        <w:tc>
          <w:tcPr>
            <w:tcW w:type="dxa" w:w="2160"/>
          </w:tcPr>
          <w:p>
            <w:r>
              <w:rPr>
                <w:sz w:val="19"/>
              </w:rPr>
              <w:t>BK_EQ_LS</w:t>
            </w:r>
          </w:p>
        </w:tc>
        <w:tc>
          <w:tcPr>
            <w:tcW w:type="dxa" w:w="2160"/>
          </w:tcPr>
          <w:p>
            <w:r>
              <w:rPr>
                <w:sz w:val="19"/>
              </w:rPr>
              <w:t>US Equity Long/Short</w:t>
            </w:r>
          </w:p>
        </w:tc>
        <w:tc>
          <w:tcPr>
            <w:tcW w:type="dxa" w:w="2160"/>
          </w:tcPr>
          <w:p>
            <w:r>
              <w:rPr>
                <w:sz w:val="19"/>
              </w:rPr>
              <w:t>DSK_EQ</w:t>
            </w:r>
          </w:p>
        </w:tc>
        <w:tc>
          <w:tcPr>
            <w:tcW w:type="dxa" w:w="2160"/>
          </w:tcPr>
          <w:p>
            <w:r>
              <w:rPr>
                <w:sz w:val="19"/>
              </w:rPr>
              <w:t>10</w:t>
            </w:r>
          </w:p>
        </w:tc>
      </w:tr>
      <w:tr>
        <w:tc>
          <w:tcPr>
            <w:tcW w:type="dxa" w:w="2160"/>
          </w:tcPr>
          <w:p>
            <w:r>
              <w:rPr>
                <w:sz w:val="19"/>
              </w:rPr>
              <w:t>BK_EQ_DERIV</w:t>
            </w:r>
          </w:p>
        </w:tc>
        <w:tc>
          <w:tcPr>
            <w:tcW w:type="dxa" w:w="2160"/>
          </w:tcPr>
          <w:p>
            <w:r>
              <w:rPr>
                <w:sz w:val="19"/>
              </w:rPr>
              <w:t>Equity Derivatives</w:t>
            </w:r>
          </w:p>
        </w:tc>
        <w:tc>
          <w:tcPr>
            <w:tcW w:type="dxa" w:w="2160"/>
          </w:tcPr>
          <w:p>
            <w:r>
              <w:rPr>
                <w:sz w:val="19"/>
              </w:rPr>
              <w:t>DSK_EQ</w:t>
            </w:r>
          </w:p>
        </w:tc>
        <w:tc>
          <w:tcPr>
            <w:tcW w:type="dxa" w:w="2160"/>
          </w:tcPr>
          <w:p>
            <w:r>
              <w:rPr>
                <w:sz w:val="19"/>
              </w:rPr>
              <w:t>6</w:t>
            </w:r>
          </w:p>
        </w:tc>
      </w:tr>
      <w:tr>
        <w:tc>
          <w:tcPr>
            <w:tcW w:type="dxa" w:w="2160"/>
          </w:tcPr>
          <w:p>
            <w:r>
              <w:rPr>
                <w:sz w:val="19"/>
              </w:rPr>
              <w:t>BK_RATES_GOVT</w:t>
            </w:r>
          </w:p>
        </w:tc>
        <w:tc>
          <w:tcPr>
            <w:tcW w:type="dxa" w:w="2160"/>
          </w:tcPr>
          <w:p>
            <w:r>
              <w:rPr>
                <w:sz w:val="19"/>
              </w:rPr>
              <w:t>Rates - Government Bonds</w:t>
            </w:r>
          </w:p>
        </w:tc>
        <w:tc>
          <w:tcPr>
            <w:tcW w:type="dxa" w:w="2160"/>
          </w:tcPr>
          <w:p>
            <w:r>
              <w:rPr>
                <w:sz w:val="19"/>
              </w:rPr>
              <w:t>DSK_FI</w:t>
            </w:r>
          </w:p>
        </w:tc>
        <w:tc>
          <w:tcPr>
            <w:tcW w:type="dxa" w:w="2160"/>
          </w:tcPr>
          <w:p>
            <w:r>
              <w:rPr>
                <w:sz w:val="19"/>
              </w:rPr>
              <w:t>8</w:t>
            </w:r>
          </w:p>
        </w:tc>
      </w:tr>
      <w:tr>
        <w:tc>
          <w:tcPr>
            <w:tcW w:type="dxa" w:w="2160"/>
          </w:tcPr>
          <w:p>
            <w:r>
              <w:rPr>
                <w:sz w:val="19"/>
              </w:rPr>
              <w:t>BK_CREDIT_IG</w:t>
            </w:r>
          </w:p>
        </w:tc>
        <w:tc>
          <w:tcPr>
            <w:tcW w:type="dxa" w:w="2160"/>
          </w:tcPr>
          <w:p>
            <w:r>
              <w:rPr>
                <w:sz w:val="19"/>
              </w:rPr>
              <w:t>Investment Grade Credit</w:t>
            </w:r>
          </w:p>
        </w:tc>
        <w:tc>
          <w:tcPr>
            <w:tcW w:type="dxa" w:w="2160"/>
          </w:tcPr>
          <w:p>
            <w:r>
              <w:rPr>
                <w:sz w:val="19"/>
              </w:rPr>
              <w:t>DSK_FI</w:t>
            </w:r>
          </w:p>
        </w:tc>
        <w:tc>
          <w:tcPr>
            <w:tcW w:type="dxa" w:w="2160"/>
          </w:tcPr>
          <w:p>
            <w:r>
              <w:rPr>
                <w:sz w:val="19"/>
              </w:rPr>
              <w:t>6</w:t>
            </w:r>
          </w:p>
        </w:tc>
      </w:tr>
      <w:tr>
        <w:tc>
          <w:tcPr>
            <w:tcW w:type="dxa" w:w="2160"/>
          </w:tcPr>
          <w:p>
            <w:r>
              <w:rPr>
                <w:sz w:val="19"/>
              </w:rPr>
              <w:t>BK_CREDIT_CONC</w:t>
            </w:r>
          </w:p>
        </w:tc>
        <w:tc>
          <w:tcPr>
            <w:tcW w:type="dxa" w:w="2160"/>
          </w:tcPr>
          <w:p>
            <w:r>
              <w:rPr>
                <w:sz w:val="19"/>
              </w:rPr>
              <w:t>Credit - Concentrated Book</w:t>
            </w:r>
          </w:p>
        </w:tc>
        <w:tc>
          <w:tcPr>
            <w:tcW w:type="dxa" w:w="2160"/>
          </w:tcPr>
          <w:p>
            <w:r>
              <w:rPr>
                <w:sz w:val="19"/>
              </w:rPr>
              <w:t>DSK_FI</w:t>
            </w:r>
          </w:p>
        </w:tc>
        <w:tc>
          <w:tcPr>
            <w:tcW w:type="dxa" w:w="2160"/>
          </w:tcPr>
          <w:p>
            <w:r>
              <w:rPr>
                <w:sz w:val="19"/>
              </w:rPr>
              <w:t>4</w:t>
            </w:r>
          </w:p>
        </w:tc>
      </w:tr>
      <w:tr>
        <w:tc>
          <w:tcPr>
            <w:tcW w:type="dxa" w:w="2160"/>
          </w:tcPr>
          <w:p>
            <w:r>
              <w:rPr>
                <w:sz w:val="19"/>
              </w:rPr>
              <w:t>BK_FX_MAJORS</w:t>
            </w:r>
          </w:p>
        </w:tc>
        <w:tc>
          <w:tcPr>
            <w:tcW w:type="dxa" w:w="2160"/>
          </w:tcPr>
          <w:p>
            <w:r>
              <w:rPr>
                <w:sz w:val="19"/>
              </w:rPr>
              <w:t>FX Majors</w:t>
            </w:r>
          </w:p>
        </w:tc>
        <w:tc>
          <w:tcPr>
            <w:tcW w:type="dxa" w:w="2160"/>
          </w:tcPr>
          <w:p>
            <w:r>
              <w:rPr>
                <w:sz w:val="19"/>
              </w:rPr>
              <w:t>DSK_FX</w:t>
            </w:r>
          </w:p>
        </w:tc>
        <w:tc>
          <w:tcPr>
            <w:tcW w:type="dxa" w:w="2160"/>
          </w:tcPr>
          <w:p>
            <w:r>
              <w:rPr>
                <w:sz w:val="19"/>
              </w:rPr>
              <w:t>6</w:t>
            </w:r>
          </w:p>
        </w:tc>
      </w:tr>
    </w:tbl>
    <w:p/>
    <w:p>
      <w:pPr>
        <w:pStyle w:val="Heading2"/>
      </w:pPr>
      <w:r>
        <w:t>5.3 Instruments Selected, Rationale, and Risk Created</w:t>
      </w:r>
    </w:p>
    <w:p>
      <w:pPr>
        <w:pStyle w:val="Heading3"/>
      </w:pPr>
      <w:r>
        <w:t>Equities (10, BK_EQ_LS)</w:t>
      </w:r>
    </w:p>
    <w:p>
      <w:r>
        <w:t>AAPL, MSFT, JPM, XOM, AMZN, GOOGL, META, NVDA, BAC, KO — selected for sector spread (Technology, Financials, Energy, Consumer) so a sector-concentration or diversification story is visible later. Risk created: equity price (delta-one) risk, one risk factor per name.</w:t>
      </w:r>
    </w:p>
    <w:p>
      <w:pPr>
        <w:pStyle w:val="Heading3"/>
      </w:pPr>
      <w:r>
        <w:t>Equity Options (6, BK_EQ_DERIV)</w:t>
      </w:r>
    </w:p>
    <w:p>
      <w:r>
        <w:t>Calls/Puts on AAPL, JPM, MSFT, NVDA, XOM, each pointing via underlying_instrument_id to a stock already held in BK_EQ_LS, so cash-equity delta and option delta on the same name can later be combined (look-through exposure). Risk created: equity price delta, implied volatility (vega), time decay (theta), and a small rate sensitivity (rho).</w:t>
      </w:r>
    </w:p>
    <w:p>
      <w:pPr>
        <w:pStyle w:val="Heading3"/>
      </w:pPr>
      <w:r>
        <w:t>Government Bonds (8, BK_RATES_GOVT)</w:t>
      </w:r>
    </w:p>
    <w:p>
      <w:r>
        <w:t>US Treasury 2Y/5Y/10Y/30Y, UK Gilt 5Y/10Y, German Bund 5Y/10Y — built specifically as a maturity ladder across one curve (US) plus cross-currency sovereign exposure (GBP, EUR). Risk created: interest rate / duration risk (DV01), bucketed by tenor.</w:t>
      </w:r>
    </w:p>
    <w:p>
      <w:pPr>
        <w:pStyle w:val="Heading3"/>
      </w:pPr>
      <w:r>
        <w:t>Corporate Bonds (10, split 6/4 across BK_CREDIT_IG and BK_CREDIT_CONC)</w:t>
      </w:r>
    </w:p>
    <w:p>
      <w:r>
        <w:t>AAPL, MSFT, XOM, BAC, JPM issuers at 2Y-10Y tenors. Risk created: duration (DV01) plus credit spread risk (CS01) — a useful contrast against government bonds, which carry duration but effectively no credit spread risk.</w:t>
      </w:r>
    </w:p>
    <w:p>
      <w:pPr>
        <w:pStyle w:val="Heading3"/>
      </w:pPr>
      <w:r>
        <w:t>FX (6, BK_FX_MAJORS)</w:t>
      </w:r>
    </w:p>
    <w:p>
      <w:r>
        <w:t>EURUSD, GBPUSD, USDJPY, AUDUSD, USDCHF, USDCAD — the standard G10 majors. Risk created: FX spot risk, one risk factor per pair; issuer_id = NULL throughout per the schema decision above.</w:t>
      </w:r>
    </w:p>
    <w:p>
      <w:pPr>
        <w:pStyle w:val="Heading2"/>
      </w:pPr>
      <w:r>
        <w:t>5.4 Deliberate Issuer Concentration: JPMorgan Chase (ISS_JPM)</w:t>
      </w:r>
    </w:p>
    <w:p>
      <w:r>
        <w:t>JPM appears as issuer of JPM-EQ (equity, Equities Desk), the JPM equity call option (Equities Desk, via underlying_instrument_id), and JPM-CB-5Y in BK_CREDIT_IG plus JPM-CB-2Y / JPM-CB-3Y / JPM-CB-10Y in BK_CREDIT_CONC (Fixed Income Desk). This spans two desks and three books, so an issuer-level look-through aggregation will show materially larger exposure than any single book — the point of the exercise. Total JPM corporate bond face value across books: $41,000,000.</w:t>
      </w:r>
    </w:p>
    <w:p>
      <w:pPr>
        <w:pStyle w:val="Heading2"/>
      </w:pPr>
      <w:r>
        <w:t>5.5 Desk Selected for Risk-Limit Breach Demonstration: Fixed Income Desk</w:t>
      </w:r>
    </w:p>
    <w:p>
      <w:r>
        <w:t>Specifically via BK_CREDIT_CONC, which alone holds $37,000,000 face value of JPM corporate bonds (12M + 15M + 10M), rising to $41,000,000 including BK_CREDIT_IG's JPM position. No limit is implemented yet (reserved for the Risk Limits module) — but position sizes were chosen now so that a plausible single-issuer concentration limit (e.g. $30-35M) will already be exceeded by this book without needing an artificial market shock to trigger it.</w:t>
      </w:r>
    </w:p>
    <w:p>
      <w:pPr>
        <w:pStyle w:val="Heading1"/>
      </w:pPr>
      <w:r>
        <w:t>6. Implementation — build_portfolio.py</w:t>
      </w:r>
    </w:p>
    <w:p>
      <w:r>
        <w:t>The build script is organised into seven sections, executed as a single script: Desks, Books, Issuers, Instruments, Positions, Validation, and Write/Sample-print. Key implementation points:</w:t>
      </w:r>
    </w:p>
    <w:p>
      <w:pPr>
        <w:pStyle w:val="Heading2"/>
      </w:pPr>
      <w:r>
        <w:t>6.1 Reference Data is Hand-Typed, Not Generated</w:t>
      </w:r>
    </w:p>
    <w:p>
      <w:r>
        <w:t>Desks, Books, Issuers and Instruments are hand-typed lists of dicts, matching how reference data is actually created in a bank (typed once into a master system by a reference-data/ops team), rather than sampled at random.</w:t>
      </w:r>
    </w:p>
    <w:p>
      <w:pPr>
        <w:pStyle w:val="Heading2"/>
      </w:pPr>
      <w:r>
        <w:t>6.2 A Defaults Helper Avoids Repetition</w:t>
      </w:r>
    </w:p>
    <w:p>
      <w:pPr>
        <w:spacing w:before="80" w:after="160"/>
        <w:ind w:left="360"/>
      </w:pPr>
      <w:r>
        <w:rPr>
          <w:rFonts w:ascii="Consolas" w:hAnsi="Consolas"/>
          <w:sz w:val="18"/>
        </w:rPr>
        <w:t>def _fill_defaults(row, **defaults):</w:t>
        <w:br/>
        <w:t xml:space="preserve">    for key, value in defaults.items():</w:t>
        <w:br/>
        <w:t xml:space="preserve">        row.setdefault(key, value)</w:t>
        <w:br/>
        <w:t xml:space="preserve">    return row</w:t>
      </w:r>
    </w:p>
    <w:p>
      <w:r>
        <w:t>Each asset-class list only specifies the fields that vary (e.g. instrument_id, instrument_name, issuer_id); _fill_defaults then stamps in the constant fields (asset_class, currency, and the bond/option-only fields set to None) using setdefault, which never overrides a value already present.</w:t>
      </w:r>
    </w:p>
    <w:p>
      <w:pPr>
        <w:pStyle w:val="Heading2"/>
      </w:pPr>
      <w:r>
        <w:t>6.3 Positions Encode Direction via Sign, Not a Separate Column</w:t>
      </w:r>
    </w:p>
    <w:p>
      <w:r>
        <w:t>position_specs is a flat list of (book_id, instrument_id, quantity) tuples. There is no direction column — it is always derivable from the sign of quantity, consistent with the schema decision in Section 3.2.</w:t>
      </w:r>
    </w:p>
    <w:p>
      <w:pPr>
        <w:pStyle w:val="Heading2"/>
      </w:pPr>
      <w:r>
        <w:t>6.4 Validation Collects All Errors Before Raising</w:t>
      </w:r>
    </w:p>
    <w:p>
      <w:pPr>
        <w:spacing w:before="80" w:after="160"/>
        <w:ind w:left="360"/>
      </w:pPr>
      <w:r>
        <w:rPr>
          <w:rFonts w:ascii="Consolas" w:hAnsi="Consolas"/>
          <w:sz w:val="18"/>
        </w:rPr>
        <w:t>def check(condition, message):</w:t>
        <w:br/>
        <w:t xml:space="preserve">    if not condition:</w:t>
        <w:br/>
        <w:t xml:space="preserve">        errors.append(message)</w:t>
      </w:r>
    </w:p>
    <w:p>
      <w:r>
        <w:t>Using an errors list that accumulates failures (rather than raising on the first problem) means one run surfaces every issue at once — closer to how a real data-quality pipeline reports a full exception report rather than stopping at the first broken record.</w:t>
      </w:r>
    </w:p>
    <w:p>
      <w:pPr>
        <w:pStyle w:val="Heading2"/>
      </w:pPr>
      <w:r>
        <w:t>6.5 Validation Checks Implemented</w:t>
      </w:r>
    </w:p>
    <w:p>
      <w:pPr>
        <w:pStyle w:val="ListBullet"/>
      </w:pPr>
      <w:r>
        <w:t>Primary key uniqueness on all five tables (desk_id, book_id, issuer_id, instrument_id, position_id).</w:t>
      </w:r>
    </w:p>
    <w:p>
      <w:pPr>
        <w:pStyle w:val="ListBullet"/>
      </w:pPr>
      <w:r>
        <w:t>Required (always-mandatory) fields are non-null on every table.</w:t>
      </w:r>
    </w:p>
    <w:p>
      <w:pPr>
        <w:pStyle w:val="ListBullet"/>
      </w:pPr>
      <w:r>
        <w:t>asset_class values are restricted to the five allowed categories.</w:t>
      </w:r>
    </w:p>
    <w:p>
      <w:pPr>
        <w:pStyle w:val="ListBullet"/>
      </w:pPr>
      <w:r>
        <w:t>Foreign key integrity: books -&gt; desks, instruments -&gt; issuers, instruments -&gt; instruments (self-referencing underlying_instrument_id), positions -&gt; books, positions -&gt; instruments.</w:t>
      </w:r>
    </w:p>
    <w:p>
      <w:pPr>
        <w:pStyle w:val="ListBullet"/>
      </w:pPr>
      <w:r>
        <w:t>FX / issuer null-consistency: FX instruments must have issuer_id = NULL; all other instruments must have a non-null issuer_id.</w:t>
      </w:r>
    </w:p>
    <w:p>
      <w:pPr>
        <w:pStyle w:val="ListBullet"/>
      </w:pPr>
      <w:r>
        <w:t>Signed quantities are non-zero and not implausibly large.</w:t>
      </w:r>
    </w:p>
    <w:p>
      <w:pPr>
        <w:pStyle w:val="ListBullet"/>
      </w:pPr>
      <w:r>
        <w:t>No duplicate (book_id, instrument_id, as_of_date) combination exists in Position — enforcing the "one row = one netted position" rule at the application level, since it is not enforced by a database constraint in this design.</w:t>
      </w:r>
    </w:p>
    <w:p>
      <w:r>
        <w:t>Validation runs before any CSV is written; on failure the script exits without writing partial or invalid output.</w:t>
      </w:r>
    </w:p>
    <w:p>
      <w:pPr>
        <w:pStyle w:val="Heading2"/>
      </w:pPr>
      <w:r>
        <w:t>6.6 Output</w:t>
      </w:r>
    </w:p>
    <w:p>
      <w:r>
        <w:t>Five CSV files are written: desks.csv, books.csv, issuers.csv, instruments.csv, positions.csv. On the reference run, all validation checks passed: 40 positions across 6 books and 3 desks.</w:t>
      </w:r>
    </w:p>
    <w:p>
      <w:pPr>
        <w:pStyle w:val="Heading1"/>
      </w:pPr>
      <w:r>
        <w:t>7. Sanity Checks (Manual Verification)</w:t>
      </w:r>
    </w:p>
    <w:p>
      <w:pPr>
        <w:pStyle w:val="ListBullet"/>
      </w:pPr>
      <w:r>
        <w:t>Recompute the JPM total by hand: filter positions.csv to instrument_id starting with "JPM-CB", sum quantity — should equal exactly 41,000,000.</w:t>
      </w:r>
    </w:p>
    <w:p>
      <w:pPr>
        <w:pStyle w:val="ListBullet"/>
      </w:pPr>
      <w:r>
        <w:t>Count rows per book (positions.groupby("book_id").size()) — should give 10 / 6 / 8 / 6 / 4 / 6, matching the design table in Section 5.2.</w:t>
      </w:r>
    </w:p>
    <w:p>
      <w:pPr>
        <w:pStyle w:val="ListBullet"/>
      </w:pPr>
      <w:r>
        <w:t>Spot-check nullability by asset class: pick one row of each asset class in instruments.csv and confirm the null pattern matches Section 4.4 (e.g. an FX row has currency empty but base_currency/quote_currency filled; the reverse is true for every other asset class).</w:t>
      </w:r>
    </w:p>
    <w:p>
      <w:pPr>
        <w:pStyle w:val="ListBullet"/>
      </w:pPr>
      <w:r>
        <w:t>Deliberately break validation: add a position row with an unknown book_id and re-run — it should fail specifically on the "positions.book_id references an unknown book" check, confirming the check actually catches a real problem rather than always passing.</w:t>
      </w:r>
    </w:p>
    <w:p>
      <w:pPr>
        <w:pStyle w:val="Heading1"/>
      </w:pPr>
      <w:r>
        <w:t>8. What Would Differ in a Real Bank</w:t>
      </w:r>
    </w:p>
    <w:p>
      <w:pPr>
        <w:pStyle w:val="ListBullet"/>
      </w:pPr>
      <w:r>
        <w:t>Reference data (desks/books/issuers/instruments) would be sourced from a security master and org-hierarchy system, versioned and effective-dated, not hand-typed constants in a script.</w:t>
      </w:r>
    </w:p>
    <w:p>
      <w:pPr>
        <w:pStyle w:val="ListBullet"/>
      </w:pPr>
      <w:r>
        <w:t>Positions would be derived nightly (or intraday) by netting a full trade blotter, not authored directly.</w:t>
      </w:r>
    </w:p>
    <w:p>
      <w:pPr>
        <w:pStyle w:val="ListBullet"/>
      </w:pPr>
      <w:r>
        <w:t>Instruments would use a real normalized schema (or class-table inheritance) instead of one wide table with asset-class-conditional nulls.</w:t>
      </w:r>
    </w:p>
    <w:p>
      <w:pPr>
        <w:pStyle w:val="ListBullet"/>
      </w:pPr>
      <w:r>
        <w:t>Credit ratings would come from a live ratings feed per agency, refreshed on a schedule, rather than a static hand-typed string.</w:t>
      </w:r>
    </w:p>
    <w:p>
      <w:pPr>
        <w:pStyle w:val="ListBullet"/>
      </w:pPr>
      <w:r>
        <w:t>Validation would run continuously inside an ingestion pipeline with alerting, rather than as a manually triggered script.</w:t>
      </w:r>
    </w:p>
    <w:p>
      <w:pPr>
        <w:pStyle w:val="Heading1"/>
      </w:pPr>
      <w:r>
        <w:t>9. Knowledge Check — Module 1</w:t>
      </w:r>
    </w:p>
    <w:p>
      <w:pPr>
        <w:pStyle w:val="ListBullet"/>
      </w:pPr>
      <w:r>
        <w:t>Why does the instruments table need issuer_id to allow NULL, but the issuers table itself never has a null issuer_id?</w:t>
      </w:r>
    </w:p>
    <w:p>
      <w:pPr>
        <w:pStyle w:val="ListBullet"/>
      </w:pPr>
      <w:r>
        <w:t>If JPM-CB-5Y were accidentally duplicated within the same book on the same as_of_date, which specific validation check would catch it — and why wouldn't the primary-key check catch it instead, given that position_id would still be unique?</w:t>
      </w:r>
    </w:p>
    <w:p>
      <w:pPr>
        <w:pStyle w:val="ListBullet"/>
      </w:pPr>
      <w:r>
        <w:t>Why is underlying_instrument_id a foreign key pointing back into the same instruments table, rather than into a separate lookup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