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High Level Design</w:t>
      </w:r>
    </w:p>
    <w:p>
      <w:pPr>
        <w:pStyle w:val="SubtitleCustom"/>
      </w:pPr>
      <w:r>
        <w:t>DQ-Adjusted Daily Alerts — Dashboard and Alerts Ecosystem</w:t>
      </w:r>
    </w:p>
    <w:p>
      <w:pPr>
        <w:spacing w:after="200"/>
        <w:pBdr>
          <w:bottom w:val="single" w:sz="8" w:space="1" w:color="D9E2F3"/>
        </w:pBdr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128"/>
      </w:tblGrid>
      <w:tr>
        <w:tc>
          <w:tcPr>
            <w:tcW w:type="dxa" w:w="4968"/>
            <w:vAlign w:val="center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  <w:vAlign w:val="center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 Level Design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Version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Status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Draft for technical review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Audience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Engineering, QA, product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EF3F8"/>
          </w:tcPr>
          <w:p>
            <w:r>
              <w:t>Design intent</w:t>
            </w:r>
          </w:p>
        </w:tc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t>Add DQ-adjusted daily alerts with minimal blast radius and full backward compatibility</w:t>
            </w:r>
          </w:p>
        </w:tc>
      </w:tr>
    </w:tbl>
    <w:p/>
    <w:p>
      <w:pPr>
        <w:pStyle w:val="Heading1"/>
      </w:pPr>
      <w:r>
        <w:t>1. Design Goals</w:t>
      </w:r>
    </w:p>
    <w:p>
      <w:pPr>
        <w:ind w:left="288" w:hanging="216"/>
      </w:pPr>
      <w:r>
        <w:t>• Add DQ-adjusted daily alerts without changing daily graphs or momentum alerts.</w:t>
      </w:r>
    </w:p>
    <w:p>
      <w:pPr>
        <w:ind w:left="288" w:hanging="216"/>
      </w:pPr>
      <w:r>
        <w:t>• Generate both non-DQ and DQ daily alerts in a single execution path.</w:t>
      </w:r>
    </w:p>
    <w:p>
      <w:pPr>
        <w:ind w:left="288" w:hanging="216"/>
      </w:pPr>
      <w:r>
        <w:t>• Support dashboard, alerts email, and metadata email from the same dual-output backend response.</w:t>
      </w:r>
    </w:p>
    <w:p>
      <w:pPr>
        <w:ind w:left="288" w:hanging="216"/>
      </w:pPr>
      <w:r>
        <w:t>• Keep the design simple enough for low-level design and implementation to proceed quickly.</w:t>
      </w:r>
    </w:p>
    <w:p>
      <w:pPr>
        <w:pStyle w:val="Heading1"/>
      </w:pPr>
      <w:r>
        <w:t>2. Scope Boundary</w:t>
      </w:r>
    </w:p>
    <w:p>
      <w:pPr>
        <w:ind w:left="288" w:hanging="216"/>
      </w:pPr>
      <w:r>
        <w:t>• Impacted areas: alerts lambda, dashboard alerts dataset/API, alerts email output, metadata email output.</w:t>
      </w:r>
    </w:p>
    <w:p>
      <w:pPr>
        <w:ind w:left="288" w:hanging="216"/>
      </w:pPr>
      <w:r>
        <w:t>• Unchanged areas: DailyGraphs logic, momentum alerts, charts, and broader dashboard analytics.</w:t>
      </w:r>
    </w:p>
    <w:p>
      <w:pPr>
        <w:pStyle w:val="Heading1"/>
      </w:pPr>
      <w:r>
        <w:t>3. High-Level Architecture</w:t>
      </w:r>
    </w:p>
    <w:p>
      <w:pPr/>
      <w:r>
        <w:t>The recommended design is a dual-pipeline alerts flow inside the alerts ecosystem. One pipeline preserves current behavior. The second pipeline applies source-specific DQ logic to buzz and then derives DQ-adjusted daily alerts.</w:t>
      </w:r>
    </w:p>
    <w:p>
      <w:r>
        <w:rPr>
          <w:b/>
          <w:sz w:val="21"/>
        </w:rPr>
        <w:t>Processing architecture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c>
          <w:tcPr>
            <w:tcW w:type="dxa" w:w="49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Role in design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Input datasets</w:t>
            </w:r>
          </w:p>
        </w:tc>
        <w:tc>
          <w:tcPr>
            <w:tcW w:type="dxa" w:w="76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Provide daily sentiment, raw buzz, source data, and DQ score inputs for the relevant daily window.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Alerts orchestration</w:t>
            </w:r>
          </w:p>
        </w:tc>
        <w:tc>
          <w:tcPr>
            <w:tcW w:type="dxa" w:w="76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Runs both non-DQ and DQ daily alert computations in the same execution.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DQ logic module</w:t>
            </w:r>
          </w:p>
        </w:tc>
        <w:tc>
          <w:tcPr>
            <w:tcW w:type="dxa" w:w="76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Applies source-specific filtering, attenuation, and amplification rules to buzz.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Alert rules engine</w:t>
            </w:r>
          </w:p>
        </w:tc>
        <w:tc>
          <w:tcPr>
            <w:tcW w:type="dxa" w:w="76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Uses unchanged alert thresholds and sentiment logic to derive final alert outputs.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Output formatter</w:t>
            </w:r>
          </w:p>
        </w:tc>
        <w:tc>
          <w:tcPr>
            <w:tcW w:type="dxa" w:w="76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Builds dashboard, alerts email, and metadata email payloads for both datasets.</w:t>
            </w:r>
          </w:p>
        </w:tc>
      </w:tr>
    </w:tbl>
    <w:p/>
    <w:p>
      <w:pPr>
        <w:pStyle w:val="Heading1"/>
      </w:pPr>
      <w:r>
        <w:t>4. Logical Processing Flow</w:t>
      </w:r>
    </w:p>
    <w:p>
      <w:pPr>
        <w:ind w:left="288" w:hanging="216"/>
      </w:pPr>
      <w:r>
        <w:t>• Step 1: Read the daily input data required for alerts, including sentiment values, raw buzz values, source identifiers, and DQ score inputs.</w:t>
      </w:r>
    </w:p>
    <w:p>
      <w:pPr>
        <w:ind w:left="288" w:hanging="216"/>
      </w:pPr>
      <w:r>
        <w:t>• Step 2: Run the current non-DQ path unchanged to produce the existing daily alerts output.</w:t>
      </w:r>
    </w:p>
    <w:p>
      <w:pPr>
        <w:ind w:left="288" w:hanging="216"/>
      </w:pPr>
      <w:r>
        <w:t>• Step 3: Run a DQ path that applies source-specific DQ rules to buzz at the appropriate level, then derives DQ-adjusted buzz values.</w:t>
      </w:r>
    </w:p>
    <w:p>
      <w:pPr>
        <w:ind w:left="288" w:hanging="216"/>
      </w:pPr>
      <w:r>
        <w:t>• Step 4: Calculate daily buzz change for the DQ path using the adjusted buzz values for current and comparison windows.</w:t>
      </w:r>
    </w:p>
    <w:p>
      <w:pPr>
        <w:ind w:left="288" w:hanging="216"/>
      </w:pPr>
      <w:r>
        <w:t>• Step 5: Apply the existing alert conditions and thresholds to create the DQ-adjusted daily alerts output.</w:t>
      </w:r>
    </w:p>
    <w:p>
      <w:pPr>
        <w:ind w:left="288" w:hanging="216"/>
      </w:pPr>
      <w:r>
        <w:t>• Step 6: Package both outputs for dashboard consumption, alerts email, and metadata email.</w:t>
      </w:r>
    </w:p>
    <w:p>
      <w:pPr>
        <w:pStyle w:val="Heading1"/>
      </w:pPr>
      <w:r>
        <w:t>5. DQ Rules Module</w:t>
      </w:r>
    </w:p>
    <w:p>
      <w:pPr/>
      <w:r>
        <w:t>The DQ module is responsible only for buzz transformation. It must not alter sentiment calculations.</w:t>
      </w:r>
    </w:p>
    <w:p>
      <w:r>
        <w:rPr>
          <w:b/>
          <w:sz w:val="21"/>
        </w:rPr>
        <w:t>Source-specific DQ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5760"/>
      </w:tblGrid>
      <w:tr>
        <w:tc>
          <w:tcPr>
            <w:tcW w:type="dxa" w:w="3312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312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DQ score band</w:t>
            </w:r>
          </w:p>
        </w:tc>
        <w:tc>
          <w:tcPr>
            <w:tcW w:type="dxa" w:w="3312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Transformation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News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≤ 0.80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Filter out; contribution becomes zero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News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0.80 to ≤ 0.90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 buzz by 1.8x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News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0.90 to 1.00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 buzz by 3.0x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r/WSB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≤ 0.60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Filter out; contribution becomes zero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r/WSB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0.60 to ≤ 0.80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Attenuate buzz to 0.5x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r/WSB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0.80 to ≤ 0.90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 buzz by 1.8x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r/WSB</w:t>
            </w:r>
          </w:p>
        </w:tc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&gt; 0.90 to 1.00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Amplify buzz by 3.0x</w:t>
            </w:r>
          </w:p>
        </w:tc>
      </w:tr>
    </w:tbl>
    <w:p/>
    <w:p>
      <w:pPr>
        <w:pStyle w:val="Heading1"/>
      </w:pPr>
      <w:r>
        <w:t>6. Output Contract</w:t>
      </w:r>
    </w:p>
    <w:p>
      <w:pPr>
        <w:ind w:left="288" w:hanging="216"/>
      </w:pPr>
      <w:r>
        <w:t>• The backend should expose two clearly named daily-alert datasets: non-DQ and DQ.</w:t>
      </w:r>
    </w:p>
    <w:p>
      <w:pPr>
        <w:ind w:left="288" w:hanging="216"/>
      </w:pPr>
      <w:r>
        <w:t>• The dashboard alerts screen should switch between these datasets based on the DQ toggle.</w:t>
      </w:r>
    </w:p>
    <w:p>
      <w:pPr>
        <w:ind w:left="288" w:hanging="216"/>
      </w:pPr>
      <w:r>
        <w:t>• The alerts email should include both datasets in separate sections.</w:t>
      </w:r>
    </w:p>
    <w:p>
      <w:pPr>
        <w:ind w:left="288" w:hanging="216"/>
      </w:pPr>
      <w:r>
        <w:t>• The metadata email should include both metadata datasets in separate sections.</w:t>
      </w:r>
    </w:p>
    <w:p>
      <w:r>
        <w:rPr>
          <w:b/>
          <w:sz w:val="21"/>
        </w:rPr>
        <w:t>Suggested output fields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49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ticker</w:t>
            </w:r>
          </w:p>
        </w:tc>
        <w:tc>
          <w:tcPr>
            <w:tcW w:type="dxa" w:w="72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Identifies the stock.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alert_type</w:t>
            </w:r>
          </w:p>
        </w:tc>
        <w:tc>
          <w:tcPr>
            <w:tcW w:type="dxa" w:w="72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BUY / SELL / STRONG BUY / STRONG SELL or equivalent.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sentiment_change</w:t>
            </w:r>
          </w:p>
        </w:tc>
        <w:tc>
          <w:tcPr>
            <w:tcW w:type="dxa" w:w="72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Existing daily sentiment-change measure.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buzz_change</w:t>
            </w:r>
          </w:p>
        </w:tc>
        <w:tc>
          <w:tcPr>
            <w:tcW w:type="dxa" w:w="72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Raw or DQ-adjusted daily buzz-change measure depending on dataset.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dq_applied</w:t>
            </w:r>
          </w:p>
        </w:tc>
        <w:tc>
          <w:tcPr>
            <w:tcW w:type="dxa" w:w="72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Boolean or explicit mode label.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source_details (optional)</w:t>
            </w:r>
          </w:p>
        </w:tc>
        <w:tc>
          <w:tcPr>
            <w:tcW w:type="dxa" w:w="72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Useful for debugging and review.</w:t>
            </w:r>
          </w:p>
        </w:tc>
      </w:tr>
    </w:tbl>
    <w:p/>
    <w:p>
      <w:pPr>
        <w:pStyle w:val="Heading1"/>
      </w:pPr>
      <w:r>
        <w:t>7. Dashboard Design Impact</w:t>
      </w:r>
    </w:p>
    <w:p>
      <w:pPr>
        <w:ind w:left="288" w:hanging="216"/>
      </w:pPr>
      <w:r>
        <w:t>• Only the alerts view on the dashboard is affected.</w:t>
      </w:r>
    </w:p>
    <w:p>
      <w:pPr>
        <w:ind w:left="288" w:hanging="216"/>
      </w:pPr>
      <w:r>
        <w:t>• Toggle behavior should be dataset switching, not recomputation in the browser.</w:t>
      </w:r>
    </w:p>
    <w:p>
      <w:pPr>
        <w:ind w:left="288" w:hanging="216"/>
      </w:pPr>
      <w:r>
        <w:t>• Default state should remain aligned with current behavior by starting with DQ OFF.</w:t>
      </w:r>
    </w:p>
    <w:p>
      <w:pPr>
        <w:pStyle w:val="Heading1"/>
      </w:pPr>
      <w:r>
        <w:t>8. Email Design Impact</w:t>
      </w:r>
    </w:p>
    <w:p>
      <w:pPr>
        <w:ind w:left="288" w:hanging="216"/>
      </w:pPr>
      <w:r>
        <w:t>• Alerts email must render two clean sections, preserving readability and making comparisons easy.</w:t>
      </w:r>
    </w:p>
    <w:p>
      <w:pPr>
        <w:ind w:left="288" w:hanging="216"/>
      </w:pPr>
      <w:r>
        <w:t>• Metadata email must mirror this structure for diagnostics and review.</w:t>
      </w:r>
    </w:p>
    <w:p>
      <w:pPr>
        <w:ind w:left="288" w:hanging="216"/>
      </w:pPr>
      <w:r>
        <w:t>• Email formatting should make it obvious which section is non-DQ and which section is DQ-adjusted.</w:t>
      </w:r>
    </w:p>
    <w:p>
      <w:pPr>
        <w:pStyle w:val="Heading1"/>
      </w:pPr>
      <w:r>
        <w:t>9. Observability and QA</w:t>
      </w:r>
    </w:p>
    <w:p>
      <w:pPr>
        <w:ind w:left="288" w:hanging="216"/>
      </w:pPr>
      <w:r>
        <w:t>• Log both raw and DQ-adjusted buzz values for key tickers during rollout.</w:t>
      </w:r>
    </w:p>
    <w:p>
      <w:pPr>
        <w:ind w:left="288" w:hanging="216"/>
      </w:pPr>
      <w:r>
        <w:t>• Log DQ mode, time window, source breakdown, and any fallbacks used.</w:t>
      </w:r>
    </w:p>
    <w:p>
      <w:pPr>
        <w:ind w:left="288" w:hanging="216"/>
      </w:pPr>
      <w:r>
        <w:t>• Add environment-comparison checks to ensure Dev and Stage behave identically for the same inputs.</w:t>
      </w:r>
    </w:p>
    <w:p>
      <w:pPr>
        <w:ind w:left="288" w:hanging="216"/>
      </w:pPr>
      <w:r>
        <w:t>• QA should verify identical non-DQ outputs pre- and post-change and separately validate DQ outputs.</w:t>
      </w:r>
    </w:p>
    <w:p>
      <w:pPr>
        <w:pStyle w:val="Heading1"/>
      </w:pPr>
      <w:r>
        <w:t>10. Risks and Design Notes</w:t>
      </w:r>
    </w:p>
    <w:p>
      <w:pPr>
        <w:ind w:left="288" w:hanging="216"/>
      </w:pPr>
      <w:r>
        <w:t>• The main implementation risk is inconsistency between query-screen DQ behavior and alerts DQ behavior.</w:t>
      </w:r>
    </w:p>
    <w:p>
      <w:pPr>
        <w:ind w:left="288" w:hanging="216"/>
      </w:pPr>
      <w:r>
        <w:t>• If DQ is applied at different aggregation levels in different environments, outputs can diverge.</w:t>
      </w:r>
    </w:p>
    <w:p>
      <w:pPr>
        <w:ind w:left="288" w:hanging="216"/>
      </w:pPr>
      <w:r>
        <w:t>• The safest design is to centralize DQ rules in one reusable module and reuse it across alerts modes.</w:t>
      </w:r>
    </w:p>
    <w:p>
      <w:pPr>
        <w:pStyle w:val="Heading1"/>
      </w:pPr>
      <w:r>
        <w:t>11. Recommended Next Step</w:t>
      </w:r>
    </w:p>
    <w:p>
      <w:pPr/>
      <w:r>
        <w:t>Create a low-level design that specifies the exact data inputs, aggregation level, API payload shape, logging, test cases, and file-level code changes for the alerts lambda, dashboard alerts view, alerts email, and metadata email.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FinSoftAi — SSi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87878"/>
        <w:sz w:val="16"/>
      </w:rPr>
      <w:t>High Level Design — DQ-Adjusted Daily Alerts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pPr>
      <w:spacing w:after="280"/>
    </w:pPr>
    <w:rPr>
      <w:rFonts w:ascii="Aptos" w:hAnsi="Aptos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