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Continuous Threat Modeling for Distributed Architectures</w:t>
      </w:r>
    </w:p>
    <w:p>
      <w:pPr>
        <w:pStyle w:val="Subtitle"/>
      </w:pPr>
      <w:r>
        <w:rPr>
          <w:color w:val="000000"/>
          <w:u w:val="none"/>
        </w:rPr>
        <w:t>AI engineering contribution to a talk submission</w:t>
      </w:r>
    </w:p>
    <w:p>
      <w:pPr>
        <w:spacing w:after="120" w:line="254" w:lineRule="auto"/>
      </w:pPr>
      <w:r>
        <w:t>I supported security domain experts as they prepared a talk submission on continuous threat modeling for distributed architectures. As the AI engineer, I was responsible for building a proof of concept to explore how AI could connect code changes to an existing threat model.</w:t>
      </w:r>
    </w:p>
    <w:p>
      <w:pPr>
        <w:spacing w:after="120" w:line="254" w:lineRule="auto"/>
      </w:pPr>
      <w:r>
        <w:t>The domain experts guided the security approach and clarified the architecture, threats, assumptions, and supporting evidence the project needed to consider. My responsibility was to translate their guidance into the AI workflow and prototype implementation, using their input to understand the requirements and refine the approach.</w:t>
      </w:r>
    </w:p>
    <w:p>
      <w:pPr>
        <w:spacing w:after="120" w:line="254" w:lineRule="auto"/>
      </w:pPr>
      <w:r>
        <w:t>The proposed system would check whether security assumptions remain valid as services, repositories, and deployment configurations evolve.</w:t>
      </w:r>
    </w:p>
    <w:p>
      <w:pPr>
        <w:pStyle w:val="Heading1"/>
        <w:keepNext/>
        <w:spacing w:before="200" w:after="100"/>
      </w:pPr>
      <w:r>
        <w:rPr>
          <w:color w:val="000000"/>
        </w:rPr>
        <w:t>The problem</w:t>
      </w:r>
    </w:p>
    <w:p>
      <w:pPr>
        <w:spacing w:after="120" w:line="254" w:lineRule="auto"/>
      </w:pPr>
      <w:r>
        <w:t>A threat model captures how a system is expected to behave at a particular point in time. Later changes can remove a validation step, expose an internal endpoint, or alter how credentials are handled. The code may still work while the security reasoning becomes outdated. This is especially difficult to track when a security property depends on several services.</w:t>
      </w:r>
    </w:p>
    <w:p>
      <w:pPr>
        <w:pStyle w:val="Heading1"/>
        <w:keepNext/>
        <w:spacing w:before="200" w:after="100"/>
      </w:pPr>
      <w:r>
        <w:rPr>
          <w:color w:val="000000"/>
        </w:rPr>
        <w:t>The approach</w:t>
      </w:r>
    </w:p>
    <w:p>
      <w:pPr>
        <w:spacing w:after="120" w:line="254" w:lineRule="auto"/>
      </w:pPr>
      <w:r>
        <w:t>The approach, guided by the domain experts, starts with a reviewed data flow diagram (DFD), identified threats, controls, and assumptions. Important assumptions become checkable security properties, called invariants. For each relevant change, the proposed system would evaluate those properties and identify which threats or mitigations need review. A shared model would preserve the reasoning and history across repositories.</w:t>
      </w:r>
    </w:p>
    <w:p>
      <w:pPr>
        <w:spacing w:after="120" w:line="254" w:lineRule="auto"/>
      </w:pPr>
      <w:r>
        <w:t>For example, if an endpoint must require authentication, a change that removes its authentication check should reopen the associated threat even when the diagram’s components and connections remain unchanged.</w:t>
      </w:r>
    </w:p>
    <w:p>
      <w:pPr>
        <w:pStyle w:val="Heading1"/>
        <w:keepNext/>
        <w:spacing w:before="200" w:after="100"/>
      </w:pPr>
      <w:r>
        <w:rPr>
          <w:color w:val="000000"/>
        </w:rPr>
        <w:t>Proposed workflow for the project</w:t>
      </w:r>
    </w:p>
    <w:p>
      <w:pPr>
        <w:spacing w:after="120" w:line="254" w:lineRule="auto"/>
        <w:ind w:left="230" w:hanging="230"/>
      </w:pPr>
      <w:r>
        <w:rPr>
          <w:b/>
        </w:rPr>
        <w:t xml:space="preserve">1. Establish a baseline. </w:t>
      </w:r>
      <w:r>
        <w:t>Record the architecture, trust boundaries, threats, assumptions, and supporting code evidence.</w:t>
      </w:r>
    </w:p>
    <w:p>
      <w:pPr>
        <w:spacing w:after="120" w:line="254" w:lineRule="auto"/>
        <w:ind w:left="230" w:hanging="230"/>
      </w:pPr>
      <w:r>
        <w:rPr>
          <w:b/>
        </w:rPr>
        <w:t xml:space="preserve">2. Provide context before coding. </w:t>
      </w:r>
      <w:r>
        <w:t>Supply relevant approved security assumptions to the coding agent at session start.</w:t>
      </w:r>
    </w:p>
    <w:p>
      <w:pPr>
        <w:spacing w:after="120" w:line="254" w:lineRule="auto"/>
        <w:ind w:left="230" w:hanging="230"/>
      </w:pPr>
      <w:r>
        <w:rPr>
          <w:b/>
        </w:rPr>
        <w:t xml:space="preserve">3. Collect change context. </w:t>
      </w:r>
      <w:r>
        <w:t>A repository integration gathers the pull request diff and relevant code or configuration, then sends the evidence to a central review service.</w:t>
      </w:r>
    </w:p>
    <w:p>
      <w:pPr>
        <w:spacing w:after="120" w:line="254" w:lineRule="auto"/>
        <w:ind w:left="230" w:hanging="230"/>
      </w:pPr>
      <w:r>
        <w:rPr>
          <w:b/>
        </w:rPr>
        <w:t xml:space="preserve">4. Revalidate independently. </w:t>
      </w:r>
      <w:r>
        <w:t>A separate review checks affected assumptions, follows dependencies across services, and flags new architecture that needs threat analysis.</w:t>
      </w:r>
    </w:p>
    <w:p>
      <w:pPr>
        <w:spacing w:after="120" w:line="254" w:lineRule="auto"/>
        <w:ind w:left="230" w:hanging="230"/>
      </w:pPr>
      <w:r>
        <w:rPr>
          <w:b/>
        </w:rPr>
        <w:t xml:space="preserve">5. Review and update. </w:t>
      </w:r>
      <w:r>
        <w:t>Present findings with evidence, route uncertain or significant changes to a reviewer, and version approved updates to the threat model.</w:t>
      </w:r>
    </w:p>
    <w:p>
      <w:pPr>
        <w:pStyle w:val="Heading1"/>
        <w:keepNext/>
        <w:spacing w:before="200" w:after="100"/>
      </w:pPr>
      <w:r>
        <w:rPr>
          <w:color w:val="000000"/>
        </w:rPr>
        <w:t>Expected output for reviewers</w:t>
      </w:r>
    </w:p>
    <w:p>
      <w:pPr>
        <w:spacing w:after="120" w:line="254" w:lineRule="auto"/>
      </w:pPr>
      <w:r>
        <w:t>The intended output is a focused explanation of what changed, which security assumptions are affected, the supporting evidence, and the required response. Each checked property would be recorded as holding, violated, unknown, or no longer applicable. Missing evidence would remain visible for expert review.</w:t>
      </w:r>
    </w:p>
    <w:p>
      <w:pPr>
        <w:pStyle w:val="Heading1"/>
        <w:keepNext/>
        <w:pageBreakBefore w:val="0"/>
        <w:spacing w:before="200" w:after="100"/>
      </w:pPr>
      <w:r>
        <w:rPr>
          <w:color w:val="000000"/>
        </w:rPr>
        <w:t>Security frameworks and expert guidance</w:t>
      </w:r>
    </w:p>
    <w:p>
      <w:pPr>
        <w:spacing w:after="120" w:line="254" w:lineRule="auto"/>
      </w:pPr>
      <w:r>
        <w:t>The domain experts guided how MITRE ATT&amp;CK, STRIDE, and Adam Shostack's Four Question Framework and PHANTOM-B informed the proof of concept, helping define the relevant security questions and supporting evidence.</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243746"/>
          </w:tcPr>
          <w:p>
            <w:pPr>
              <w:spacing w:after="0" w:line="254" w:lineRule="auto"/>
            </w:pPr>
            <w:r>
              <w:rPr>
                <w:b/>
                <w:color w:val="FFFFFF"/>
                <w:sz w:val="21"/>
              </w:rPr>
              <w:t>Framework</w:t>
            </w:r>
          </w:p>
        </w:tc>
        <w:tc>
          <w:tcPr>
            <w:tcW w:type="dxa" w:w="6984"/>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243746"/>
          </w:tcPr>
          <w:p>
            <w:pPr>
              <w:spacing w:after="0" w:line="254" w:lineRule="auto"/>
            </w:pPr>
            <w:r>
              <w:rPr>
                <w:b/>
                <w:color w:val="FFFFFF"/>
                <w:sz w:val="21"/>
              </w:rPr>
              <w:t>Role in the project</w:t>
            </w:r>
          </w:p>
        </w:tc>
      </w:tr>
      <w:tr>
        <w:trPr>
          <w:cantSplit/>
        </w:trPr>
        <w:tc>
          <w:tcPr>
            <w:tcW w:type="dxa" w:w="2952"/>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after="0" w:line="254" w:lineRule="auto"/>
            </w:pPr>
            <w:r>
              <w:rPr>
                <w:b w:val="0"/>
                <w:color w:val="000000"/>
                <w:sz w:val="21"/>
              </w:rPr>
              <w:t>MITRE ATT&amp;CK</w:t>
            </w:r>
          </w:p>
        </w:tc>
        <w:tc>
          <w:tcPr>
            <w:tcW w:type="dxa" w:w="6984"/>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after="0" w:line="254" w:lineRule="auto"/>
            </w:pPr>
            <w:r>
              <w:rPr>
                <w:b w:val="0"/>
                <w:color w:val="000000"/>
                <w:sz w:val="21"/>
              </w:rPr>
              <w:t>Ground threat scenarios in observed attacker behavior, including how attackers obtain credentials, move between systems, and extract data. [1]</w:t>
            </w:r>
          </w:p>
        </w:tc>
      </w:tr>
      <w:tr>
        <w:trPr>
          <w:cantSplit/>
        </w:trPr>
        <w:tc>
          <w:tcPr>
            <w:tcW w:type="dxa" w:w="2952"/>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4F6F8"/>
          </w:tcPr>
          <w:p>
            <w:pPr>
              <w:spacing w:after="0" w:line="254" w:lineRule="auto"/>
            </w:pPr>
            <w:r>
              <w:rPr>
                <w:b w:val="0"/>
                <w:color w:val="000000"/>
                <w:sz w:val="21"/>
              </w:rPr>
              <w:t>Adam Shostack’s Four Question Framework</w:t>
            </w:r>
          </w:p>
        </w:tc>
        <w:tc>
          <w:tcPr>
            <w:tcW w:type="dxa" w:w="6984"/>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4F6F8"/>
          </w:tcPr>
          <w:p>
            <w:pPr>
              <w:spacing w:after="0" w:line="254" w:lineRule="auto"/>
            </w:pPr>
            <w:r>
              <w:rPr>
                <w:b w:val="0"/>
                <w:color w:val="000000"/>
                <w:sz w:val="21"/>
              </w:rPr>
              <w:t>Structure the process around understanding the system, identifying what can go wrong, choosing responses, and evaluating whether those responses work. [2]</w:t>
            </w:r>
          </w:p>
        </w:tc>
      </w:tr>
      <w:tr>
        <w:trPr>
          <w:cantSplit/>
        </w:trPr>
        <w:tc>
          <w:tcPr>
            <w:tcW w:type="dxa" w:w="2952"/>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after="0" w:line="254" w:lineRule="auto"/>
            </w:pPr>
            <w:r>
              <w:rPr>
                <w:b w:val="0"/>
                <w:color w:val="000000"/>
                <w:sz w:val="21"/>
              </w:rPr>
              <w:t>STRIDE</w:t>
            </w:r>
          </w:p>
        </w:tc>
        <w:tc>
          <w:tcPr>
            <w:tcW w:type="dxa" w:w="6984"/>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after="0" w:line="254" w:lineRule="auto"/>
            </w:pPr>
            <w:r>
              <w:rPr>
                <w:b w:val="0"/>
                <w:color w:val="000000"/>
                <w:sz w:val="21"/>
              </w:rPr>
              <w:t>Guide review of spoofing, tampering, repudiation, information disclosure, denial of service, and elevation of privilege across components and data flows. [3]</w:t>
            </w:r>
          </w:p>
        </w:tc>
      </w:tr>
      <w:tr>
        <w:trPr>
          <w:cantSplit/>
        </w:trPr>
        <w:tc>
          <w:tcPr>
            <w:tcW w:type="dxa" w:w="2952"/>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4F6F8"/>
          </w:tcPr>
          <w:p>
            <w:pPr>
              <w:spacing w:after="0" w:line="254" w:lineRule="auto"/>
            </w:pPr>
            <w:r>
              <w:rPr>
                <w:b w:val="0"/>
                <w:color w:val="000000"/>
                <w:sz w:val="21"/>
              </w:rPr>
              <w:t>Adam Shostack’s PHANTOM-B</w:t>
            </w:r>
          </w:p>
        </w:tc>
        <w:tc>
          <w:tcPr>
            <w:tcW w:type="dxa" w:w="6984"/>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4F6F8"/>
          </w:tcPr>
          <w:p>
            <w:pPr>
              <w:spacing w:after="0" w:line="254" w:lineRule="auto"/>
            </w:pPr>
            <w:r>
              <w:rPr>
                <w:b w:val="0"/>
                <w:color w:val="000000"/>
                <w:sz w:val="21"/>
              </w:rPr>
              <w:t>Explore LLM-specific risks: prompt injection, hallucination, anthropomorphization, non-explainability, training issues, overreliance, missing security engineering, and bias. [4]</w:t>
            </w:r>
          </w:p>
        </w:tc>
      </w:tr>
    </w:tbl>
    <w:p>
      <w:pPr>
        <w:spacing w:after="120" w:line="254" w:lineRule="auto" w:before="160"/>
      </w:pPr>
      <w:r>
        <w:t>These frameworks inform threat scenarios and review questions. Findings still need evidence from the system being modeled; their use does not imply complete coverage or automated mapping to every technique.</w:t>
      </w:r>
    </w:p>
    <w:p>
      <w:pPr>
        <w:pStyle w:val="Heading1"/>
        <w:keepNext/>
        <w:spacing w:before="200" w:after="100"/>
      </w:pPr>
      <w:r>
        <w:rPr>
          <w:color w:val="000000"/>
        </w:rPr>
        <w:t>Proof of concept progress and next step</w:t>
      </w:r>
    </w:p>
    <w:p>
      <w:pPr>
        <w:spacing w:after="120" w:line="254" w:lineRule="auto"/>
      </w:pPr>
      <w:r>
        <w:t>The initial proof of concept exploration used WordPress commit history to examine architecture and credential-handling changes, alongside an Infisical study of changing service-token assumptions. The evidence is preliminary and offline. Live continuous integration (CI) and reliable review across multiple repositories remain goals for the project.</w:t>
      </w:r>
    </w:p>
    <w:p>
      <w:pPr>
        <w:spacing w:after="120" w:line="254" w:lineRule="auto"/>
      </w:pPr>
      <w:r>
        <w:t>The next step is a reproducible pilot with a fixed evaluation prompt, independently reviewed examples, and clear measures of missed changes, false alerts, incomplete analysis, review time, and cost.</w:t>
      </w:r>
    </w:p>
    <w:p>
      <w:pPr>
        <w:pStyle w:val="Heading1"/>
        <w:keepNext/>
        <w:spacing w:before="200" w:after="100"/>
      </w:pPr>
      <w:r>
        <w:rPr>
          <w:color w:val="000000"/>
        </w:rPr>
        <w:t>Contribution to the talk submission</w:t>
      </w:r>
    </w:p>
    <w:p>
      <w:pPr>
        <w:spacing w:after="120" w:line="254" w:lineRule="auto"/>
      </w:pPr>
      <w:r>
        <w:t>My AI engineering contribution was to translate the experts' guidance into a proof of concept supporting the talk submission. Its intended value is to help developers and security reviewers identify assumptions that need revisiting as software changes.</w:t>
      </w:r>
    </w:p>
    <w:p>
      <w:pPr>
        <w:pStyle w:val="Heading1"/>
        <w:keepNext/>
        <w:spacing w:before="200" w:after="100"/>
      </w:pPr>
      <w:r>
        <w:rPr>
          <w:color w:val="000000"/>
        </w:rPr>
        <w:t>Framework references</w:t>
      </w:r>
    </w:p>
    <w:p>
      <w:pPr>
        <w:keepNext/>
        <w:spacing w:after="0" w:line="254" w:lineRule="auto"/>
      </w:pPr>
      <w:r>
        <w:rPr>
          <w:sz w:val="19"/>
        </w:rPr>
        <w:t xml:space="preserve">[1] </w:t>
      </w:r>
      <w:hyperlink r:id="rId10">
        <w:r>
          <w:rPr>
            <w:color w:val="264F6B"/>
            <w:sz w:val="19"/>
          </w:rPr>
          <w:t>MITRE ATT&amp;CK overview</w:t>
        </w:r>
      </w:hyperlink>
    </w:p>
    <w:p>
      <w:pPr>
        <w:keepNext/>
        <w:spacing w:after="0" w:line="254" w:lineRule="auto"/>
      </w:pPr>
      <w:r>
        <w:rPr>
          <w:sz w:val="19"/>
        </w:rPr>
        <w:t xml:space="preserve">[2] </w:t>
      </w:r>
      <w:hyperlink r:id="rId11">
        <w:r>
          <w:rPr>
            <w:color w:val="264F6B"/>
            <w:sz w:val="19"/>
          </w:rPr>
          <w:t>Shostack’s Four Question Framework</w:t>
        </w:r>
      </w:hyperlink>
    </w:p>
    <w:p>
      <w:pPr>
        <w:keepNext/>
        <w:spacing w:after="0" w:line="254" w:lineRule="auto"/>
      </w:pPr>
      <w:r>
        <w:rPr>
          <w:sz w:val="19"/>
        </w:rPr>
        <w:t xml:space="preserve">[3] </w:t>
      </w:r>
      <w:hyperlink r:id="rId12">
        <w:r>
          <w:rPr>
            <w:color w:val="264F6B"/>
            <w:sz w:val="19"/>
          </w:rPr>
          <w:t>Microsoft STRIDE threat categories</w:t>
        </w:r>
      </w:hyperlink>
    </w:p>
    <w:p>
      <w:pPr>
        <w:keepNext w:val="0"/>
        <w:spacing w:after="0" w:line="254" w:lineRule="auto"/>
      </w:pPr>
      <w:r>
        <w:rPr>
          <w:sz w:val="19"/>
        </w:rPr>
        <w:t xml:space="preserve">[4] </w:t>
      </w:r>
      <w:hyperlink r:id="rId13">
        <w:r>
          <w:rPr>
            <w:color w:val="264F6B"/>
            <w:sz w:val="19"/>
          </w:rPr>
          <w:t>Shostack and Associates on PHANTOM-B</w:t>
        </w:r>
      </w:hyperlink>
    </w:p>
    <w:sectPr w:rsidR="00FC693F" w:rsidRPr="0006063C" w:rsidSect="00034616">
      <w:footerReference w:type="default" r:id="rId9"/>
      <w:pgSz w:w="12240" w:h="15840"/>
      <w:pgMar w:top="1008" w:right="1152" w:bottom="979"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Project overview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6"/>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Calibri" w:hAnsi="Calibri"/>
      <w:b/>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60"/>
    </w:pPr>
    <w:rPr>
      <w:rFonts w:asciiTheme="majorHAnsi" w:eastAsiaTheme="majorEastAsia" w:hAnsiTheme="majorHAnsi" w:cstheme="majorBidi" w:ascii="Calibri" w:hAnsi="Calibri"/>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ttack.mitre.org/resources/" TargetMode="External"/><Relationship Id="rId11" Type="http://schemas.openxmlformats.org/officeDocument/2006/relationships/hyperlink" Target="https://shostack.org/resources/threat-modeling" TargetMode="External"/><Relationship Id="rId12" Type="http://schemas.openxmlformats.org/officeDocument/2006/relationships/hyperlink" Target="https://learn.microsoft.com/en-us/azure/security/develop/threat-modeling-tool-threats" TargetMode="External"/><Relationship Id="rId13" Type="http://schemas.openxmlformats.org/officeDocument/2006/relationships/hyperlink" Target="https://shostack.org/blog/phantom-b-talk-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Threat Modeling for Distributed Architectures</dc:title>
  <dc:subject>Concise project overview and frameworks used for ideation</dc:subject>
  <dc:creator/>
  <cp:keywords/>
  <dc:description/>
  <cp:lastModifiedBy/>
  <cp:revision>1</cp:revision>
  <dcterms:created xsi:type="dcterms:W3CDTF">2013-12-23T23:15:00Z</dcterms:created>
  <dcterms:modified xsi:type="dcterms:W3CDTF">2013-12-23T23:15:00Z</dcterms:modified>
  <cp:category/>
</cp:coreProperties>
</file>