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A2540"/>
          <w:sz w:val="19"/>
        </w:rPr>
        <w:t>KLE TECHNOLOGICAL UNIVERSITY  ×  NVIDIA  |  SENIOR DESIGN PROJECT 2026–27</w:t>
      </w:r>
    </w:p>
    <w:p>
      <w:pPr>
        <w:spacing w:after="40"/>
      </w:pPr>
      <w:r>
        <w:rPr>
          <w:rFonts w:ascii="Arial" w:hAnsi="Arial"/>
          <w:b/>
          <w:color w:val="0A2540"/>
          <w:sz w:val="40"/>
        </w:rPr>
        <w:t>Develop and Validate Optimised Multimodal Models for Automotive Use Cases</w:t>
      </w:r>
    </w:p>
    <w:p>
      <w:pPr>
        <w:spacing w:after="280"/>
      </w:pPr>
      <w:r>
        <w:rPr>
          <w:rFonts w:ascii="Arial" w:hAnsi="Arial"/>
          <w:color w:val="0070BA"/>
          <w:sz w:val="24"/>
        </w:rPr>
        <w:t>7-Minute Slide-by-Slide Spoken Presentation Script (Bullet-Wise Delivery)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475569"/>
                <w:sz w:val="19"/>
              </w:rPr>
              <w:t>NVIDIA Guides: Gaurav Tendolkar, Pradipt Trivedi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475569"/>
                <w:sz w:val="19"/>
              </w:rPr>
              <w:t>Project Guide: Dr. Malathi S Y</w:t>
            </w:r>
          </w:p>
        </w:tc>
      </w:tr>
      <w:tr>
        <w:tc>
          <w:tcPr>
            <w:tcW w:type="dxa" w:w="44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475569"/>
                <w:sz w:val="19"/>
              </w:rPr>
              <w:t>Team Members: Saanvi Shetty, Raveesh Nayak, Ramya Rao, Shreyas Kulkarni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475569"/>
                <w:sz w:val="19"/>
              </w:rPr>
              <w:t>Total Timing: 7 Minutes (~1 min / slide + Q&amp;A buffer)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0A25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Slide 1: </w:t>
            </w:r>
            <w:r>
              <w:rPr>
                <w:rFonts w:ascii="Arial" w:hAnsi="Arial"/>
                <w:color w:val="FFFFFF"/>
                <w:sz w:val="22"/>
              </w:rPr>
              <w:t>Title &amp; Team Introduction</w:t>
            </w:r>
          </w:p>
        </w:tc>
        <w:tc>
          <w:tcPr>
            <w:tcW w:type="dxa" w:w="2880"/>
            <w:shd w:fill="0070B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Allocated Time: ~1:00 min</w:t>
            </w:r>
          </w:p>
        </w:tc>
      </w:tr>
    </w:tbl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Greeting &amp; Title: </w:t>
      </w:r>
      <w:r>
        <w:rPr>
          <w:rFonts w:ascii="Arial" w:hAnsi="Arial"/>
          <w:i/>
          <w:color w:val="334155"/>
          <w:sz w:val="21"/>
        </w:rPr>
        <w:t>"Good morning / afternoon respected guides and panel members. We are presenting our project: Develop and Validate Optimised Multimodal Models for Automotive Use Cases."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Mentorship &amp; Affiliation: </w:t>
      </w:r>
      <w:r>
        <w:rPr>
          <w:rFonts w:ascii="Arial" w:hAnsi="Arial"/>
          <w:i/>
          <w:color w:val="334155"/>
          <w:sz w:val="21"/>
        </w:rPr>
        <w:t>"This project is carried out under the valuable mentorship of our NVIDIA guides, Gaurav Tendolkar and Pradipt Trivedi, and our college project guide, Dr. Malathi S Y at KLE Technological University."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Team Introduction: </w:t>
      </w:r>
      <w:r>
        <w:rPr>
          <w:rFonts w:ascii="Arial" w:hAnsi="Arial"/>
          <w:i/>
          <w:color w:val="334155"/>
          <w:sz w:val="21"/>
        </w:rPr>
        <w:t>"Our project team consists of Saanvi Shetty, Raveesh Nayak, Ramya Rao, and myself, Shreyas Kulkarni."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The High-Level Motivation: </w:t>
      </w:r>
      <w:r>
        <w:rPr>
          <w:rFonts w:ascii="Arial" w:hAnsi="Arial"/>
          <w:i/>
          <w:color w:val="334155"/>
          <w:sz w:val="21"/>
        </w:rPr>
        <w:t>"Modern vehicles need continuous surround-view monitoring while parked, but running heavy Vision Transformers exhausts battery power. Our goal is to eliminate temporal frame redundancy to achieve low-power, high-accuracy surveillance perception on embedded automotive hardware."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0A25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Slide 2: </w:t>
            </w:r>
            <w:r>
              <w:rPr>
                <w:rFonts w:ascii="Arial" w:hAnsi="Arial"/>
                <w:color w:val="FFFFFF"/>
                <w:sz w:val="22"/>
              </w:rPr>
              <w:t>Problem Statement &amp; Key Quality KPIs</w:t>
            </w:r>
          </w:p>
        </w:tc>
        <w:tc>
          <w:tcPr>
            <w:tcW w:type="dxa" w:w="2880"/>
            <w:shd w:fill="0070B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Allocated Time: ~1:00 min</w:t>
            </w:r>
          </w:p>
        </w:tc>
      </w:tr>
    </w:tbl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Automotive Context: </w:t>
      </w:r>
      <w:r>
        <w:rPr>
          <w:rFonts w:ascii="Arial" w:hAnsi="Arial"/>
          <w:i/>
          <w:color w:val="334155"/>
          <w:sz w:val="21"/>
        </w:rPr>
        <w:t>"Our focus application is Automotive Surveillance Mode (ASM), monitoring the vehicle perimeter via four surround fisheye cameras."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The Computational Bottleneck: </w:t>
      </w:r>
      <w:r>
        <w:rPr>
          <w:rFonts w:ascii="Arial" w:hAnsi="Arial"/>
          <w:i/>
          <w:color w:val="334155"/>
          <w:sz w:val="21"/>
        </w:rPr>
        <w:t>"Vision Transformers like DINOv2 were trained on static images. Processing continuous 30 FPS video across 4 cameras causes battery drain and exceeds the thermal capacity of the embedded processor."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The Motion &amp; Token Challenge: </w:t>
      </w:r>
      <w:r>
        <w:rPr>
          <w:rFonts w:ascii="Arial" w:hAnsi="Arial"/>
          <w:i/>
          <w:color w:val="334155"/>
          <w:sz w:val="21"/>
        </w:rPr>
        <w:t>"Between consecutive frames, moving pedestrians shift spatial positions. Static same-position token matching fails, which requires a motion-aware spatiotemporal tracking solution."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Quality KPIs &amp; Benchmarks: </w:t>
      </w:r>
      <w:r>
        <w:rPr>
          <w:rFonts w:ascii="Arial" w:hAnsi="Arial"/>
          <w:i/>
          <w:color w:val="334155"/>
          <w:sz w:val="21"/>
        </w:rPr>
        <w:t>"We benchmark on the open-source VIRAT surveillance dataset, establishing localized action recognition via spatiotemporal tubelet pooling and actor trajectory tracking using Adapter-v2 + YOLO26."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0A25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Slide 3: </w:t>
            </w:r>
            <w:r>
              <w:rPr>
                <w:rFonts w:ascii="Arial" w:hAnsi="Arial"/>
                <w:color w:val="FFFFFF"/>
                <w:sz w:val="22"/>
              </w:rPr>
              <w:t>High-Level Optimised Multimodal Architecture</w:t>
            </w:r>
          </w:p>
        </w:tc>
        <w:tc>
          <w:tcPr>
            <w:tcW w:type="dxa" w:w="2880"/>
            <w:shd w:fill="0070B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Allocated Time: ~1:15 min</w:t>
            </w:r>
          </w:p>
        </w:tc>
      </w:tr>
    </w:tbl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Camera Feeds &amp; Temporal Decimation: </w:t>
      </w:r>
      <w:r>
        <w:rPr>
          <w:rFonts w:ascii="Arial" w:hAnsi="Arial"/>
          <w:i/>
          <w:color w:val="334155"/>
          <w:sz w:val="21"/>
        </w:rPr>
        <w:t>"Starting on the left: four 30 FPS fisheye feeds enter the pipeline. We first apply native Temporal Decimation to 5 FPS, cutting 83.3% of redundant frames immediately before model inference."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Shared DINOv2 Backbone (ViT-S/14): </w:t>
      </w:r>
      <w:r>
        <w:rPr>
          <w:rFonts w:ascii="Arial" w:hAnsi="Arial"/>
          <w:i/>
          <w:color w:val="334155"/>
          <w:sz w:val="21"/>
        </w:rPr>
        <w:t>"A single frozen 22M-parameter backbone processes the 5 FPS stream, outputting spatial patch tokens and multi-layer hidden states for all downstream tasks with zero redundant passes."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Head A — Actor Detection &amp; Tracking: </w:t>
      </w:r>
      <w:r>
        <w:rPr>
          <w:rFonts w:ascii="Arial" w:hAnsi="Arial"/>
          <w:i/>
          <w:color w:val="334155"/>
          <w:sz w:val="21"/>
        </w:rPr>
        <w:t>"Adapter-v2 with YOLO detects pedestrians and vehicles, and a multi-frame Hungarian tracker builds continuous bounding-box actor trajectories across time."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Head B — VIRAT Action Head: </w:t>
      </w:r>
      <w:r>
        <w:rPr>
          <w:rFonts w:ascii="Arial" w:hAnsi="Arial"/>
          <w:i/>
          <w:color w:val="334155"/>
          <w:sz w:val="21"/>
        </w:rPr>
        <w:t>"We pool spatiotemporal tubelet features from the DINOv2 patch tokens and pass them to a 2-layer temporal self-attention Transformer to classify actions like walking, standing, or approaching vehicles."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Embedded PVA Hardware Target: </w:t>
      </w:r>
      <w:r>
        <w:rPr>
          <w:rFonts w:ascii="Arial" w:hAnsi="Arial"/>
          <w:i/>
          <w:color w:val="334155"/>
          <w:sz w:val="21"/>
        </w:rPr>
        <w:t>"Both streams converge into the Low-Power PVA processor and Threat Assessment engine, fulfilling our strict compute budget of &lt; 10 GMACs per frame to preserve battery State of Charge."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0A25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Slide 4: </w:t>
            </w:r>
            <w:r>
              <w:rPr>
                <w:rFonts w:ascii="Arial" w:hAnsi="Arial"/>
                <w:color w:val="FFFFFF"/>
                <w:sz w:val="22"/>
              </w:rPr>
              <w:t>Multimodal Optimization &amp; Cross-Scene Validation Strategy</w:t>
            </w:r>
          </w:p>
        </w:tc>
        <w:tc>
          <w:tcPr>
            <w:tcW w:type="dxa" w:w="2880"/>
            <w:shd w:fill="0070B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Allocated Time: ~1:00 min</w:t>
            </w:r>
          </w:p>
        </w:tc>
      </w:tr>
    </w:tbl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Why Leave-One-Scene-Out (LOSO) Validation: </w:t>
      </w:r>
      <w:r>
        <w:rPr>
          <w:rFonts w:ascii="Arial" w:hAnsi="Arial"/>
          <w:i/>
          <w:color w:val="334155"/>
          <w:sz w:val="21"/>
        </w:rPr>
        <w:t>"To verify that our model generalizes to real-world automotive environments, we instituted a strict 3-Fold Leave-One-Scene-Out cross-validation protocol."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Cross-Scene Split Design: </w:t>
      </w:r>
      <w:r>
        <w:rPr>
          <w:rFonts w:ascii="Arial" w:hAnsi="Arial"/>
          <w:i/>
          <w:color w:val="334155"/>
          <w:sz w:val="21"/>
        </w:rPr>
        <w:t>"Each fold trains on two scenes and evaluates exclusively on a completely unseen third surveillance location with distinct camera angles, elevations, and lighting conditions."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Embedding Noise Injection &amp; Augmentation: </w:t>
      </w:r>
      <w:r>
        <w:rPr>
          <w:rFonts w:ascii="Arial" w:hAnsi="Arial"/>
          <w:i/>
          <w:color w:val="334155"/>
          <w:sz w:val="21"/>
        </w:rPr>
        <w:t>"We injected Gaussian feature noise (sigma = 0.04) and applied 15% feature dropout to prevent over-reliance on static background features."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Regularization &amp; Loss Calibration: </w:t>
      </w:r>
      <w:r>
        <w:rPr>
          <w:rFonts w:ascii="Arial" w:hAnsi="Arial"/>
          <w:i/>
          <w:color w:val="334155"/>
          <w:sz w:val="21"/>
        </w:rPr>
        <w:t>"We implemented 0.10 label smoothing and validation early stopping to guarantee calibrated, reliable prediction probabilities for vehicle threat alerts."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0A25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Slide 5: </w:t>
            </w:r>
            <w:r>
              <w:rPr>
                <w:rFonts w:ascii="Arial" w:hAnsi="Arial"/>
                <w:color w:val="FFFFFF"/>
                <w:sz w:val="22"/>
              </w:rPr>
              <w:t>Performance Benchmarking: Baseline vs. Optimized Multimodal Model</w:t>
            </w:r>
          </w:p>
        </w:tc>
        <w:tc>
          <w:tcPr>
            <w:tcW w:type="dxa" w:w="2880"/>
            <w:shd w:fill="0070B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Allocated Time: ~1:15 min</w:t>
            </w:r>
          </w:p>
        </w:tc>
      </w:tr>
    </w:tbl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Top-Line Metric Highlights: </w:t>
      </w:r>
      <w:r>
        <w:rPr>
          <w:rFonts w:ascii="Arial" w:hAnsi="Arial"/>
          <w:i/>
          <w:color w:val="334155"/>
          <w:sz w:val="21"/>
        </w:rPr>
        <w:t>"A standard global Kinetics-400 linear probe achieves only 22.4% accuracy due to a complete lack of spatial actor awareness."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Compute Decimation Impact: </w:t>
      </w:r>
      <w:r>
        <w:rPr>
          <w:rFonts w:ascii="Arial" w:hAnsi="Arial"/>
          <w:i/>
          <w:color w:val="334155"/>
          <w:sz w:val="21"/>
        </w:rPr>
        <w:t>"Our native 5 FPS decimation provides an 83.3% forward-compute saving across the surround-view camera feeds."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Unseen Cross-Scene Generalization: </w:t>
      </w:r>
      <w:r>
        <w:rPr>
          <w:rFonts w:ascii="Arial" w:hAnsi="Arial"/>
          <w:i/>
          <w:color w:val="334155"/>
          <w:sz w:val="21"/>
        </w:rPr>
        <w:t>"On genuinely unseen surveillance scenes, our optimized multimodal model achieves 70.83% Top-1 Accuracy and a 69.16% Weighted F1-Score."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Surveillance Action Discrimination: </w:t>
      </w:r>
      <w:r>
        <w:rPr>
          <w:rFonts w:ascii="Arial" w:hAnsi="Arial"/>
          <w:i/>
          <w:color w:val="334155"/>
          <w:sz w:val="21"/>
        </w:rPr>
        <w:t>"On primary surveillance actions, our spatiotemporal tubelet pooling achieves 75.0% F1-score on Walking (81.8% recall) and 69.6% F1-score on Standing (72.7% precision)."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Key Takeaway: </w:t>
      </w:r>
      <w:r>
        <w:rPr>
          <w:rFonts w:ascii="Arial" w:hAnsi="Arial"/>
          <w:i/>
          <w:color w:val="334155"/>
          <w:sz w:val="21"/>
        </w:rPr>
        <w:t>"Coupling spatial actor bounding-box trajectories with temporal self-attention delivers strong, generalizable accuracy under diverse surveillance conditions."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0A25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Slide 6: </w:t>
            </w:r>
            <w:r>
              <w:rPr>
                <w:rFonts w:ascii="Arial" w:hAnsi="Arial"/>
                <w:color w:val="FFFFFF"/>
                <w:sz w:val="22"/>
              </w:rPr>
              <w:t>Project Milestones &amp; Implementation Roadmap</w:t>
            </w:r>
          </w:p>
        </w:tc>
        <w:tc>
          <w:tcPr>
            <w:tcW w:type="dxa" w:w="2880"/>
            <w:shd w:fill="0070B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Allocated Time: ~1:00 min</w:t>
            </w:r>
          </w:p>
        </w:tc>
      </w:tr>
    </w:tbl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Milestone 1 — Achieved: </w:t>
      </w:r>
      <w:r>
        <w:rPr>
          <w:rFonts w:ascii="Arial" w:hAnsi="Arial"/>
          <w:i/>
          <w:color w:val="334155"/>
          <w:sz w:val="21"/>
        </w:rPr>
        <w:t>"Integrated the open-source VIRAT surveillance benchmark, deployed the 5 FPS decimation pipeline, and developed the Tubelet Transformer action head."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Milestone 2 — Achieved: </w:t>
      </w:r>
      <w:r>
        <w:rPr>
          <w:rFonts w:ascii="Arial" w:hAnsi="Arial"/>
          <w:i/>
          <w:color w:val="334155"/>
          <w:sz w:val="21"/>
        </w:rPr>
        <w:t>"Completed 3-Fold LOSO cross-scene validation, confirmed 70.83% unseen Top-1 accuracy, and exported our calibrated production checkpoint (best.pth)."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Upcoming Phase — Low-Power PVA Target: </w:t>
      </w:r>
      <w:r>
        <w:rPr>
          <w:rFonts w:ascii="Arial" w:hAnsi="Arial"/>
          <w:i/>
          <w:color w:val="334155"/>
          <w:sz w:val="21"/>
        </w:rPr>
        <w:t>"We will implement motion-aware token pruning and frame differencing to dynamically skip static background tokens across frames, ensuring the active compute stays strictly below our &lt; 10 GMACs per frame KPI."</w:t>
      </w:r>
    </w:p>
    <w:p>
      <w:pPr>
        <w:pStyle w:val="ListBullet"/>
        <w:spacing w:before="60" w:after="80"/>
        <w:ind w:left="432"/>
      </w:pPr>
      <w:r>
        <w:rPr>
          <w:rFonts w:ascii="Arial" w:hAnsi="Arial"/>
          <w:b/>
          <w:color w:val="0A2540"/>
          <w:sz w:val="21"/>
        </w:rPr>
        <w:t xml:space="preserve">Closing for Q&amp;A: </w:t>
      </w:r>
      <w:r>
        <w:rPr>
          <w:rFonts w:ascii="Arial" w:hAnsi="Arial"/>
          <w:i/>
          <w:color w:val="334155"/>
          <w:sz w:val="21"/>
        </w:rPr>
        <w:t>"Thank you. We are now happy to answer any questions from our guides and the panel."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A2540"/>
                <w:sz w:val="20"/>
              </w:rPr>
              <w:t>Presentation Timing &amp; Delivery Tips:</w:t>
            </w:r>
          </w:p>
          <w:p>
            <w:pPr>
              <w:spacing w:after="40"/>
            </w:pPr>
            <w:r>
              <w:rPr>
                <w:rFonts w:ascii="Arial" w:hAnsi="Arial"/>
                <w:color w:val="475569"/>
                <w:sz w:val="19"/>
              </w:rPr>
              <w:t>• Pacing: Keep a steady cadence of roughly 130-140 words per minute; each bullet corresponds to a single clear breath.</w:t>
            </w:r>
          </w:p>
          <w:p>
            <w:pPr>
              <w:spacing w:after="40"/>
            </w:pPr>
            <w:r>
              <w:rPr>
                <w:rFonts w:ascii="Arial" w:hAnsi="Arial"/>
                <w:color w:val="475569"/>
                <w:sz w:val="19"/>
              </w:rPr>
              <w:t>• Transitions: Pause 1-2 seconds when switching slides to let the panel visually digest the clean graphics.</w:t>
            </w:r>
          </w:p>
          <w:p>
            <w:pPr>
              <w:spacing w:after="40"/>
            </w:pPr>
            <w:r>
              <w:rPr>
                <w:rFonts w:ascii="Arial" w:hAnsi="Arial"/>
                <w:color w:val="475569"/>
                <w:sz w:val="19"/>
              </w:rPr>
              <w:t>• Buffer: The script covers ~6 minutes of active speaking, leaving a comfortable 1-minute buffer for introduction or questions.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