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A7D43" w14:textId="77777777" w:rsidR="009E5590" w:rsidRPr="009E5590" w:rsidRDefault="009E5590" w:rsidP="009E5590">
      <w:pPr>
        <w:rPr>
          <w:b/>
          <w:bCs/>
        </w:rPr>
      </w:pPr>
      <w:r w:rsidRPr="009E5590">
        <w:rPr>
          <w:b/>
          <w:bCs/>
        </w:rPr>
        <w:t>GARCH Models and VaR Backtesting Analysis</w:t>
      </w:r>
    </w:p>
    <w:p w14:paraId="7D3433B3" w14:textId="77777777" w:rsidR="009E5590" w:rsidRPr="009E5590" w:rsidRDefault="009E5590" w:rsidP="009E5590">
      <w:pPr>
        <w:rPr>
          <w:b/>
          <w:bCs/>
        </w:rPr>
      </w:pPr>
      <w:r w:rsidRPr="009E5590">
        <w:rPr>
          <w:b/>
          <w:bCs/>
        </w:rPr>
        <w:t>Enhanced Comprehensive Framework: Component GARCH vs Standard GARCH for Risk Management</w:t>
      </w:r>
    </w:p>
    <w:p w14:paraId="56B05B5A" w14:textId="77777777" w:rsidR="009E5590" w:rsidRPr="009E5590" w:rsidRDefault="009E5590" w:rsidP="009E5590">
      <w:pPr>
        <w:rPr>
          <w:b/>
          <w:bCs/>
        </w:rPr>
      </w:pPr>
      <w:r w:rsidRPr="009E5590">
        <w:rPr>
          <w:b/>
          <w:bCs/>
        </w:rPr>
        <w:t>Executive Summary</w:t>
      </w:r>
    </w:p>
    <w:p w14:paraId="46AD7951" w14:textId="77777777" w:rsidR="009E5590" w:rsidRPr="009E5590" w:rsidRDefault="009E5590" w:rsidP="009E5590">
      <w:r w:rsidRPr="009E5590">
        <w:t>This enhanced analysis provides a comprehensive evaluation of Component GARCH (CGARCH) and Standard GARCH models for Value-at-Risk (VaR) estimation using S&amp;P 500 daily returns. The study demonstrates that both model structure and distributional assumptions are critical for reliable risk management, now supported by extensive additional statistical tests, economic significance analysis, and robustness validation.</w:t>
      </w:r>
    </w:p>
    <w:p w14:paraId="0813E84E" w14:textId="77777777" w:rsidR="009E5590" w:rsidRPr="009E5590" w:rsidRDefault="009E5590" w:rsidP="009E5590">
      <w:pPr>
        <w:rPr>
          <w:b/>
          <w:bCs/>
        </w:rPr>
      </w:pPr>
      <w:r w:rsidRPr="009E5590">
        <w:rPr>
          <w:b/>
          <w:bCs/>
        </w:rPr>
        <w:t>Key Enhanced Findings:</w:t>
      </w:r>
    </w:p>
    <w:p w14:paraId="7EC39D92" w14:textId="77777777" w:rsidR="009E5590" w:rsidRPr="009E5590" w:rsidRDefault="009E5590" w:rsidP="009E5590">
      <w:pPr>
        <w:numPr>
          <w:ilvl w:val="0"/>
          <w:numId w:val="11"/>
        </w:numPr>
      </w:pPr>
      <w:r w:rsidRPr="009E5590">
        <w:rPr>
          <w:b/>
          <w:bCs/>
        </w:rPr>
        <w:t>Statistical Superiority</w:t>
      </w:r>
      <w:r w:rsidRPr="009E5590">
        <w:t>: CGARCH with Student's t-distribution passes all primary and secondary statistical tests for VaR validity</w:t>
      </w:r>
    </w:p>
    <w:p w14:paraId="3180F4CF" w14:textId="77777777" w:rsidR="009E5590" w:rsidRPr="009E5590" w:rsidRDefault="009E5590" w:rsidP="009E5590">
      <w:pPr>
        <w:numPr>
          <w:ilvl w:val="0"/>
          <w:numId w:val="11"/>
        </w:numPr>
      </w:pPr>
      <w:r w:rsidRPr="009E5590">
        <w:rPr>
          <w:b/>
          <w:bCs/>
        </w:rPr>
        <w:t>Economic Significance</w:t>
      </w:r>
      <w:r w:rsidRPr="009E5590">
        <w:t>: Model choice has substantial implications for regulatory capital requirements (15-25% difference)</w:t>
      </w:r>
    </w:p>
    <w:p w14:paraId="3B3C6BF6" w14:textId="77777777" w:rsidR="009E5590" w:rsidRPr="009E5590" w:rsidRDefault="009E5590" w:rsidP="009E5590">
      <w:pPr>
        <w:numPr>
          <w:ilvl w:val="0"/>
          <w:numId w:val="11"/>
        </w:numPr>
      </w:pPr>
      <w:r w:rsidRPr="009E5590">
        <w:rPr>
          <w:b/>
          <w:bCs/>
        </w:rPr>
        <w:t>Robustness Validation</w:t>
      </w:r>
      <w:r w:rsidRPr="009E5590">
        <w:t>: Superior performance holds across multiple confidence levels and sub-periods</w:t>
      </w:r>
    </w:p>
    <w:p w14:paraId="18069024" w14:textId="77777777" w:rsidR="009E5590" w:rsidRPr="009E5590" w:rsidRDefault="009E5590" w:rsidP="009E5590">
      <w:pPr>
        <w:numPr>
          <w:ilvl w:val="0"/>
          <w:numId w:val="11"/>
        </w:numPr>
      </w:pPr>
      <w:r w:rsidRPr="009E5590">
        <w:rPr>
          <w:b/>
          <w:bCs/>
        </w:rPr>
        <w:t>Crisis Performance</w:t>
      </w:r>
      <w:r w:rsidRPr="009E5590">
        <w:t>: CGARCH maintains reliability during high-stress market conditions</w:t>
      </w:r>
    </w:p>
    <w:p w14:paraId="4ED46B67" w14:textId="77777777" w:rsidR="009E5590" w:rsidRPr="009E5590" w:rsidRDefault="009E5590" w:rsidP="009E5590">
      <w:pPr>
        <w:numPr>
          <w:ilvl w:val="0"/>
          <w:numId w:val="11"/>
        </w:numPr>
      </w:pPr>
      <w:r w:rsidRPr="009E5590">
        <w:rPr>
          <w:b/>
          <w:bCs/>
        </w:rPr>
        <w:t>Regulatory Compliance</w:t>
      </w:r>
      <w:r w:rsidRPr="009E5590">
        <w:t>: Only CGARCH-t meets Basel III model validation standards</w:t>
      </w:r>
    </w:p>
    <w:p w14:paraId="46291C58" w14:textId="77777777" w:rsidR="009E5590" w:rsidRPr="009E5590" w:rsidRDefault="009E5590" w:rsidP="009E5590">
      <w:r w:rsidRPr="009E5590">
        <w:pict w14:anchorId="0FC70694">
          <v:rect id="_x0000_i1125" style="width:0;height:1.5pt" o:hralign="center" o:hrstd="t" o:hr="t" fillcolor="#a0a0a0" stroked="f"/>
        </w:pict>
      </w:r>
    </w:p>
    <w:p w14:paraId="32313236" w14:textId="77777777" w:rsidR="009E5590" w:rsidRPr="009E5590" w:rsidRDefault="009E5590" w:rsidP="009E5590">
      <w:pPr>
        <w:rPr>
          <w:b/>
          <w:bCs/>
        </w:rPr>
      </w:pPr>
      <w:r w:rsidRPr="009E5590">
        <w:rPr>
          <w:b/>
          <w:bCs/>
        </w:rPr>
        <w:t>1. Enhanced Data and Methodology</w:t>
      </w:r>
    </w:p>
    <w:p w14:paraId="24601E15" w14:textId="77777777" w:rsidR="009E5590" w:rsidRPr="009E5590" w:rsidRDefault="009E5590" w:rsidP="009E5590">
      <w:pPr>
        <w:rPr>
          <w:b/>
          <w:bCs/>
        </w:rPr>
      </w:pPr>
      <w:r w:rsidRPr="009E5590">
        <w:rPr>
          <w:b/>
          <w:bCs/>
        </w:rPr>
        <w:t>Dataset</w:t>
      </w:r>
    </w:p>
    <w:p w14:paraId="166EC4A7" w14:textId="77777777" w:rsidR="009E5590" w:rsidRPr="009E5590" w:rsidRDefault="009E5590" w:rsidP="009E5590">
      <w:pPr>
        <w:numPr>
          <w:ilvl w:val="0"/>
          <w:numId w:val="12"/>
        </w:numPr>
      </w:pPr>
      <w:r w:rsidRPr="009E5590">
        <w:rPr>
          <w:b/>
          <w:bCs/>
        </w:rPr>
        <w:t>Source:</w:t>
      </w:r>
      <w:r w:rsidRPr="009E5590">
        <w:t xml:space="preserve"> S&amp;P 500 daily returns (2010-2025)</w:t>
      </w:r>
    </w:p>
    <w:p w14:paraId="327AF6E9" w14:textId="77777777" w:rsidR="009E5590" w:rsidRPr="009E5590" w:rsidRDefault="009E5590" w:rsidP="009E5590">
      <w:pPr>
        <w:numPr>
          <w:ilvl w:val="0"/>
          <w:numId w:val="12"/>
        </w:numPr>
      </w:pPr>
      <w:r w:rsidRPr="009E5590">
        <w:rPr>
          <w:b/>
          <w:bCs/>
        </w:rPr>
        <w:t>Total Observations:</w:t>
      </w:r>
      <w:r w:rsidRPr="009E5590">
        <w:t xml:space="preserve"> 3,938</w:t>
      </w:r>
    </w:p>
    <w:p w14:paraId="325F23FC" w14:textId="77777777" w:rsidR="009E5590" w:rsidRPr="009E5590" w:rsidRDefault="009E5590" w:rsidP="009E5590">
      <w:pPr>
        <w:numPr>
          <w:ilvl w:val="0"/>
          <w:numId w:val="12"/>
        </w:numPr>
      </w:pPr>
      <w:r w:rsidRPr="009E5590">
        <w:rPr>
          <w:b/>
          <w:bCs/>
        </w:rPr>
        <w:t>Training Set:</w:t>
      </w:r>
      <w:r w:rsidRPr="009E5590">
        <w:t xml:space="preserve"> 2,756 observations (70%)</w:t>
      </w:r>
    </w:p>
    <w:p w14:paraId="06F43E23" w14:textId="77777777" w:rsidR="009E5590" w:rsidRPr="009E5590" w:rsidRDefault="009E5590" w:rsidP="009E5590">
      <w:pPr>
        <w:numPr>
          <w:ilvl w:val="0"/>
          <w:numId w:val="12"/>
        </w:numPr>
      </w:pPr>
      <w:r w:rsidRPr="009E5590">
        <w:rPr>
          <w:b/>
          <w:bCs/>
        </w:rPr>
        <w:t>Testing Set:</w:t>
      </w:r>
      <w:r w:rsidRPr="009E5590">
        <w:t xml:space="preserve"> 1,182 observations (30%)</w:t>
      </w:r>
    </w:p>
    <w:p w14:paraId="6300720B" w14:textId="77777777" w:rsidR="009E5590" w:rsidRPr="009E5590" w:rsidRDefault="009E5590" w:rsidP="009E5590">
      <w:pPr>
        <w:numPr>
          <w:ilvl w:val="0"/>
          <w:numId w:val="12"/>
        </w:numPr>
      </w:pPr>
      <w:r w:rsidRPr="009E5590">
        <w:rPr>
          <w:b/>
          <w:bCs/>
        </w:rPr>
        <w:t>VaR Levels:</w:t>
      </w:r>
      <w:r w:rsidRPr="009E5590">
        <w:t xml:space="preserve"> 99%, 97.5%, 95% (comprehensive testing)</w:t>
      </w:r>
    </w:p>
    <w:p w14:paraId="23240C14" w14:textId="77777777" w:rsidR="009E5590" w:rsidRPr="009E5590" w:rsidRDefault="009E5590" w:rsidP="009E5590">
      <w:pPr>
        <w:numPr>
          <w:ilvl w:val="0"/>
          <w:numId w:val="12"/>
        </w:numPr>
      </w:pPr>
      <w:r w:rsidRPr="009E5590">
        <w:rPr>
          <w:b/>
          <w:bCs/>
        </w:rPr>
        <w:t>Sub-periods:</w:t>
      </w:r>
      <w:r w:rsidRPr="009E5590">
        <w:t xml:space="preserve"> Pre-COVID (2010-2019), COVID-era (2020-2022), Post-COVID (2023-2025)</w:t>
      </w:r>
    </w:p>
    <w:p w14:paraId="38F02D50" w14:textId="77777777" w:rsidR="009E5590" w:rsidRPr="009E5590" w:rsidRDefault="009E5590" w:rsidP="009E5590">
      <w:pPr>
        <w:rPr>
          <w:b/>
          <w:bCs/>
        </w:rPr>
      </w:pPr>
      <w:r w:rsidRPr="009E5590">
        <w:rPr>
          <w:b/>
          <w:bCs/>
        </w:rPr>
        <w:t>Enhanced Model Framework</w:t>
      </w:r>
    </w:p>
    <w:p w14:paraId="71072BED" w14:textId="77777777" w:rsidR="009E5590" w:rsidRPr="009E5590" w:rsidRDefault="009E5590" w:rsidP="009E5590">
      <w:pPr>
        <w:numPr>
          <w:ilvl w:val="0"/>
          <w:numId w:val="13"/>
        </w:numPr>
      </w:pPr>
      <w:r w:rsidRPr="009E5590">
        <w:rPr>
          <w:b/>
          <w:bCs/>
        </w:rPr>
        <w:t>Component GARCH (CGARCH):</w:t>
      </w:r>
      <w:r w:rsidRPr="009E5590">
        <w:t xml:space="preserve"> Time-varying long-run volatility with enhanced estimation</w:t>
      </w:r>
    </w:p>
    <w:p w14:paraId="3B2D2972" w14:textId="77777777" w:rsidR="009E5590" w:rsidRPr="009E5590" w:rsidRDefault="009E5590" w:rsidP="009E5590">
      <w:pPr>
        <w:numPr>
          <w:ilvl w:val="0"/>
          <w:numId w:val="13"/>
        </w:numPr>
      </w:pPr>
      <w:r w:rsidRPr="009E5590">
        <w:rPr>
          <w:b/>
          <w:bCs/>
        </w:rPr>
        <w:t>Standard GARCH:</w:t>
      </w:r>
      <w:r w:rsidRPr="009E5590">
        <w:t xml:space="preserve"> Traditional GARCH(1,1) with robust standard errors</w:t>
      </w:r>
    </w:p>
    <w:p w14:paraId="4E9BC81D" w14:textId="77777777" w:rsidR="009E5590" w:rsidRPr="009E5590" w:rsidRDefault="009E5590" w:rsidP="009E5590">
      <w:pPr>
        <w:numPr>
          <w:ilvl w:val="0"/>
          <w:numId w:val="13"/>
        </w:numPr>
      </w:pPr>
      <w:r w:rsidRPr="009E5590">
        <w:rPr>
          <w:b/>
          <w:bCs/>
        </w:rPr>
        <w:t>Extended Models:</w:t>
      </w:r>
      <w:r w:rsidRPr="009E5590">
        <w:t xml:space="preserve"> GJR-GARCH, EGARCH for asymmetry testing</w:t>
      </w:r>
    </w:p>
    <w:p w14:paraId="4958E83C" w14:textId="77777777" w:rsidR="009E5590" w:rsidRPr="009E5590" w:rsidRDefault="009E5590" w:rsidP="009E5590">
      <w:pPr>
        <w:numPr>
          <w:ilvl w:val="0"/>
          <w:numId w:val="13"/>
        </w:numPr>
      </w:pPr>
      <w:r w:rsidRPr="009E5590">
        <w:rPr>
          <w:b/>
          <w:bCs/>
        </w:rPr>
        <w:t>Distributions:</w:t>
      </w:r>
      <w:r w:rsidRPr="009E5590">
        <w:t xml:space="preserve"> Normal, Student's t, Skewed Student's t, Generalized Error Distribution</w:t>
      </w:r>
    </w:p>
    <w:p w14:paraId="72D22E9E" w14:textId="77777777" w:rsidR="009E5590" w:rsidRPr="009E5590" w:rsidRDefault="009E5590" w:rsidP="009E5590">
      <w:pPr>
        <w:rPr>
          <w:b/>
          <w:bCs/>
        </w:rPr>
      </w:pPr>
      <w:r w:rsidRPr="009E5590">
        <w:rPr>
          <w:b/>
          <w:bCs/>
        </w:rPr>
        <w:t>Advanced Statistical Testing Suite</w:t>
      </w:r>
    </w:p>
    <w:p w14:paraId="04536807" w14:textId="77777777" w:rsidR="009E5590" w:rsidRPr="009E5590" w:rsidRDefault="009E5590" w:rsidP="009E5590">
      <w:pPr>
        <w:numPr>
          <w:ilvl w:val="0"/>
          <w:numId w:val="14"/>
        </w:numPr>
      </w:pPr>
      <w:r w:rsidRPr="009E5590">
        <w:rPr>
          <w:b/>
          <w:bCs/>
        </w:rPr>
        <w:t>Primary Tests:</w:t>
      </w:r>
      <w:r w:rsidRPr="009E5590">
        <w:t xml:space="preserve"> Kupiec (1995), Christoffersen (1998)</w:t>
      </w:r>
    </w:p>
    <w:p w14:paraId="0ECA7524" w14:textId="77777777" w:rsidR="009E5590" w:rsidRPr="009E5590" w:rsidRDefault="009E5590" w:rsidP="009E5590">
      <w:pPr>
        <w:numPr>
          <w:ilvl w:val="0"/>
          <w:numId w:val="14"/>
        </w:numPr>
      </w:pPr>
      <w:r w:rsidRPr="009E5590">
        <w:rPr>
          <w:b/>
          <w:bCs/>
        </w:rPr>
        <w:lastRenderedPageBreak/>
        <w:t>Secondary Tests:</w:t>
      </w:r>
      <w:r w:rsidRPr="009E5590">
        <w:t xml:space="preserve"> Dynamic Quantile (Engle &amp; Manganelli, 2004)</w:t>
      </w:r>
    </w:p>
    <w:p w14:paraId="07FC9A15" w14:textId="77777777" w:rsidR="009E5590" w:rsidRPr="009E5590" w:rsidRDefault="009E5590" w:rsidP="009E5590">
      <w:pPr>
        <w:numPr>
          <w:ilvl w:val="0"/>
          <w:numId w:val="14"/>
        </w:numPr>
      </w:pPr>
      <w:r w:rsidRPr="009E5590">
        <w:rPr>
          <w:b/>
          <w:bCs/>
        </w:rPr>
        <w:t>Model Ranking:</w:t>
      </w:r>
      <w:r w:rsidRPr="009E5590">
        <w:t xml:space="preserve"> Model Confidence Set (Hansen et al., 2011)</w:t>
      </w:r>
    </w:p>
    <w:p w14:paraId="00AFCD5B" w14:textId="77777777" w:rsidR="009E5590" w:rsidRPr="009E5590" w:rsidRDefault="009E5590" w:rsidP="009E5590">
      <w:pPr>
        <w:numPr>
          <w:ilvl w:val="0"/>
          <w:numId w:val="14"/>
        </w:numPr>
      </w:pPr>
      <w:r w:rsidRPr="009E5590">
        <w:rPr>
          <w:b/>
          <w:bCs/>
        </w:rPr>
        <w:t>Economic Tests:</w:t>
      </w:r>
      <w:r w:rsidRPr="009E5590">
        <w:t xml:space="preserve"> Regulatory capital adequacy, Economic loss functions</w:t>
      </w:r>
    </w:p>
    <w:p w14:paraId="7365D899" w14:textId="77777777" w:rsidR="009E5590" w:rsidRPr="009E5590" w:rsidRDefault="009E5590" w:rsidP="009E5590">
      <w:r w:rsidRPr="009E5590">
        <w:pict w14:anchorId="61540247">
          <v:rect id="_x0000_i1126" style="width:0;height:1.5pt" o:hralign="center" o:hrstd="t" o:hr="t" fillcolor="#a0a0a0" stroked="f"/>
        </w:pict>
      </w:r>
    </w:p>
    <w:p w14:paraId="25335CCC" w14:textId="77777777" w:rsidR="009E5590" w:rsidRPr="009E5590" w:rsidRDefault="009E5590" w:rsidP="009E5590">
      <w:pPr>
        <w:rPr>
          <w:b/>
          <w:bCs/>
        </w:rPr>
      </w:pPr>
      <w:r w:rsidRPr="009E5590">
        <w:rPr>
          <w:b/>
          <w:bCs/>
        </w:rPr>
        <w:t>2. Comprehensive Statistical Analysis</w:t>
      </w:r>
    </w:p>
    <w:p w14:paraId="3E7BBCD3" w14:textId="77777777" w:rsidR="009E5590" w:rsidRPr="009E5590" w:rsidRDefault="009E5590" w:rsidP="009E5590">
      <w:pPr>
        <w:rPr>
          <w:b/>
          <w:bCs/>
        </w:rPr>
      </w:pPr>
      <w:r w:rsidRPr="009E5590">
        <w:rPr>
          <w:b/>
          <w:bCs/>
        </w:rPr>
        <w:t>2.1 Primary VaR Backtesting Results (99% Level)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gridCol w:w="1152"/>
        <w:gridCol w:w="890"/>
        <w:gridCol w:w="614"/>
        <w:gridCol w:w="895"/>
        <w:gridCol w:w="1325"/>
        <w:gridCol w:w="2005"/>
        <w:gridCol w:w="646"/>
      </w:tblGrid>
      <w:tr w:rsidR="009E5590" w:rsidRPr="009E5590" w14:paraId="5CB0EA4E" w14:textId="77777777">
        <w:trPr>
          <w:tblHeader/>
          <w:tblCellSpacing w:w="15" w:type="dxa"/>
        </w:trPr>
        <w:tc>
          <w:tcPr>
            <w:tcW w:w="0" w:type="auto"/>
            <w:vAlign w:val="center"/>
            <w:hideMark/>
          </w:tcPr>
          <w:p w14:paraId="2C07C5C4" w14:textId="77777777" w:rsidR="009E5590" w:rsidRPr="009E5590" w:rsidRDefault="009E5590" w:rsidP="009E5590">
            <w:pPr>
              <w:rPr>
                <w:b/>
                <w:bCs/>
              </w:rPr>
            </w:pPr>
            <w:r w:rsidRPr="009E5590">
              <w:rPr>
                <w:b/>
                <w:bCs/>
              </w:rPr>
              <w:t>Model</w:t>
            </w:r>
          </w:p>
        </w:tc>
        <w:tc>
          <w:tcPr>
            <w:tcW w:w="0" w:type="auto"/>
            <w:vAlign w:val="center"/>
            <w:hideMark/>
          </w:tcPr>
          <w:p w14:paraId="413AC53F" w14:textId="77777777" w:rsidR="009E5590" w:rsidRPr="009E5590" w:rsidRDefault="009E5590" w:rsidP="009E5590">
            <w:pPr>
              <w:rPr>
                <w:b/>
                <w:bCs/>
              </w:rPr>
            </w:pPr>
            <w:r w:rsidRPr="009E5590">
              <w:rPr>
                <w:b/>
                <w:bCs/>
              </w:rPr>
              <w:t>Distribution</w:t>
            </w:r>
          </w:p>
        </w:tc>
        <w:tc>
          <w:tcPr>
            <w:tcW w:w="0" w:type="auto"/>
            <w:vAlign w:val="center"/>
            <w:hideMark/>
          </w:tcPr>
          <w:p w14:paraId="06ADE1F3" w14:textId="77777777" w:rsidR="009E5590" w:rsidRPr="009E5590" w:rsidRDefault="009E5590" w:rsidP="009E5590">
            <w:pPr>
              <w:rPr>
                <w:b/>
                <w:bCs/>
              </w:rPr>
            </w:pPr>
            <w:r w:rsidRPr="009E5590">
              <w:rPr>
                <w:b/>
                <w:bCs/>
              </w:rPr>
              <w:t>Breaches</w:t>
            </w:r>
          </w:p>
        </w:tc>
        <w:tc>
          <w:tcPr>
            <w:tcW w:w="0" w:type="auto"/>
            <w:vAlign w:val="center"/>
            <w:hideMark/>
          </w:tcPr>
          <w:p w14:paraId="57C1D582" w14:textId="77777777" w:rsidR="009E5590" w:rsidRPr="009E5590" w:rsidRDefault="009E5590" w:rsidP="009E5590">
            <w:pPr>
              <w:rPr>
                <w:b/>
                <w:bCs/>
              </w:rPr>
            </w:pPr>
            <w:r w:rsidRPr="009E5590">
              <w:rPr>
                <w:b/>
                <w:bCs/>
              </w:rPr>
              <w:t>Rate</w:t>
            </w:r>
          </w:p>
        </w:tc>
        <w:tc>
          <w:tcPr>
            <w:tcW w:w="0" w:type="auto"/>
            <w:vAlign w:val="center"/>
            <w:hideMark/>
          </w:tcPr>
          <w:p w14:paraId="4228B8D7" w14:textId="77777777" w:rsidR="009E5590" w:rsidRPr="009E5590" w:rsidRDefault="009E5590" w:rsidP="009E5590">
            <w:pPr>
              <w:rPr>
                <w:b/>
                <w:bCs/>
              </w:rPr>
            </w:pPr>
            <w:r w:rsidRPr="009E5590">
              <w:rPr>
                <w:b/>
                <w:bCs/>
              </w:rPr>
              <w:t>Expected</w:t>
            </w:r>
          </w:p>
        </w:tc>
        <w:tc>
          <w:tcPr>
            <w:tcW w:w="0" w:type="auto"/>
            <w:vAlign w:val="center"/>
            <w:hideMark/>
          </w:tcPr>
          <w:p w14:paraId="2F47D710" w14:textId="77777777" w:rsidR="009E5590" w:rsidRPr="009E5590" w:rsidRDefault="009E5590" w:rsidP="009E5590">
            <w:pPr>
              <w:rPr>
                <w:b/>
                <w:bCs/>
              </w:rPr>
            </w:pPr>
            <w:r w:rsidRPr="009E5590">
              <w:rPr>
                <w:b/>
                <w:bCs/>
              </w:rPr>
              <w:t>Kupiec p-value</w:t>
            </w:r>
          </w:p>
        </w:tc>
        <w:tc>
          <w:tcPr>
            <w:tcW w:w="0" w:type="auto"/>
            <w:vAlign w:val="center"/>
            <w:hideMark/>
          </w:tcPr>
          <w:p w14:paraId="72125B2C" w14:textId="77777777" w:rsidR="009E5590" w:rsidRPr="009E5590" w:rsidRDefault="009E5590" w:rsidP="009E5590">
            <w:pPr>
              <w:rPr>
                <w:b/>
                <w:bCs/>
              </w:rPr>
            </w:pPr>
            <w:r w:rsidRPr="009E5590">
              <w:rPr>
                <w:b/>
                <w:bCs/>
              </w:rPr>
              <w:t>Christoffersen p-value</w:t>
            </w:r>
          </w:p>
        </w:tc>
        <w:tc>
          <w:tcPr>
            <w:tcW w:w="0" w:type="auto"/>
            <w:vAlign w:val="center"/>
            <w:hideMark/>
          </w:tcPr>
          <w:p w14:paraId="4540A96F" w14:textId="77777777" w:rsidR="009E5590" w:rsidRPr="009E5590" w:rsidRDefault="009E5590" w:rsidP="009E5590">
            <w:pPr>
              <w:rPr>
                <w:b/>
                <w:bCs/>
              </w:rPr>
            </w:pPr>
            <w:r w:rsidRPr="009E5590">
              <w:rPr>
                <w:b/>
                <w:bCs/>
              </w:rPr>
              <w:t>Status</w:t>
            </w:r>
          </w:p>
        </w:tc>
      </w:tr>
      <w:tr w:rsidR="009E5590" w:rsidRPr="009E5590" w14:paraId="79DB7F8D" w14:textId="77777777">
        <w:trPr>
          <w:tblCellSpacing w:w="15" w:type="dxa"/>
        </w:trPr>
        <w:tc>
          <w:tcPr>
            <w:tcW w:w="0" w:type="auto"/>
            <w:vAlign w:val="center"/>
            <w:hideMark/>
          </w:tcPr>
          <w:p w14:paraId="0A198A28" w14:textId="77777777" w:rsidR="009E5590" w:rsidRPr="009E5590" w:rsidRDefault="009E5590" w:rsidP="009E5590">
            <w:r w:rsidRPr="009E5590">
              <w:rPr>
                <w:b/>
                <w:bCs/>
              </w:rPr>
              <w:t>CGARCH</w:t>
            </w:r>
          </w:p>
        </w:tc>
        <w:tc>
          <w:tcPr>
            <w:tcW w:w="0" w:type="auto"/>
            <w:vAlign w:val="center"/>
            <w:hideMark/>
          </w:tcPr>
          <w:p w14:paraId="10D5CF84" w14:textId="77777777" w:rsidR="009E5590" w:rsidRPr="009E5590" w:rsidRDefault="009E5590" w:rsidP="009E5590">
            <w:r w:rsidRPr="009E5590">
              <w:rPr>
                <w:b/>
                <w:bCs/>
              </w:rPr>
              <w:t>Student's t</w:t>
            </w:r>
          </w:p>
        </w:tc>
        <w:tc>
          <w:tcPr>
            <w:tcW w:w="0" w:type="auto"/>
            <w:vAlign w:val="center"/>
            <w:hideMark/>
          </w:tcPr>
          <w:p w14:paraId="7586AA28" w14:textId="77777777" w:rsidR="009E5590" w:rsidRPr="009E5590" w:rsidRDefault="009E5590" w:rsidP="009E5590">
            <w:r w:rsidRPr="009E5590">
              <w:rPr>
                <w:b/>
                <w:bCs/>
              </w:rPr>
              <w:t>17</w:t>
            </w:r>
          </w:p>
        </w:tc>
        <w:tc>
          <w:tcPr>
            <w:tcW w:w="0" w:type="auto"/>
            <w:vAlign w:val="center"/>
            <w:hideMark/>
          </w:tcPr>
          <w:p w14:paraId="4A3AAB01" w14:textId="77777777" w:rsidR="009E5590" w:rsidRPr="009E5590" w:rsidRDefault="009E5590" w:rsidP="009E5590">
            <w:r w:rsidRPr="009E5590">
              <w:rPr>
                <w:b/>
                <w:bCs/>
              </w:rPr>
              <w:t>1.44%</w:t>
            </w:r>
          </w:p>
        </w:tc>
        <w:tc>
          <w:tcPr>
            <w:tcW w:w="0" w:type="auto"/>
            <w:vAlign w:val="center"/>
            <w:hideMark/>
          </w:tcPr>
          <w:p w14:paraId="47BF238C" w14:textId="77777777" w:rsidR="009E5590" w:rsidRPr="009E5590" w:rsidRDefault="009E5590" w:rsidP="009E5590">
            <w:r w:rsidRPr="009E5590">
              <w:rPr>
                <w:b/>
                <w:bCs/>
              </w:rPr>
              <w:t>1.00%</w:t>
            </w:r>
          </w:p>
        </w:tc>
        <w:tc>
          <w:tcPr>
            <w:tcW w:w="0" w:type="auto"/>
            <w:vAlign w:val="center"/>
            <w:hideMark/>
          </w:tcPr>
          <w:p w14:paraId="0AC39811" w14:textId="77777777" w:rsidR="009E5590" w:rsidRPr="009E5590" w:rsidRDefault="009E5590" w:rsidP="009E5590">
            <w:r w:rsidRPr="009E5590">
              <w:rPr>
                <w:b/>
                <w:bCs/>
              </w:rPr>
              <w:t>0.1553</w:t>
            </w:r>
            <w:r w:rsidRPr="009E5590">
              <w:t xml:space="preserve"> </w:t>
            </w:r>
            <w:r w:rsidRPr="009E5590">
              <w:rPr>
                <w:rFonts w:ascii="Segoe UI Emoji" w:hAnsi="Segoe UI Emoji" w:cs="Segoe UI Emoji"/>
              </w:rPr>
              <w:t>✅</w:t>
            </w:r>
          </w:p>
        </w:tc>
        <w:tc>
          <w:tcPr>
            <w:tcW w:w="0" w:type="auto"/>
            <w:vAlign w:val="center"/>
            <w:hideMark/>
          </w:tcPr>
          <w:p w14:paraId="0CAD6E5D" w14:textId="77777777" w:rsidR="009E5590" w:rsidRPr="009E5590" w:rsidRDefault="009E5590" w:rsidP="009E5590">
            <w:r w:rsidRPr="009E5590">
              <w:rPr>
                <w:b/>
                <w:bCs/>
              </w:rPr>
              <w:t>0.1833</w:t>
            </w:r>
            <w:r w:rsidRPr="009E5590">
              <w:t xml:space="preserve"> </w:t>
            </w:r>
            <w:r w:rsidRPr="009E5590">
              <w:rPr>
                <w:rFonts w:ascii="Segoe UI Emoji" w:hAnsi="Segoe UI Emoji" w:cs="Segoe UI Emoji"/>
              </w:rPr>
              <w:t>✅</w:t>
            </w:r>
          </w:p>
        </w:tc>
        <w:tc>
          <w:tcPr>
            <w:tcW w:w="0" w:type="auto"/>
            <w:vAlign w:val="center"/>
            <w:hideMark/>
          </w:tcPr>
          <w:p w14:paraId="746FA360" w14:textId="77777777" w:rsidR="009E5590" w:rsidRPr="009E5590" w:rsidRDefault="009E5590" w:rsidP="009E5590">
            <w:r w:rsidRPr="009E5590">
              <w:rPr>
                <w:b/>
                <w:bCs/>
              </w:rPr>
              <w:t>PASS</w:t>
            </w:r>
          </w:p>
        </w:tc>
      </w:tr>
      <w:tr w:rsidR="009E5590" w:rsidRPr="009E5590" w14:paraId="44A745EE" w14:textId="77777777">
        <w:trPr>
          <w:tblCellSpacing w:w="15" w:type="dxa"/>
        </w:trPr>
        <w:tc>
          <w:tcPr>
            <w:tcW w:w="0" w:type="auto"/>
            <w:vAlign w:val="center"/>
            <w:hideMark/>
          </w:tcPr>
          <w:p w14:paraId="74B930CA" w14:textId="77777777" w:rsidR="009E5590" w:rsidRPr="009E5590" w:rsidRDefault="009E5590" w:rsidP="009E5590">
            <w:r w:rsidRPr="009E5590">
              <w:t>Standard GARCH</w:t>
            </w:r>
          </w:p>
        </w:tc>
        <w:tc>
          <w:tcPr>
            <w:tcW w:w="0" w:type="auto"/>
            <w:vAlign w:val="center"/>
            <w:hideMark/>
          </w:tcPr>
          <w:p w14:paraId="7F91BD39" w14:textId="77777777" w:rsidR="009E5590" w:rsidRPr="009E5590" w:rsidRDefault="009E5590" w:rsidP="009E5590">
            <w:r w:rsidRPr="009E5590">
              <w:t>Student's t</w:t>
            </w:r>
          </w:p>
        </w:tc>
        <w:tc>
          <w:tcPr>
            <w:tcW w:w="0" w:type="auto"/>
            <w:vAlign w:val="center"/>
            <w:hideMark/>
          </w:tcPr>
          <w:p w14:paraId="1515400D" w14:textId="77777777" w:rsidR="009E5590" w:rsidRPr="009E5590" w:rsidRDefault="009E5590" w:rsidP="009E5590">
            <w:r w:rsidRPr="009E5590">
              <w:t>20</w:t>
            </w:r>
          </w:p>
        </w:tc>
        <w:tc>
          <w:tcPr>
            <w:tcW w:w="0" w:type="auto"/>
            <w:vAlign w:val="center"/>
            <w:hideMark/>
          </w:tcPr>
          <w:p w14:paraId="6B46EE70" w14:textId="77777777" w:rsidR="009E5590" w:rsidRPr="009E5590" w:rsidRDefault="009E5590" w:rsidP="009E5590">
            <w:r w:rsidRPr="009E5590">
              <w:t>1.69%</w:t>
            </w:r>
          </w:p>
        </w:tc>
        <w:tc>
          <w:tcPr>
            <w:tcW w:w="0" w:type="auto"/>
            <w:vAlign w:val="center"/>
            <w:hideMark/>
          </w:tcPr>
          <w:p w14:paraId="1B3635FA" w14:textId="77777777" w:rsidR="009E5590" w:rsidRPr="009E5590" w:rsidRDefault="009E5590" w:rsidP="009E5590">
            <w:r w:rsidRPr="009E5590">
              <w:t>1.00%</w:t>
            </w:r>
          </w:p>
        </w:tc>
        <w:tc>
          <w:tcPr>
            <w:tcW w:w="0" w:type="auto"/>
            <w:vAlign w:val="center"/>
            <w:hideMark/>
          </w:tcPr>
          <w:p w14:paraId="09C171E5" w14:textId="77777777" w:rsidR="009E5590" w:rsidRPr="009E5590" w:rsidRDefault="009E5590" w:rsidP="009E5590">
            <w:r w:rsidRPr="009E5590">
              <w:t xml:space="preserve">0.0296 </w:t>
            </w:r>
            <w:r w:rsidRPr="009E5590">
              <w:rPr>
                <w:rFonts w:ascii="Segoe UI Emoji" w:hAnsi="Segoe UI Emoji" w:cs="Segoe UI Emoji"/>
              </w:rPr>
              <w:t>❌</w:t>
            </w:r>
          </w:p>
        </w:tc>
        <w:tc>
          <w:tcPr>
            <w:tcW w:w="0" w:type="auto"/>
            <w:vAlign w:val="center"/>
            <w:hideMark/>
          </w:tcPr>
          <w:p w14:paraId="5D3B08E6" w14:textId="77777777" w:rsidR="009E5590" w:rsidRPr="009E5590" w:rsidRDefault="009E5590" w:rsidP="009E5590">
            <w:r w:rsidRPr="009E5590">
              <w:t xml:space="preserve">0.0601 </w:t>
            </w:r>
            <w:r w:rsidRPr="009E5590">
              <w:rPr>
                <w:rFonts w:ascii="Segoe UI Emoji" w:hAnsi="Segoe UI Emoji" w:cs="Segoe UI Emoji"/>
              </w:rPr>
              <w:t>⚠️</w:t>
            </w:r>
          </w:p>
        </w:tc>
        <w:tc>
          <w:tcPr>
            <w:tcW w:w="0" w:type="auto"/>
            <w:vAlign w:val="center"/>
            <w:hideMark/>
          </w:tcPr>
          <w:p w14:paraId="3CD14DED" w14:textId="77777777" w:rsidR="009E5590" w:rsidRPr="009E5590" w:rsidRDefault="009E5590" w:rsidP="009E5590">
            <w:r w:rsidRPr="009E5590">
              <w:t>FAIL</w:t>
            </w:r>
          </w:p>
        </w:tc>
      </w:tr>
      <w:tr w:rsidR="009E5590" w:rsidRPr="009E5590" w14:paraId="2728483A" w14:textId="77777777">
        <w:trPr>
          <w:tblCellSpacing w:w="15" w:type="dxa"/>
        </w:trPr>
        <w:tc>
          <w:tcPr>
            <w:tcW w:w="0" w:type="auto"/>
            <w:vAlign w:val="center"/>
            <w:hideMark/>
          </w:tcPr>
          <w:p w14:paraId="60328437" w14:textId="77777777" w:rsidR="009E5590" w:rsidRPr="009E5590" w:rsidRDefault="009E5590" w:rsidP="009E5590">
            <w:r w:rsidRPr="009E5590">
              <w:t>CGARCH</w:t>
            </w:r>
          </w:p>
        </w:tc>
        <w:tc>
          <w:tcPr>
            <w:tcW w:w="0" w:type="auto"/>
            <w:vAlign w:val="center"/>
            <w:hideMark/>
          </w:tcPr>
          <w:p w14:paraId="0D071A22" w14:textId="77777777" w:rsidR="009E5590" w:rsidRPr="009E5590" w:rsidRDefault="009E5590" w:rsidP="009E5590">
            <w:r w:rsidRPr="009E5590">
              <w:t>Normal</w:t>
            </w:r>
          </w:p>
        </w:tc>
        <w:tc>
          <w:tcPr>
            <w:tcW w:w="0" w:type="auto"/>
            <w:vAlign w:val="center"/>
            <w:hideMark/>
          </w:tcPr>
          <w:p w14:paraId="64825042" w14:textId="77777777" w:rsidR="009E5590" w:rsidRPr="009E5590" w:rsidRDefault="009E5590" w:rsidP="009E5590">
            <w:r w:rsidRPr="009E5590">
              <w:t>27</w:t>
            </w:r>
          </w:p>
        </w:tc>
        <w:tc>
          <w:tcPr>
            <w:tcW w:w="0" w:type="auto"/>
            <w:vAlign w:val="center"/>
            <w:hideMark/>
          </w:tcPr>
          <w:p w14:paraId="764DDFDF" w14:textId="77777777" w:rsidR="009E5590" w:rsidRPr="009E5590" w:rsidRDefault="009E5590" w:rsidP="009E5590">
            <w:r w:rsidRPr="009E5590">
              <w:t>2.28%</w:t>
            </w:r>
          </w:p>
        </w:tc>
        <w:tc>
          <w:tcPr>
            <w:tcW w:w="0" w:type="auto"/>
            <w:vAlign w:val="center"/>
            <w:hideMark/>
          </w:tcPr>
          <w:p w14:paraId="24925D6F" w14:textId="77777777" w:rsidR="009E5590" w:rsidRPr="009E5590" w:rsidRDefault="009E5590" w:rsidP="009E5590">
            <w:r w:rsidRPr="009E5590">
              <w:t>1.00%</w:t>
            </w:r>
          </w:p>
        </w:tc>
        <w:tc>
          <w:tcPr>
            <w:tcW w:w="0" w:type="auto"/>
            <w:vAlign w:val="center"/>
            <w:hideMark/>
          </w:tcPr>
          <w:p w14:paraId="1E1722B3" w14:textId="77777777" w:rsidR="009E5590" w:rsidRPr="009E5590" w:rsidRDefault="009E5590" w:rsidP="009E5590">
            <w:r w:rsidRPr="009E5590">
              <w:t xml:space="preserve">0.0001 </w:t>
            </w:r>
            <w:r w:rsidRPr="009E5590">
              <w:rPr>
                <w:rFonts w:ascii="Segoe UI Emoji" w:hAnsi="Segoe UI Emoji" w:cs="Segoe UI Emoji"/>
              </w:rPr>
              <w:t>❌</w:t>
            </w:r>
          </w:p>
        </w:tc>
        <w:tc>
          <w:tcPr>
            <w:tcW w:w="0" w:type="auto"/>
            <w:vAlign w:val="center"/>
            <w:hideMark/>
          </w:tcPr>
          <w:p w14:paraId="789AE96B" w14:textId="77777777" w:rsidR="009E5590" w:rsidRPr="009E5590" w:rsidRDefault="009E5590" w:rsidP="009E5590">
            <w:r w:rsidRPr="009E5590">
              <w:t xml:space="preserve">0.0007 </w:t>
            </w:r>
            <w:r w:rsidRPr="009E5590">
              <w:rPr>
                <w:rFonts w:ascii="Segoe UI Emoji" w:hAnsi="Segoe UI Emoji" w:cs="Segoe UI Emoji"/>
              </w:rPr>
              <w:t>❌</w:t>
            </w:r>
          </w:p>
        </w:tc>
        <w:tc>
          <w:tcPr>
            <w:tcW w:w="0" w:type="auto"/>
            <w:vAlign w:val="center"/>
            <w:hideMark/>
          </w:tcPr>
          <w:p w14:paraId="69F99725" w14:textId="77777777" w:rsidR="009E5590" w:rsidRPr="009E5590" w:rsidRDefault="009E5590" w:rsidP="009E5590">
            <w:r w:rsidRPr="009E5590">
              <w:t>FAIL</w:t>
            </w:r>
          </w:p>
        </w:tc>
      </w:tr>
      <w:tr w:rsidR="009E5590" w:rsidRPr="009E5590" w14:paraId="0D10E1F8" w14:textId="77777777">
        <w:trPr>
          <w:tblCellSpacing w:w="15" w:type="dxa"/>
        </w:trPr>
        <w:tc>
          <w:tcPr>
            <w:tcW w:w="0" w:type="auto"/>
            <w:vAlign w:val="center"/>
            <w:hideMark/>
          </w:tcPr>
          <w:p w14:paraId="4F678E1E" w14:textId="77777777" w:rsidR="009E5590" w:rsidRPr="009E5590" w:rsidRDefault="009E5590" w:rsidP="009E5590">
            <w:r w:rsidRPr="009E5590">
              <w:t>Standard GARCH</w:t>
            </w:r>
          </w:p>
        </w:tc>
        <w:tc>
          <w:tcPr>
            <w:tcW w:w="0" w:type="auto"/>
            <w:vAlign w:val="center"/>
            <w:hideMark/>
          </w:tcPr>
          <w:p w14:paraId="52C405D1" w14:textId="77777777" w:rsidR="009E5590" w:rsidRPr="009E5590" w:rsidRDefault="009E5590" w:rsidP="009E5590">
            <w:r w:rsidRPr="009E5590">
              <w:t>Normal</w:t>
            </w:r>
          </w:p>
        </w:tc>
        <w:tc>
          <w:tcPr>
            <w:tcW w:w="0" w:type="auto"/>
            <w:vAlign w:val="center"/>
            <w:hideMark/>
          </w:tcPr>
          <w:p w14:paraId="451FF280" w14:textId="77777777" w:rsidR="009E5590" w:rsidRPr="009E5590" w:rsidRDefault="009E5590" w:rsidP="009E5590">
            <w:r w:rsidRPr="009E5590">
              <w:t>28</w:t>
            </w:r>
          </w:p>
        </w:tc>
        <w:tc>
          <w:tcPr>
            <w:tcW w:w="0" w:type="auto"/>
            <w:vAlign w:val="center"/>
            <w:hideMark/>
          </w:tcPr>
          <w:p w14:paraId="75A6EE97" w14:textId="77777777" w:rsidR="009E5590" w:rsidRPr="009E5590" w:rsidRDefault="009E5590" w:rsidP="009E5590">
            <w:r w:rsidRPr="009E5590">
              <w:t>2.37%</w:t>
            </w:r>
          </w:p>
        </w:tc>
        <w:tc>
          <w:tcPr>
            <w:tcW w:w="0" w:type="auto"/>
            <w:vAlign w:val="center"/>
            <w:hideMark/>
          </w:tcPr>
          <w:p w14:paraId="201C0BBF" w14:textId="77777777" w:rsidR="009E5590" w:rsidRPr="009E5590" w:rsidRDefault="009E5590" w:rsidP="009E5590">
            <w:r w:rsidRPr="009E5590">
              <w:t>1.00%</w:t>
            </w:r>
          </w:p>
        </w:tc>
        <w:tc>
          <w:tcPr>
            <w:tcW w:w="0" w:type="auto"/>
            <w:vAlign w:val="center"/>
            <w:hideMark/>
          </w:tcPr>
          <w:p w14:paraId="6EFB5FA6" w14:textId="77777777" w:rsidR="009E5590" w:rsidRPr="009E5590" w:rsidRDefault="009E5590" w:rsidP="009E5590">
            <w:r w:rsidRPr="009E5590">
              <w:t xml:space="preserve">0.0001 </w:t>
            </w:r>
            <w:r w:rsidRPr="009E5590">
              <w:rPr>
                <w:rFonts w:ascii="Segoe UI Emoji" w:hAnsi="Segoe UI Emoji" w:cs="Segoe UI Emoji"/>
              </w:rPr>
              <w:t>❌</w:t>
            </w:r>
          </w:p>
        </w:tc>
        <w:tc>
          <w:tcPr>
            <w:tcW w:w="0" w:type="auto"/>
            <w:vAlign w:val="center"/>
            <w:hideMark/>
          </w:tcPr>
          <w:p w14:paraId="3C914529" w14:textId="77777777" w:rsidR="009E5590" w:rsidRPr="009E5590" w:rsidRDefault="009E5590" w:rsidP="009E5590">
            <w:r w:rsidRPr="009E5590">
              <w:t xml:space="preserve">0.0003 </w:t>
            </w:r>
            <w:r w:rsidRPr="009E5590">
              <w:rPr>
                <w:rFonts w:ascii="Segoe UI Emoji" w:hAnsi="Segoe UI Emoji" w:cs="Segoe UI Emoji"/>
              </w:rPr>
              <w:t>❌</w:t>
            </w:r>
          </w:p>
        </w:tc>
        <w:tc>
          <w:tcPr>
            <w:tcW w:w="0" w:type="auto"/>
            <w:vAlign w:val="center"/>
            <w:hideMark/>
          </w:tcPr>
          <w:p w14:paraId="2C17186D" w14:textId="77777777" w:rsidR="009E5590" w:rsidRPr="009E5590" w:rsidRDefault="009E5590" w:rsidP="009E5590">
            <w:r w:rsidRPr="009E5590">
              <w:t>FAIL</w:t>
            </w:r>
          </w:p>
        </w:tc>
      </w:tr>
    </w:tbl>
    <w:p w14:paraId="5BB9AECC" w14:textId="77777777" w:rsidR="009E5590" w:rsidRPr="009E5590" w:rsidRDefault="009E5590" w:rsidP="009E5590">
      <w:pPr>
        <w:rPr>
          <w:b/>
          <w:bCs/>
        </w:rPr>
      </w:pPr>
      <w:r w:rsidRPr="009E5590">
        <w:rPr>
          <w:b/>
          <w:bCs/>
        </w:rPr>
        <w:t>2.2 NEW: Dynamic Quantile (DQ) Test Results</w:t>
      </w:r>
    </w:p>
    <w:p w14:paraId="7D73C1CA" w14:textId="77777777" w:rsidR="009E5590" w:rsidRPr="009E5590" w:rsidRDefault="009E5590" w:rsidP="009E5590">
      <w:r w:rsidRPr="009E5590">
        <w:t>The DQ test examines whether VaR violations are predictable using past information, testing the fundamental assumption that violations should be iid Bernoulli.</w:t>
      </w:r>
    </w:p>
    <w:p w14:paraId="5CDE61FC" w14:textId="77777777" w:rsidR="009E5590" w:rsidRPr="009E5590" w:rsidRDefault="009E5590" w:rsidP="009E5590">
      <w:r w:rsidRPr="009E5590">
        <w:rPr>
          <w:b/>
          <w:bCs/>
        </w:rPr>
        <w:t>Test Specification:</w:t>
      </w:r>
    </w:p>
    <w:p w14:paraId="5A61E746" w14:textId="77777777" w:rsidR="009E5590" w:rsidRPr="009E5590" w:rsidRDefault="009E5590" w:rsidP="009E5590">
      <w:r w:rsidRPr="009E5590">
        <w:t>Hit_t = α + β₁·Hit_{t-1} + β₂·Hit_{t-2} + β₃·VaR_{t-1} + β₄·|r_{t-1}| + ε_t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4"/>
        <w:gridCol w:w="1129"/>
        <w:gridCol w:w="1029"/>
        <w:gridCol w:w="2994"/>
      </w:tblGrid>
      <w:tr w:rsidR="009E5590" w:rsidRPr="009E5590" w14:paraId="0B993FEC" w14:textId="77777777">
        <w:trPr>
          <w:tblHeader/>
          <w:tblCellSpacing w:w="15" w:type="dxa"/>
        </w:trPr>
        <w:tc>
          <w:tcPr>
            <w:tcW w:w="0" w:type="auto"/>
            <w:vAlign w:val="center"/>
            <w:hideMark/>
          </w:tcPr>
          <w:p w14:paraId="78F24364" w14:textId="77777777" w:rsidR="009E5590" w:rsidRPr="009E5590" w:rsidRDefault="009E5590" w:rsidP="009E5590">
            <w:pPr>
              <w:rPr>
                <w:b/>
                <w:bCs/>
              </w:rPr>
            </w:pPr>
            <w:r w:rsidRPr="009E5590">
              <w:rPr>
                <w:b/>
                <w:bCs/>
              </w:rPr>
              <w:t>Model</w:t>
            </w:r>
          </w:p>
        </w:tc>
        <w:tc>
          <w:tcPr>
            <w:tcW w:w="0" w:type="auto"/>
            <w:vAlign w:val="center"/>
            <w:hideMark/>
          </w:tcPr>
          <w:p w14:paraId="011040CD" w14:textId="77777777" w:rsidR="009E5590" w:rsidRPr="009E5590" w:rsidRDefault="009E5590" w:rsidP="009E5590">
            <w:pPr>
              <w:rPr>
                <w:b/>
                <w:bCs/>
              </w:rPr>
            </w:pPr>
            <w:r w:rsidRPr="009E5590">
              <w:rPr>
                <w:b/>
                <w:bCs/>
              </w:rPr>
              <w:t>DQ Statistic</w:t>
            </w:r>
          </w:p>
        </w:tc>
        <w:tc>
          <w:tcPr>
            <w:tcW w:w="0" w:type="auto"/>
            <w:vAlign w:val="center"/>
            <w:hideMark/>
          </w:tcPr>
          <w:p w14:paraId="6792BA7B" w14:textId="77777777" w:rsidR="009E5590" w:rsidRPr="009E5590" w:rsidRDefault="009E5590" w:rsidP="009E5590">
            <w:pPr>
              <w:rPr>
                <w:b/>
                <w:bCs/>
              </w:rPr>
            </w:pPr>
            <w:r w:rsidRPr="009E5590">
              <w:rPr>
                <w:b/>
                <w:bCs/>
              </w:rPr>
              <w:t>p-value</w:t>
            </w:r>
          </w:p>
        </w:tc>
        <w:tc>
          <w:tcPr>
            <w:tcW w:w="0" w:type="auto"/>
            <w:vAlign w:val="center"/>
            <w:hideMark/>
          </w:tcPr>
          <w:p w14:paraId="030901DD" w14:textId="77777777" w:rsidR="009E5590" w:rsidRPr="009E5590" w:rsidRDefault="009E5590" w:rsidP="009E5590">
            <w:pPr>
              <w:rPr>
                <w:b/>
                <w:bCs/>
              </w:rPr>
            </w:pPr>
            <w:r w:rsidRPr="009E5590">
              <w:rPr>
                <w:b/>
                <w:bCs/>
              </w:rPr>
              <w:t>Interpretation</w:t>
            </w:r>
          </w:p>
        </w:tc>
      </w:tr>
      <w:tr w:rsidR="009E5590" w:rsidRPr="009E5590" w14:paraId="596C2E80" w14:textId="77777777">
        <w:trPr>
          <w:tblCellSpacing w:w="15" w:type="dxa"/>
        </w:trPr>
        <w:tc>
          <w:tcPr>
            <w:tcW w:w="0" w:type="auto"/>
            <w:vAlign w:val="center"/>
            <w:hideMark/>
          </w:tcPr>
          <w:p w14:paraId="113602E7" w14:textId="77777777" w:rsidR="009E5590" w:rsidRPr="009E5590" w:rsidRDefault="009E5590" w:rsidP="009E5590">
            <w:r w:rsidRPr="009E5590">
              <w:rPr>
                <w:b/>
                <w:bCs/>
              </w:rPr>
              <w:t>CGARCH (t-dist)</w:t>
            </w:r>
          </w:p>
        </w:tc>
        <w:tc>
          <w:tcPr>
            <w:tcW w:w="0" w:type="auto"/>
            <w:vAlign w:val="center"/>
            <w:hideMark/>
          </w:tcPr>
          <w:p w14:paraId="601A0AEF" w14:textId="77777777" w:rsidR="009E5590" w:rsidRPr="009E5590" w:rsidRDefault="009E5590" w:rsidP="009E5590">
            <w:r w:rsidRPr="009E5590">
              <w:rPr>
                <w:b/>
                <w:bCs/>
              </w:rPr>
              <w:t>4.23</w:t>
            </w:r>
          </w:p>
        </w:tc>
        <w:tc>
          <w:tcPr>
            <w:tcW w:w="0" w:type="auto"/>
            <w:vAlign w:val="center"/>
            <w:hideMark/>
          </w:tcPr>
          <w:p w14:paraId="6222582A" w14:textId="77777777" w:rsidR="009E5590" w:rsidRPr="009E5590" w:rsidRDefault="009E5590" w:rsidP="009E5590">
            <w:r w:rsidRPr="009E5590">
              <w:rPr>
                <w:b/>
                <w:bCs/>
              </w:rPr>
              <w:t>0.3765</w:t>
            </w:r>
            <w:r w:rsidRPr="009E5590">
              <w:t xml:space="preserve"> </w:t>
            </w:r>
            <w:r w:rsidRPr="009E5590">
              <w:rPr>
                <w:rFonts w:ascii="Segoe UI Emoji" w:hAnsi="Segoe UI Emoji" w:cs="Segoe UI Emoji"/>
              </w:rPr>
              <w:t>✅</w:t>
            </w:r>
          </w:p>
        </w:tc>
        <w:tc>
          <w:tcPr>
            <w:tcW w:w="0" w:type="auto"/>
            <w:vAlign w:val="center"/>
            <w:hideMark/>
          </w:tcPr>
          <w:p w14:paraId="5A9D239D" w14:textId="77777777" w:rsidR="009E5590" w:rsidRPr="009E5590" w:rsidRDefault="009E5590" w:rsidP="009E5590">
            <w:r w:rsidRPr="009E5590">
              <w:rPr>
                <w:b/>
                <w:bCs/>
              </w:rPr>
              <w:t>Violations unpredictable (good)</w:t>
            </w:r>
          </w:p>
        </w:tc>
      </w:tr>
      <w:tr w:rsidR="009E5590" w:rsidRPr="009E5590" w14:paraId="0AD97D21" w14:textId="77777777">
        <w:trPr>
          <w:tblCellSpacing w:w="15" w:type="dxa"/>
        </w:trPr>
        <w:tc>
          <w:tcPr>
            <w:tcW w:w="0" w:type="auto"/>
            <w:vAlign w:val="center"/>
            <w:hideMark/>
          </w:tcPr>
          <w:p w14:paraId="2640D6FE" w14:textId="77777777" w:rsidR="009E5590" w:rsidRPr="009E5590" w:rsidRDefault="009E5590" w:rsidP="009E5590">
            <w:r w:rsidRPr="009E5590">
              <w:t>Standard GARCH (t-dist)</w:t>
            </w:r>
          </w:p>
        </w:tc>
        <w:tc>
          <w:tcPr>
            <w:tcW w:w="0" w:type="auto"/>
            <w:vAlign w:val="center"/>
            <w:hideMark/>
          </w:tcPr>
          <w:p w14:paraId="208496BB" w14:textId="77777777" w:rsidR="009E5590" w:rsidRPr="009E5590" w:rsidRDefault="009E5590" w:rsidP="009E5590">
            <w:r w:rsidRPr="009E5590">
              <w:t>8.91</w:t>
            </w:r>
          </w:p>
        </w:tc>
        <w:tc>
          <w:tcPr>
            <w:tcW w:w="0" w:type="auto"/>
            <w:vAlign w:val="center"/>
            <w:hideMark/>
          </w:tcPr>
          <w:p w14:paraId="19975037" w14:textId="77777777" w:rsidR="009E5590" w:rsidRPr="009E5590" w:rsidRDefault="009E5590" w:rsidP="009E5590">
            <w:r w:rsidRPr="009E5590">
              <w:t xml:space="preserve">0.0631 </w:t>
            </w:r>
            <w:r w:rsidRPr="009E5590">
              <w:rPr>
                <w:rFonts w:ascii="Segoe UI Emoji" w:hAnsi="Segoe UI Emoji" w:cs="Segoe UI Emoji"/>
              </w:rPr>
              <w:t>⚠️</w:t>
            </w:r>
          </w:p>
        </w:tc>
        <w:tc>
          <w:tcPr>
            <w:tcW w:w="0" w:type="auto"/>
            <w:vAlign w:val="center"/>
            <w:hideMark/>
          </w:tcPr>
          <w:p w14:paraId="5CECFE02" w14:textId="77777777" w:rsidR="009E5590" w:rsidRPr="009E5590" w:rsidRDefault="009E5590" w:rsidP="009E5590">
            <w:r w:rsidRPr="009E5590">
              <w:t>Borderline predictable violations</w:t>
            </w:r>
          </w:p>
        </w:tc>
      </w:tr>
      <w:tr w:rsidR="009E5590" w:rsidRPr="009E5590" w14:paraId="3035B591" w14:textId="77777777">
        <w:trPr>
          <w:tblCellSpacing w:w="15" w:type="dxa"/>
        </w:trPr>
        <w:tc>
          <w:tcPr>
            <w:tcW w:w="0" w:type="auto"/>
            <w:vAlign w:val="center"/>
            <w:hideMark/>
          </w:tcPr>
          <w:p w14:paraId="54A20BC4" w14:textId="77777777" w:rsidR="009E5590" w:rsidRPr="009E5590" w:rsidRDefault="009E5590" w:rsidP="009E5590">
            <w:r w:rsidRPr="009E5590">
              <w:t>CGARCH (Normal)</w:t>
            </w:r>
          </w:p>
        </w:tc>
        <w:tc>
          <w:tcPr>
            <w:tcW w:w="0" w:type="auto"/>
            <w:vAlign w:val="center"/>
            <w:hideMark/>
          </w:tcPr>
          <w:p w14:paraId="67AA418E" w14:textId="77777777" w:rsidR="009E5590" w:rsidRPr="009E5590" w:rsidRDefault="009E5590" w:rsidP="009E5590">
            <w:r w:rsidRPr="009E5590">
              <w:t>12.45</w:t>
            </w:r>
          </w:p>
        </w:tc>
        <w:tc>
          <w:tcPr>
            <w:tcW w:w="0" w:type="auto"/>
            <w:vAlign w:val="center"/>
            <w:hideMark/>
          </w:tcPr>
          <w:p w14:paraId="09A1DF3F" w14:textId="77777777" w:rsidR="009E5590" w:rsidRPr="009E5590" w:rsidRDefault="009E5590" w:rsidP="009E5590">
            <w:r w:rsidRPr="009E5590">
              <w:t xml:space="preserve">0.0144 </w:t>
            </w:r>
            <w:r w:rsidRPr="009E5590">
              <w:rPr>
                <w:rFonts w:ascii="Segoe UI Emoji" w:hAnsi="Segoe UI Emoji" w:cs="Segoe UI Emoji"/>
              </w:rPr>
              <w:t>❌</w:t>
            </w:r>
          </w:p>
        </w:tc>
        <w:tc>
          <w:tcPr>
            <w:tcW w:w="0" w:type="auto"/>
            <w:vAlign w:val="center"/>
            <w:hideMark/>
          </w:tcPr>
          <w:p w14:paraId="21FE34A0" w14:textId="77777777" w:rsidR="009E5590" w:rsidRPr="009E5590" w:rsidRDefault="009E5590" w:rsidP="009E5590">
            <w:r w:rsidRPr="009E5590">
              <w:t>Violations predictable (bad)</w:t>
            </w:r>
          </w:p>
        </w:tc>
      </w:tr>
      <w:tr w:rsidR="009E5590" w:rsidRPr="009E5590" w14:paraId="264A4BAB" w14:textId="77777777">
        <w:trPr>
          <w:tblCellSpacing w:w="15" w:type="dxa"/>
        </w:trPr>
        <w:tc>
          <w:tcPr>
            <w:tcW w:w="0" w:type="auto"/>
            <w:vAlign w:val="center"/>
            <w:hideMark/>
          </w:tcPr>
          <w:p w14:paraId="1783548B" w14:textId="77777777" w:rsidR="009E5590" w:rsidRPr="009E5590" w:rsidRDefault="009E5590" w:rsidP="009E5590">
            <w:r w:rsidRPr="009E5590">
              <w:t>Standard GARCH (Normal)</w:t>
            </w:r>
          </w:p>
        </w:tc>
        <w:tc>
          <w:tcPr>
            <w:tcW w:w="0" w:type="auto"/>
            <w:vAlign w:val="center"/>
            <w:hideMark/>
          </w:tcPr>
          <w:p w14:paraId="244F1C4F" w14:textId="77777777" w:rsidR="009E5590" w:rsidRPr="009E5590" w:rsidRDefault="009E5590" w:rsidP="009E5590">
            <w:r w:rsidRPr="009E5590">
              <w:t>15.67</w:t>
            </w:r>
          </w:p>
        </w:tc>
        <w:tc>
          <w:tcPr>
            <w:tcW w:w="0" w:type="auto"/>
            <w:vAlign w:val="center"/>
            <w:hideMark/>
          </w:tcPr>
          <w:p w14:paraId="09FDC4F1" w14:textId="77777777" w:rsidR="009E5590" w:rsidRPr="009E5590" w:rsidRDefault="009E5590" w:rsidP="009E5590">
            <w:r w:rsidRPr="009E5590">
              <w:t xml:space="preserve">0.0035 </w:t>
            </w:r>
            <w:r w:rsidRPr="009E5590">
              <w:rPr>
                <w:rFonts w:ascii="Segoe UI Emoji" w:hAnsi="Segoe UI Emoji" w:cs="Segoe UI Emoji"/>
              </w:rPr>
              <w:t>❌</w:t>
            </w:r>
          </w:p>
        </w:tc>
        <w:tc>
          <w:tcPr>
            <w:tcW w:w="0" w:type="auto"/>
            <w:vAlign w:val="center"/>
            <w:hideMark/>
          </w:tcPr>
          <w:p w14:paraId="6778F48A" w14:textId="77777777" w:rsidR="009E5590" w:rsidRPr="009E5590" w:rsidRDefault="009E5590" w:rsidP="009E5590">
            <w:r w:rsidRPr="009E5590">
              <w:t>Highly predictable violations</w:t>
            </w:r>
          </w:p>
        </w:tc>
      </w:tr>
    </w:tbl>
    <w:p w14:paraId="0B45AA6D" w14:textId="77777777" w:rsidR="009E5590" w:rsidRPr="009E5590" w:rsidRDefault="009E5590" w:rsidP="009E5590">
      <w:r w:rsidRPr="009E5590">
        <w:rPr>
          <w:b/>
          <w:bCs/>
        </w:rPr>
        <w:t>Key Insight:</w:t>
      </w:r>
      <w:r w:rsidRPr="009E5590">
        <w:t xml:space="preserve"> Only CGARCH with Student's t produces truly unpredictable violations, indicating proper model specification.</w:t>
      </w:r>
    </w:p>
    <w:p w14:paraId="0AA7E022" w14:textId="77777777" w:rsidR="009E5590" w:rsidRPr="009E5590" w:rsidRDefault="009E5590" w:rsidP="009E5590">
      <w:pPr>
        <w:rPr>
          <w:b/>
          <w:bCs/>
        </w:rPr>
      </w:pPr>
      <w:r w:rsidRPr="009E5590">
        <w:rPr>
          <w:b/>
          <w:bCs/>
        </w:rPr>
        <w:t>2.3 NEW: Model Confidence Set (MCS) Analysis</w:t>
      </w:r>
    </w:p>
    <w:p w14:paraId="654E253B" w14:textId="77777777" w:rsidR="009E5590" w:rsidRPr="009E5590" w:rsidRDefault="009E5590" w:rsidP="009E5590">
      <w:r w:rsidRPr="009E5590">
        <w:t>The MCS test formally ranks models and identifies the set of best-performing models with statistical confidence.</w:t>
      </w:r>
    </w:p>
    <w:p w14:paraId="01F74112" w14:textId="77777777" w:rsidR="009E5590" w:rsidRPr="009E5590" w:rsidRDefault="009E5590" w:rsidP="009E5590">
      <w:r w:rsidRPr="009E5590">
        <w:rPr>
          <w:b/>
          <w:bCs/>
        </w:rPr>
        <w:t>Loss Function:</w:t>
      </w:r>
      <w:r w:rsidRPr="009E5590">
        <w:t xml:space="preserve"> Tick loss for VaR at 99% level</w:t>
      </w:r>
    </w:p>
    <w:p w14:paraId="058813F4" w14:textId="77777777" w:rsidR="009E5590" w:rsidRPr="009E5590" w:rsidRDefault="009E5590" w:rsidP="009E5590">
      <w:r w:rsidRPr="009E5590">
        <w:t>L_t = (α - I_{r_t &lt; VaR_t}) × (r_t - VaR_t)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0"/>
        <w:gridCol w:w="1204"/>
        <w:gridCol w:w="517"/>
        <w:gridCol w:w="1899"/>
      </w:tblGrid>
      <w:tr w:rsidR="009E5590" w:rsidRPr="009E5590" w14:paraId="543CFD14" w14:textId="77777777">
        <w:trPr>
          <w:tblHeader/>
          <w:tblCellSpacing w:w="15" w:type="dxa"/>
        </w:trPr>
        <w:tc>
          <w:tcPr>
            <w:tcW w:w="0" w:type="auto"/>
            <w:vAlign w:val="center"/>
            <w:hideMark/>
          </w:tcPr>
          <w:p w14:paraId="507224E6" w14:textId="77777777" w:rsidR="009E5590" w:rsidRPr="009E5590" w:rsidRDefault="009E5590" w:rsidP="009E5590">
            <w:pPr>
              <w:rPr>
                <w:b/>
                <w:bCs/>
              </w:rPr>
            </w:pPr>
            <w:r w:rsidRPr="009E5590">
              <w:rPr>
                <w:b/>
                <w:bCs/>
              </w:rPr>
              <w:t>Model</w:t>
            </w:r>
          </w:p>
        </w:tc>
        <w:tc>
          <w:tcPr>
            <w:tcW w:w="0" w:type="auto"/>
            <w:vAlign w:val="center"/>
            <w:hideMark/>
          </w:tcPr>
          <w:p w14:paraId="45FE714C" w14:textId="77777777" w:rsidR="009E5590" w:rsidRPr="009E5590" w:rsidRDefault="009E5590" w:rsidP="009E5590">
            <w:pPr>
              <w:rPr>
                <w:b/>
                <w:bCs/>
              </w:rPr>
            </w:pPr>
            <w:r w:rsidRPr="009E5590">
              <w:rPr>
                <w:b/>
                <w:bCs/>
              </w:rPr>
              <w:t>MCS p-value</w:t>
            </w:r>
          </w:p>
        </w:tc>
        <w:tc>
          <w:tcPr>
            <w:tcW w:w="0" w:type="auto"/>
            <w:vAlign w:val="center"/>
            <w:hideMark/>
          </w:tcPr>
          <w:p w14:paraId="4D4D54CA" w14:textId="77777777" w:rsidR="009E5590" w:rsidRPr="009E5590" w:rsidRDefault="009E5590" w:rsidP="009E5590">
            <w:pPr>
              <w:rPr>
                <w:b/>
                <w:bCs/>
              </w:rPr>
            </w:pPr>
            <w:r w:rsidRPr="009E5590">
              <w:rPr>
                <w:b/>
                <w:bCs/>
              </w:rPr>
              <w:t>Rank</w:t>
            </w:r>
          </w:p>
        </w:tc>
        <w:tc>
          <w:tcPr>
            <w:tcW w:w="0" w:type="auto"/>
            <w:vAlign w:val="center"/>
            <w:hideMark/>
          </w:tcPr>
          <w:p w14:paraId="2ABA9D9B" w14:textId="77777777" w:rsidR="009E5590" w:rsidRPr="009E5590" w:rsidRDefault="009E5590" w:rsidP="009E5590">
            <w:pPr>
              <w:rPr>
                <w:b/>
                <w:bCs/>
              </w:rPr>
            </w:pPr>
            <w:r w:rsidRPr="009E5590">
              <w:rPr>
                <w:b/>
                <w:bCs/>
              </w:rPr>
              <w:t>Status</w:t>
            </w:r>
          </w:p>
        </w:tc>
      </w:tr>
      <w:tr w:rsidR="009E5590" w:rsidRPr="009E5590" w14:paraId="2633FD3B" w14:textId="77777777">
        <w:trPr>
          <w:tblCellSpacing w:w="15" w:type="dxa"/>
        </w:trPr>
        <w:tc>
          <w:tcPr>
            <w:tcW w:w="0" w:type="auto"/>
            <w:vAlign w:val="center"/>
            <w:hideMark/>
          </w:tcPr>
          <w:p w14:paraId="42C5C3D4" w14:textId="77777777" w:rsidR="009E5590" w:rsidRPr="009E5590" w:rsidRDefault="009E5590" w:rsidP="009E5590">
            <w:r w:rsidRPr="009E5590">
              <w:rPr>
                <w:b/>
                <w:bCs/>
              </w:rPr>
              <w:t>CGARCH (Student's t)</w:t>
            </w:r>
          </w:p>
        </w:tc>
        <w:tc>
          <w:tcPr>
            <w:tcW w:w="0" w:type="auto"/>
            <w:vAlign w:val="center"/>
            <w:hideMark/>
          </w:tcPr>
          <w:p w14:paraId="37F67482" w14:textId="77777777" w:rsidR="009E5590" w:rsidRPr="009E5590" w:rsidRDefault="009E5590" w:rsidP="009E5590">
            <w:r w:rsidRPr="009E5590">
              <w:rPr>
                <w:b/>
                <w:bCs/>
              </w:rPr>
              <w:t>1.000</w:t>
            </w:r>
          </w:p>
        </w:tc>
        <w:tc>
          <w:tcPr>
            <w:tcW w:w="0" w:type="auto"/>
            <w:vAlign w:val="center"/>
            <w:hideMark/>
          </w:tcPr>
          <w:p w14:paraId="04E06690" w14:textId="77777777" w:rsidR="009E5590" w:rsidRPr="009E5590" w:rsidRDefault="009E5590" w:rsidP="009E5590">
            <w:r w:rsidRPr="009E5590">
              <w:rPr>
                <w:b/>
                <w:bCs/>
              </w:rPr>
              <w:t>1</w:t>
            </w:r>
          </w:p>
        </w:tc>
        <w:tc>
          <w:tcPr>
            <w:tcW w:w="0" w:type="auto"/>
            <w:vAlign w:val="center"/>
            <w:hideMark/>
          </w:tcPr>
          <w:p w14:paraId="2FCB52CB" w14:textId="77777777" w:rsidR="009E5590" w:rsidRPr="009E5590" w:rsidRDefault="009E5590" w:rsidP="009E5590">
            <w:r w:rsidRPr="009E5590">
              <w:rPr>
                <w:b/>
                <w:bCs/>
              </w:rPr>
              <w:t>Included in MCS</w:t>
            </w:r>
            <w:r w:rsidRPr="009E5590">
              <w:t xml:space="preserve"> </w:t>
            </w:r>
            <w:r w:rsidRPr="009E5590">
              <w:rPr>
                <w:rFonts w:ascii="Segoe UI Emoji" w:hAnsi="Segoe UI Emoji" w:cs="Segoe UI Emoji"/>
              </w:rPr>
              <w:t>✅</w:t>
            </w:r>
          </w:p>
        </w:tc>
      </w:tr>
      <w:tr w:rsidR="009E5590" w:rsidRPr="009E5590" w14:paraId="5B1682F1" w14:textId="77777777">
        <w:trPr>
          <w:tblCellSpacing w:w="15" w:type="dxa"/>
        </w:trPr>
        <w:tc>
          <w:tcPr>
            <w:tcW w:w="0" w:type="auto"/>
            <w:vAlign w:val="center"/>
            <w:hideMark/>
          </w:tcPr>
          <w:p w14:paraId="33867EDA" w14:textId="77777777" w:rsidR="009E5590" w:rsidRPr="009E5590" w:rsidRDefault="009E5590" w:rsidP="009E5590">
            <w:r w:rsidRPr="009E5590">
              <w:t>Standard GARCH (Student's t)</w:t>
            </w:r>
          </w:p>
        </w:tc>
        <w:tc>
          <w:tcPr>
            <w:tcW w:w="0" w:type="auto"/>
            <w:vAlign w:val="center"/>
            <w:hideMark/>
          </w:tcPr>
          <w:p w14:paraId="49BD306F" w14:textId="77777777" w:rsidR="009E5590" w:rsidRPr="009E5590" w:rsidRDefault="009E5590" w:rsidP="009E5590">
            <w:r w:rsidRPr="009E5590">
              <w:t>0.234</w:t>
            </w:r>
          </w:p>
        </w:tc>
        <w:tc>
          <w:tcPr>
            <w:tcW w:w="0" w:type="auto"/>
            <w:vAlign w:val="center"/>
            <w:hideMark/>
          </w:tcPr>
          <w:p w14:paraId="79F7F7D9" w14:textId="77777777" w:rsidR="009E5590" w:rsidRPr="009E5590" w:rsidRDefault="009E5590" w:rsidP="009E5590">
            <w:r w:rsidRPr="009E5590">
              <w:t>2</w:t>
            </w:r>
          </w:p>
        </w:tc>
        <w:tc>
          <w:tcPr>
            <w:tcW w:w="0" w:type="auto"/>
            <w:vAlign w:val="center"/>
            <w:hideMark/>
          </w:tcPr>
          <w:p w14:paraId="38EC44C1" w14:textId="77777777" w:rsidR="009E5590" w:rsidRPr="009E5590" w:rsidRDefault="009E5590" w:rsidP="009E5590">
            <w:r w:rsidRPr="009E5590">
              <w:t>Included in MCS</w:t>
            </w:r>
          </w:p>
        </w:tc>
      </w:tr>
      <w:tr w:rsidR="009E5590" w:rsidRPr="009E5590" w14:paraId="7A8168AA" w14:textId="77777777">
        <w:trPr>
          <w:tblCellSpacing w:w="15" w:type="dxa"/>
        </w:trPr>
        <w:tc>
          <w:tcPr>
            <w:tcW w:w="0" w:type="auto"/>
            <w:vAlign w:val="center"/>
            <w:hideMark/>
          </w:tcPr>
          <w:p w14:paraId="09AA47CC" w14:textId="77777777" w:rsidR="009E5590" w:rsidRPr="009E5590" w:rsidRDefault="009E5590" w:rsidP="009E5590">
            <w:r w:rsidRPr="009E5590">
              <w:t>CGARCH (Normal)</w:t>
            </w:r>
          </w:p>
        </w:tc>
        <w:tc>
          <w:tcPr>
            <w:tcW w:w="0" w:type="auto"/>
            <w:vAlign w:val="center"/>
            <w:hideMark/>
          </w:tcPr>
          <w:p w14:paraId="64911454" w14:textId="77777777" w:rsidR="009E5590" w:rsidRPr="009E5590" w:rsidRDefault="009E5590" w:rsidP="009E5590">
            <w:r w:rsidRPr="009E5590">
              <w:t>0.089</w:t>
            </w:r>
          </w:p>
        </w:tc>
        <w:tc>
          <w:tcPr>
            <w:tcW w:w="0" w:type="auto"/>
            <w:vAlign w:val="center"/>
            <w:hideMark/>
          </w:tcPr>
          <w:p w14:paraId="2CC5D5B3" w14:textId="77777777" w:rsidR="009E5590" w:rsidRPr="009E5590" w:rsidRDefault="009E5590" w:rsidP="009E5590">
            <w:r w:rsidRPr="009E5590">
              <w:t>3</w:t>
            </w:r>
          </w:p>
        </w:tc>
        <w:tc>
          <w:tcPr>
            <w:tcW w:w="0" w:type="auto"/>
            <w:vAlign w:val="center"/>
            <w:hideMark/>
          </w:tcPr>
          <w:p w14:paraId="3CA3FF2E" w14:textId="77777777" w:rsidR="009E5590" w:rsidRPr="009E5590" w:rsidRDefault="009E5590" w:rsidP="009E5590">
            <w:r w:rsidRPr="009E5590">
              <w:t>Excluded</w:t>
            </w:r>
          </w:p>
        </w:tc>
      </w:tr>
      <w:tr w:rsidR="009E5590" w:rsidRPr="009E5590" w14:paraId="46DBF4DB" w14:textId="77777777">
        <w:trPr>
          <w:tblCellSpacing w:w="15" w:type="dxa"/>
        </w:trPr>
        <w:tc>
          <w:tcPr>
            <w:tcW w:w="0" w:type="auto"/>
            <w:vAlign w:val="center"/>
            <w:hideMark/>
          </w:tcPr>
          <w:p w14:paraId="5199439C" w14:textId="77777777" w:rsidR="009E5590" w:rsidRPr="009E5590" w:rsidRDefault="009E5590" w:rsidP="009E5590">
            <w:r w:rsidRPr="009E5590">
              <w:t>Standard GARCH (Normal)</w:t>
            </w:r>
          </w:p>
        </w:tc>
        <w:tc>
          <w:tcPr>
            <w:tcW w:w="0" w:type="auto"/>
            <w:vAlign w:val="center"/>
            <w:hideMark/>
          </w:tcPr>
          <w:p w14:paraId="7FC38944" w14:textId="77777777" w:rsidR="009E5590" w:rsidRPr="009E5590" w:rsidRDefault="009E5590" w:rsidP="009E5590">
            <w:r w:rsidRPr="009E5590">
              <w:t>0.045</w:t>
            </w:r>
          </w:p>
        </w:tc>
        <w:tc>
          <w:tcPr>
            <w:tcW w:w="0" w:type="auto"/>
            <w:vAlign w:val="center"/>
            <w:hideMark/>
          </w:tcPr>
          <w:p w14:paraId="0B75EE7E" w14:textId="77777777" w:rsidR="009E5590" w:rsidRPr="009E5590" w:rsidRDefault="009E5590" w:rsidP="009E5590">
            <w:r w:rsidRPr="009E5590">
              <w:t>4</w:t>
            </w:r>
          </w:p>
        </w:tc>
        <w:tc>
          <w:tcPr>
            <w:tcW w:w="0" w:type="auto"/>
            <w:vAlign w:val="center"/>
            <w:hideMark/>
          </w:tcPr>
          <w:p w14:paraId="464B03C2" w14:textId="77777777" w:rsidR="009E5590" w:rsidRPr="009E5590" w:rsidRDefault="009E5590" w:rsidP="009E5590">
            <w:r w:rsidRPr="009E5590">
              <w:t>Excluded</w:t>
            </w:r>
          </w:p>
        </w:tc>
      </w:tr>
    </w:tbl>
    <w:p w14:paraId="7F4D450E" w14:textId="77777777" w:rsidR="009E5590" w:rsidRPr="009E5590" w:rsidRDefault="009E5590" w:rsidP="009E5590">
      <w:r w:rsidRPr="009E5590">
        <w:rPr>
          <w:b/>
          <w:bCs/>
        </w:rPr>
        <w:t>Formal Conclusion:</w:t>
      </w:r>
      <w:r w:rsidRPr="009E5590">
        <w:t xml:space="preserve"> CGARCH with Student's t distribution is statistically indistinguishable from the best model in the set, while normal distribution models are formally rejected.</w:t>
      </w:r>
    </w:p>
    <w:p w14:paraId="525F1F93" w14:textId="77777777" w:rsidR="009E5590" w:rsidRPr="009E5590" w:rsidRDefault="009E5590" w:rsidP="009E5590">
      <w:pPr>
        <w:rPr>
          <w:b/>
          <w:bCs/>
        </w:rPr>
      </w:pPr>
      <w:r w:rsidRPr="009E5590">
        <w:rPr>
          <w:b/>
          <w:bCs/>
        </w:rPr>
        <w:t>2.4 NEW: Multi-Level VaR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0"/>
        <w:gridCol w:w="1816"/>
        <w:gridCol w:w="890"/>
        <w:gridCol w:w="895"/>
        <w:gridCol w:w="1361"/>
        <w:gridCol w:w="1404"/>
        <w:gridCol w:w="870"/>
      </w:tblGrid>
      <w:tr w:rsidR="009E5590" w:rsidRPr="009E5590" w14:paraId="15686FE0" w14:textId="77777777">
        <w:trPr>
          <w:tblHeader/>
          <w:tblCellSpacing w:w="15" w:type="dxa"/>
        </w:trPr>
        <w:tc>
          <w:tcPr>
            <w:tcW w:w="0" w:type="auto"/>
            <w:vAlign w:val="center"/>
            <w:hideMark/>
          </w:tcPr>
          <w:p w14:paraId="264B1D0D" w14:textId="77777777" w:rsidR="009E5590" w:rsidRPr="009E5590" w:rsidRDefault="009E5590" w:rsidP="009E5590">
            <w:pPr>
              <w:rPr>
                <w:b/>
                <w:bCs/>
              </w:rPr>
            </w:pPr>
            <w:r w:rsidRPr="009E5590">
              <w:rPr>
                <w:b/>
                <w:bCs/>
              </w:rPr>
              <w:t>VaR Level</w:t>
            </w:r>
          </w:p>
        </w:tc>
        <w:tc>
          <w:tcPr>
            <w:tcW w:w="0" w:type="auto"/>
            <w:vAlign w:val="center"/>
            <w:hideMark/>
          </w:tcPr>
          <w:p w14:paraId="2AA63C9D" w14:textId="77777777" w:rsidR="009E5590" w:rsidRPr="009E5590" w:rsidRDefault="009E5590" w:rsidP="009E5590">
            <w:pPr>
              <w:rPr>
                <w:b/>
                <w:bCs/>
              </w:rPr>
            </w:pPr>
            <w:r w:rsidRPr="009E5590">
              <w:rPr>
                <w:b/>
                <w:bCs/>
              </w:rPr>
              <w:t>Model</w:t>
            </w:r>
          </w:p>
        </w:tc>
        <w:tc>
          <w:tcPr>
            <w:tcW w:w="0" w:type="auto"/>
            <w:vAlign w:val="center"/>
            <w:hideMark/>
          </w:tcPr>
          <w:p w14:paraId="4670120D" w14:textId="77777777" w:rsidR="009E5590" w:rsidRPr="009E5590" w:rsidRDefault="009E5590" w:rsidP="009E5590">
            <w:pPr>
              <w:rPr>
                <w:b/>
                <w:bCs/>
              </w:rPr>
            </w:pPr>
            <w:r w:rsidRPr="009E5590">
              <w:rPr>
                <w:b/>
                <w:bCs/>
              </w:rPr>
              <w:t>Breaches</w:t>
            </w:r>
          </w:p>
        </w:tc>
        <w:tc>
          <w:tcPr>
            <w:tcW w:w="0" w:type="auto"/>
            <w:vAlign w:val="center"/>
            <w:hideMark/>
          </w:tcPr>
          <w:p w14:paraId="54714D58" w14:textId="77777777" w:rsidR="009E5590" w:rsidRPr="009E5590" w:rsidRDefault="009E5590" w:rsidP="009E5590">
            <w:pPr>
              <w:rPr>
                <w:b/>
                <w:bCs/>
              </w:rPr>
            </w:pPr>
            <w:r w:rsidRPr="009E5590">
              <w:rPr>
                <w:b/>
                <w:bCs/>
              </w:rPr>
              <w:t>Expected</w:t>
            </w:r>
          </w:p>
        </w:tc>
        <w:tc>
          <w:tcPr>
            <w:tcW w:w="0" w:type="auto"/>
            <w:vAlign w:val="center"/>
            <w:hideMark/>
          </w:tcPr>
          <w:p w14:paraId="19B113E5" w14:textId="77777777" w:rsidR="009E5590" w:rsidRPr="009E5590" w:rsidRDefault="009E5590" w:rsidP="009E5590">
            <w:pPr>
              <w:rPr>
                <w:b/>
                <w:bCs/>
              </w:rPr>
            </w:pPr>
            <w:r w:rsidRPr="009E5590">
              <w:rPr>
                <w:b/>
                <w:bCs/>
              </w:rPr>
              <w:t>Violation Rate</w:t>
            </w:r>
          </w:p>
        </w:tc>
        <w:tc>
          <w:tcPr>
            <w:tcW w:w="0" w:type="auto"/>
            <w:vAlign w:val="center"/>
            <w:hideMark/>
          </w:tcPr>
          <w:p w14:paraId="3954F363" w14:textId="77777777" w:rsidR="009E5590" w:rsidRPr="009E5590" w:rsidRDefault="009E5590" w:rsidP="009E5590">
            <w:pPr>
              <w:rPr>
                <w:b/>
                <w:bCs/>
              </w:rPr>
            </w:pPr>
            <w:r w:rsidRPr="009E5590">
              <w:rPr>
                <w:b/>
                <w:bCs/>
              </w:rPr>
              <w:t>Kupiec p-value</w:t>
            </w:r>
          </w:p>
        </w:tc>
        <w:tc>
          <w:tcPr>
            <w:tcW w:w="0" w:type="auto"/>
            <w:vAlign w:val="center"/>
            <w:hideMark/>
          </w:tcPr>
          <w:p w14:paraId="0B09E37A" w14:textId="77777777" w:rsidR="009E5590" w:rsidRPr="009E5590" w:rsidRDefault="009E5590" w:rsidP="009E5590">
            <w:pPr>
              <w:rPr>
                <w:b/>
                <w:bCs/>
              </w:rPr>
            </w:pPr>
            <w:r w:rsidRPr="009E5590">
              <w:rPr>
                <w:b/>
                <w:bCs/>
              </w:rPr>
              <w:t>Status</w:t>
            </w:r>
          </w:p>
        </w:tc>
      </w:tr>
      <w:tr w:rsidR="009E5590" w:rsidRPr="009E5590" w14:paraId="5AA27E7F" w14:textId="77777777">
        <w:trPr>
          <w:tblCellSpacing w:w="15" w:type="dxa"/>
        </w:trPr>
        <w:tc>
          <w:tcPr>
            <w:tcW w:w="0" w:type="auto"/>
            <w:vAlign w:val="center"/>
            <w:hideMark/>
          </w:tcPr>
          <w:p w14:paraId="6298B2D3" w14:textId="77777777" w:rsidR="009E5590" w:rsidRPr="009E5590" w:rsidRDefault="009E5590" w:rsidP="009E5590">
            <w:r w:rsidRPr="009E5590">
              <w:rPr>
                <w:b/>
                <w:bCs/>
              </w:rPr>
              <w:t>99%</w:t>
            </w:r>
          </w:p>
        </w:tc>
        <w:tc>
          <w:tcPr>
            <w:tcW w:w="0" w:type="auto"/>
            <w:vAlign w:val="center"/>
            <w:hideMark/>
          </w:tcPr>
          <w:p w14:paraId="17112950" w14:textId="77777777" w:rsidR="009E5590" w:rsidRPr="009E5590" w:rsidRDefault="009E5590" w:rsidP="009E5590">
            <w:r w:rsidRPr="009E5590">
              <w:t>CGARCH (t)</w:t>
            </w:r>
          </w:p>
        </w:tc>
        <w:tc>
          <w:tcPr>
            <w:tcW w:w="0" w:type="auto"/>
            <w:vAlign w:val="center"/>
            <w:hideMark/>
          </w:tcPr>
          <w:p w14:paraId="086AA1AE" w14:textId="77777777" w:rsidR="009E5590" w:rsidRPr="009E5590" w:rsidRDefault="009E5590" w:rsidP="009E5590">
            <w:r w:rsidRPr="009E5590">
              <w:t>17</w:t>
            </w:r>
          </w:p>
        </w:tc>
        <w:tc>
          <w:tcPr>
            <w:tcW w:w="0" w:type="auto"/>
            <w:vAlign w:val="center"/>
            <w:hideMark/>
          </w:tcPr>
          <w:p w14:paraId="7DC94BDA" w14:textId="77777777" w:rsidR="009E5590" w:rsidRPr="009E5590" w:rsidRDefault="009E5590" w:rsidP="009E5590">
            <w:r w:rsidRPr="009E5590">
              <w:t>11.8</w:t>
            </w:r>
          </w:p>
        </w:tc>
        <w:tc>
          <w:tcPr>
            <w:tcW w:w="0" w:type="auto"/>
            <w:vAlign w:val="center"/>
            <w:hideMark/>
          </w:tcPr>
          <w:p w14:paraId="2E6FDA84" w14:textId="77777777" w:rsidR="009E5590" w:rsidRPr="009E5590" w:rsidRDefault="009E5590" w:rsidP="009E5590">
            <w:r w:rsidRPr="009E5590">
              <w:t>1.44%</w:t>
            </w:r>
          </w:p>
        </w:tc>
        <w:tc>
          <w:tcPr>
            <w:tcW w:w="0" w:type="auto"/>
            <w:vAlign w:val="center"/>
            <w:hideMark/>
          </w:tcPr>
          <w:p w14:paraId="141EB839" w14:textId="77777777" w:rsidR="009E5590" w:rsidRPr="009E5590" w:rsidRDefault="009E5590" w:rsidP="009E5590">
            <w:r w:rsidRPr="009E5590">
              <w:t>0.1553</w:t>
            </w:r>
          </w:p>
        </w:tc>
        <w:tc>
          <w:tcPr>
            <w:tcW w:w="0" w:type="auto"/>
            <w:vAlign w:val="center"/>
            <w:hideMark/>
          </w:tcPr>
          <w:p w14:paraId="798E1402" w14:textId="77777777" w:rsidR="009E5590" w:rsidRPr="009E5590" w:rsidRDefault="009E5590" w:rsidP="009E5590">
            <w:r w:rsidRPr="009E5590">
              <w:rPr>
                <w:rFonts w:ascii="Segoe UI Emoji" w:hAnsi="Segoe UI Emoji" w:cs="Segoe UI Emoji"/>
              </w:rPr>
              <w:t>✅</w:t>
            </w:r>
            <w:r w:rsidRPr="009E5590">
              <w:t xml:space="preserve"> PASS</w:t>
            </w:r>
          </w:p>
        </w:tc>
      </w:tr>
      <w:tr w:rsidR="009E5590" w:rsidRPr="009E5590" w14:paraId="35B2352B" w14:textId="77777777">
        <w:trPr>
          <w:tblCellSpacing w:w="15" w:type="dxa"/>
        </w:trPr>
        <w:tc>
          <w:tcPr>
            <w:tcW w:w="0" w:type="auto"/>
            <w:vAlign w:val="center"/>
            <w:hideMark/>
          </w:tcPr>
          <w:p w14:paraId="26DBAC06" w14:textId="77777777" w:rsidR="009E5590" w:rsidRPr="009E5590" w:rsidRDefault="009E5590" w:rsidP="009E5590">
            <w:r w:rsidRPr="009E5590">
              <w:rPr>
                <w:b/>
                <w:bCs/>
              </w:rPr>
              <w:t>99%</w:t>
            </w:r>
          </w:p>
        </w:tc>
        <w:tc>
          <w:tcPr>
            <w:tcW w:w="0" w:type="auto"/>
            <w:vAlign w:val="center"/>
            <w:hideMark/>
          </w:tcPr>
          <w:p w14:paraId="54632C82" w14:textId="77777777" w:rsidR="009E5590" w:rsidRPr="009E5590" w:rsidRDefault="009E5590" w:rsidP="009E5590">
            <w:r w:rsidRPr="009E5590">
              <w:t>Standard GARCH (t)</w:t>
            </w:r>
          </w:p>
        </w:tc>
        <w:tc>
          <w:tcPr>
            <w:tcW w:w="0" w:type="auto"/>
            <w:vAlign w:val="center"/>
            <w:hideMark/>
          </w:tcPr>
          <w:p w14:paraId="7BAF5841" w14:textId="77777777" w:rsidR="009E5590" w:rsidRPr="009E5590" w:rsidRDefault="009E5590" w:rsidP="009E5590">
            <w:r w:rsidRPr="009E5590">
              <w:t>20</w:t>
            </w:r>
          </w:p>
        </w:tc>
        <w:tc>
          <w:tcPr>
            <w:tcW w:w="0" w:type="auto"/>
            <w:vAlign w:val="center"/>
            <w:hideMark/>
          </w:tcPr>
          <w:p w14:paraId="10D9BE70" w14:textId="77777777" w:rsidR="009E5590" w:rsidRPr="009E5590" w:rsidRDefault="009E5590" w:rsidP="009E5590">
            <w:r w:rsidRPr="009E5590">
              <w:t>11.8</w:t>
            </w:r>
          </w:p>
        </w:tc>
        <w:tc>
          <w:tcPr>
            <w:tcW w:w="0" w:type="auto"/>
            <w:vAlign w:val="center"/>
            <w:hideMark/>
          </w:tcPr>
          <w:p w14:paraId="0C6B75E1" w14:textId="77777777" w:rsidR="009E5590" w:rsidRPr="009E5590" w:rsidRDefault="009E5590" w:rsidP="009E5590">
            <w:r w:rsidRPr="009E5590">
              <w:t>1.69%</w:t>
            </w:r>
          </w:p>
        </w:tc>
        <w:tc>
          <w:tcPr>
            <w:tcW w:w="0" w:type="auto"/>
            <w:vAlign w:val="center"/>
            <w:hideMark/>
          </w:tcPr>
          <w:p w14:paraId="1195EC24" w14:textId="77777777" w:rsidR="009E5590" w:rsidRPr="009E5590" w:rsidRDefault="009E5590" w:rsidP="009E5590">
            <w:r w:rsidRPr="009E5590">
              <w:t>0.0296</w:t>
            </w:r>
          </w:p>
        </w:tc>
        <w:tc>
          <w:tcPr>
            <w:tcW w:w="0" w:type="auto"/>
            <w:vAlign w:val="center"/>
            <w:hideMark/>
          </w:tcPr>
          <w:p w14:paraId="3F90EBC8" w14:textId="77777777" w:rsidR="009E5590" w:rsidRPr="009E5590" w:rsidRDefault="009E5590" w:rsidP="009E5590">
            <w:r w:rsidRPr="009E5590">
              <w:rPr>
                <w:rFonts w:ascii="Segoe UI Emoji" w:hAnsi="Segoe UI Emoji" w:cs="Segoe UI Emoji"/>
              </w:rPr>
              <w:t>❌</w:t>
            </w:r>
            <w:r w:rsidRPr="009E5590">
              <w:t xml:space="preserve"> FAIL</w:t>
            </w:r>
          </w:p>
        </w:tc>
      </w:tr>
      <w:tr w:rsidR="009E5590" w:rsidRPr="009E5590" w14:paraId="4CCE0963" w14:textId="77777777">
        <w:trPr>
          <w:tblCellSpacing w:w="15" w:type="dxa"/>
        </w:trPr>
        <w:tc>
          <w:tcPr>
            <w:tcW w:w="0" w:type="auto"/>
            <w:vAlign w:val="center"/>
            <w:hideMark/>
          </w:tcPr>
          <w:p w14:paraId="10AE807A" w14:textId="77777777" w:rsidR="009E5590" w:rsidRPr="009E5590" w:rsidRDefault="009E5590" w:rsidP="009E5590">
            <w:r w:rsidRPr="009E5590">
              <w:rPr>
                <w:b/>
                <w:bCs/>
              </w:rPr>
              <w:t>97.5%</w:t>
            </w:r>
          </w:p>
        </w:tc>
        <w:tc>
          <w:tcPr>
            <w:tcW w:w="0" w:type="auto"/>
            <w:vAlign w:val="center"/>
            <w:hideMark/>
          </w:tcPr>
          <w:p w14:paraId="1183713C" w14:textId="77777777" w:rsidR="009E5590" w:rsidRPr="009E5590" w:rsidRDefault="009E5590" w:rsidP="009E5590">
            <w:r w:rsidRPr="009E5590">
              <w:t>CGARCH (t)</w:t>
            </w:r>
          </w:p>
        </w:tc>
        <w:tc>
          <w:tcPr>
            <w:tcW w:w="0" w:type="auto"/>
            <w:vAlign w:val="center"/>
            <w:hideMark/>
          </w:tcPr>
          <w:p w14:paraId="7A9BC503" w14:textId="77777777" w:rsidR="009E5590" w:rsidRPr="009E5590" w:rsidRDefault="009E5590" w:rsidP="009E5590">
            <w:r w:rsidRPr="009E5590">
              <w:t>35</w:t>
            </w:r>
          </w:p>
        </w:tc>
        <w:tc>
          <w:tcPr>
            <w:tcW w:w="0" w:type="auto"/>
            <w:vAlign w:val="center"/>
            <w:hideMark/>
          </w:tcPr>
          <w:p w14:paraId="44E20976" w14:textId="77777777" w:rsidR="009E5590" w:rsidRPr="009E5590" w:rsidRDefault="009E5590" w:rsidP="009E5590">
            <w:r w:rsidRPr="009E5590">
              <w:t>29.6</w:t>
            </w:r>
          </w:p>
        </w:tc>
        <w:tc>
          <w:tcPr>
            <w:tcW w:w="0" w:type="auto"/>
            <w:vAlign w:val="center"/>
            <w:hideMark/>
          </w:tcPr>
          <w:p w14:paraId="2E91D9FF" w14:textId="77777777" w:rsidR="009E5590" w:rsidRPr="009E5590" w:rsidRDefault="009E5590" w:rsidP="009E5590">
            <w:r w:rsidRPr="009E5590">
              <w:t>2.96%</w:t>
            </w:r>
          </w:p>
        </w:tc>
        <w:tc>
          <w:tcPr>
            <w:tcW w:w="0" w:type="auto"/>
            <w:vAlign w:val="center"/>
            <w:hideMark/>
          </w:tcPr>
          <w:p w14:paraId="2C64D538" w14:textId="77777777" w:rsidR="009E5590" w:rsidRPr="009E5590" w:rsidRDefault="009E5590" w:rsidP="009E5590">
            <w:r w:rsidRPr="009E5590">
              <w:t>0.2891</w:t>
            </w:r>
          </w:p>
        </w:tc>
        <w:tc>
          <w:tcPr>
            <w:tcW w:w="0" w:type="auto"/>
            <w:vAlign w:val="center"/>
            <w:hideMark/>
          </w:tcPr>
          <w:p w14:paraId="3354870F" w14:textId="77777777" w:rsidR="009E5590" w:rsidRPr="009E5590" w:rsidRDefault="009E5590" w:rsidP="009E5590">
            <w:r w:rsidRPr="009E5590">
              <w:rPr>
                <w:rFonts w:ascii="Segoe UI Emoji" w:hAnsi="Segoe UI Emoji" w:cs="Segoe UI Emoji"/>
              </w:rPr>
              <w:t>✅</w:t>
            </w:r>
            <w:r w:rsidRPr="009E5590">
              <w:t xml:space="preserve"> PASS</w:t>
            </w:r>
          </w:p>
        </w:tc>
      </w:tr>
      <w:tr w:rsidR="009E5590" w:rsidRPr="009E5590" w14:paraId="13C1C58C" w14:textId="77777777">
        <w:trPr>
          <w:tblCellSpacing w:w="15" w:type="dxa"/>
        </w:trPr>
        <w:tc>
          <w:tcPr>
            <w:tcW w:w="0" w:type="auto"/>
            <w:vAlign w:val="center"/>
            <w:hideMark/>
          </w:tcPr>
          <w:p w14:paraId="174B0AFC" w14:textId="77777777" w:rsidR="009E5590" w:rsidRPr="009E5590" w:rsidRDefault="009E5590" w:rsidP="009E5590">
            <w:r w:rsidRPr="009E5590">
              <w:rPr>
                <w:b/>
                <w:bCs/>
              </w:rPr>
              <w:t>97.5%</w:t>
            </w:r>
          </w:p>
        </w:tc>
        <w:tc>
          <w:tcPr>
            <w:tcW w:w="0" w:type="auto"/>
            <w:vAlign w:val="center"/>
            <w:hideMark/>
          </w:tcPr>
          <w:p w14:paraId="34F12E3A" w14:textId="77777777" w:rsidR="009E5590" w:rsidRPr="009E5590" w:rsidRDefault="009E5590" w:rsidP="009E5590">
            <w:r w:rsidRPr="009E5590">
              <w:t>Standard GARCH (t)</w:t>
            </w:r>
          </w:p>
        </w:tc>
        <w:tc>
          <w:tcPr>
            <w:tcW w:w="0" w:type="auto"/>
            <w:vAlign w:val="center"/>
            <w:hideMark/>
          </w:tcPr>
          <w:p w14:paraId="23874841" w14:textId="77777777" w:rsidR="009E5590" w:rsidRPr="009E5590" w:rsidRDefault="009E5590" w:rsidP="009E5590">
            <w:r w:rsidRPr="009E5590">
              <w:t>42</w:t>
            </w:r>
          </w:p>
        </w:tc>
        <w:tc>
          <w:tcPr>
            <w:tcW w:w="0" w:type="auto"/>
            <w:vAlign w:val="center"/>
            <w:hideMark/>
          </w:tcPr>
          <w:p w14:paraId="17EBAFA5" w14:textId="77777777" w:rsidR="009E5590" w:rsidRPr="009E5590" w:rsidRDefault="009E5590" w:rsidP="009E5590">
            <w:r w:rsidRPr="009E5590">
              <w:t>29.6</w:t>
            </w:r>
          </w:p>
        </w:tc>
        <w:tc>
          <w:tcPr>
            <w:tcW w:w="0" w:type="auto"/>
            <w:vAlign w:val="center"/>
            <w:hideMark/>
          </w:tcPr>
          <w:p w14:paraId="47BE121A" w14:textId="77777777" w:rsidR="009E5590" w:rsidRPr="009E5590" w:rsidRDefault="009E5590" w:rsidP="009E5590">
            <w:r w:rsidRPr="009E5590">
              <w:t>3.55%</w:t>
            </w:r>
          </w:p>
        </w:tc>
        <w:tc>
          <w:tcPr>
            <w:tcW w:w="0" w:type="auto"/>
            <w:vAlign w:val="center"/>
            <w:hideMark/>
          </w:tcPr>
          <w:p w14:paraId="61C93C05" w14:textId="77777777" w:rsidR="009E5590" w:rsidRPr="009E5590" w:rsidRDefault="009E5590" w:rsidP="009E5590">
            <w:r w:rsidRPr="009E5590">
              <w:t>0.0234</w:t>
            </w:r>
          </w:p>
        </w:tc>
        <w:tc>
          <w:tcPr>
            <w:tcW w:w="0" w:type="auto"/>
            <w:vAlign w:val="center"/>
            <w:hideMark/>
          </w:tcPr>
          <w:p w14:paraId="00107E16" w14:textId="77777777" w:rsidR="009E5590" w:rsidRPr="009E5590" w:rsidRDefault="009E5590" w:rsidP="009E5590">
            <w:r w:rsidRPr="009E5590">
              <w:rPr>
                <w:rFonts w:ascii="Segoe UI Emoji" w:hAnsi="Segoe UI Emoji" w:cs="Segoe UI Emoji"/>
              </w:rPr>
              <w:t>❌</w:t>
            </w:r>
            <w:r w:rsidRPr="009E5590">
              <w:t xml:space="preserve"> FAIL</w:t>
            </w:r>
          </w:p>
        </w:tc>
      </w:tr>
      <w:tr w:rsidR="009E5590" w:rsidRPr="009E5590" w14:paraId="78BD5587" w14:textId="77777777">
        <w:trPr>
          <w:tblCellSpacing w:w="15" w:type="dxa"/>
        </w:trPr>
        <w:tc>
          <w:tcPr>
            <w:tcW w:w="0" w:type="auto"/>
            <w:vAlign w:val="center"/>
            <w:hideMark/>
          </w:tcPr>
          <w:p w14:paraId="0BC43E24" w14:textId="77777777" w:rsidR="009E5590" w:rsidRPr="009E5590" w:rsidRDefault="009E5590" w:rsidP="009E5590">
            <w:r w:rsidRPr="009E5590">
              <w:rPr>
                <w:b/>
                <w:bCs/>
              </w:rPr>
              <w:t>95%</w:t>
            </w:r>
          </w:p>
        </w:tc>
        <w:tc>
          <w:tcPr>
            <w:tcW w:w="0" w:type="auto"/>
            <w:vAlign w:val="center"/>
            <w:hideMark/>
          </w:tcPr>
          <w:p w14:paraId="0290A7A5" w14:textId="77777777" w:rsidR="009E5590" w:rsidRPr="009E5590" w:rsidRDefault="009E5590" w:rsidP="009E5590">
            <w:r w:rsidRPr="009E5590">
              <w:t>CGARCH (t)</w:t>
            </w:r>
          </w:p>
        </w:tc>
        <w:tc>
          <w:tcPr>
            <w:tcW w:w="0" w:type="auto"/>
            <w:vAlign w:val="center"/>
            <w:hideMark/>
          </w:tcPr>
          <w:p w14:paraId="027C0795" w14:textId="77777777" w:rsidR="009E5590" w:rsidRPr="009E5590" w:rsidRDefault="009E5590" w:rsidP="009E5590">
            <w:r w:rsidRPr="009E5590">
              <w:t>68</w:t>
            </w:r>
          </w:p>
        </w:tc>
        <w:tc>
          <w:tcPr>
            <w:tcW w:w="0" w:type="auto"/>
            <w:vAlign w:val="center"/>
            <w:hideMark/>
          </w:tcPr>
          <w:p w14:paraId="6B3B879C" w14:textId="77777777" w:rsidR="009E5590" w:rsidRPr="009E5590" w:rsidRDefault="009E5590" w:rsidP="009E5590">
            <w:r w:rsidRPr="009E5590">
              <w:t>59.1</w:t>
            </w:r>
          </w:p>
        </w:tc>
        <w:tc>
          <w:tcPr>
            <w:tcW w:w="0" w:type="auto"/>
            <w:vAlign w:val="center"/>
            <w:hideMark/>
          </w:tcPr>
          <w:p w14:paraId="65CE57F5" w14:textId="77777777" w:rsidR="009E5590" w:rsidRPr="009E5590" w:rsidRDefault="009E5590" w:rsidP="009E5590">
            <w:r w:rsidRPr="009E5590">
              <w:t>5.75%</w:t>
            </w:r>
          </w:p>
        </w:tc>
        <w:tc>
          <w:tcPr>
            <w:tcW w:w="0" w:type="auto"/>
            <w:vAlign w:val="center"/>
            <w:hideMark/>
          </w:tcPr>
          <w:p w14:paraId="38112E8B" w14:textId="77777777" w:rsidR="009E5590" w:rsidRPr="009E5590" w:rsidRDefault="009E5590" w:rsidP="009E5590">
            <w:r w:rsidRPr="009E5590">
              <w:t>0.1455</w:t>
            </w:r>
          </w:p>
        </w:tc>
        <w:tc>
          <w:tcPr>
            <w:tcW w:w="0" w:type="auto"/>
            <w:vAlign w:val="center"/>
            <w:hideMark/>
          </w:tcPr>
          <w:p w14:paraId="06334A7D" w14:textId="77777777" w:rsidR="009E5590" w:rsidRPr="009E5590" w:rsidRDefault="009E5590" w:rsidP="009E5590">
            <w:r w:rsidRPr="009E5590">
              <w:rPr>
                <w:rFonts w:ascii="Segoe UI Emoji" w:hAnsi="Segoe UI Emoji" w:cs="Segoe UI Emoji"/>
              </w:rPr>
              <w:t>✅</w:t>
            </w:r>
            <w:r w:rsidRPr="009E5590">
              <w:t xml:space="preserve"> PASS</w:t>
            </w:r>
          </w:p>
        </w:tc>
      </w:tr>
      <w:tr w:rsidR="009E5590" w:rsidRPr="009E5590" w14:paraId="1BC4D2A8" w14:textId="77777777">
        <w:trPr>
          <w:tblCellSpacing w:w="15" w:type="dxa"/>
        </w:trPr>
        <w:tc>
          <w:tcPr>
            <w:tcW w:w="0" w:type="auto"/>
            <w:vAlign w:val="center"/>
            <w:hideMark/>
          </w:tcPr>
          <w:p w14:paraId="12871E1F" w14:textId="77777777" w:rsidR="009E5590" w:rsidRPr="009E5590" w:rsidRDefault="009E5590" w:rsidP="009E5590">
            <w:r w:rsidRPr="009E5590">
              <w:rPr>
                <w:b/>
                <w:bCs/>
              </w:rPr>
              <w:t>95%</w:t>
            </w:r>
          </w:p>
        </w:tc>
        <w:tc>
          <w:tcPr>
            <w:tcW w:w="0" w:type="auto"/>
            <w:vAlign w:val="center"/>
            <w:hideMark/>
          </w:tcPr>
          <w:p w14:paraId="649B4B53" w14:textId="77777777" w:rsidR="009E5590" w:rsidRPr="009E5590" w:rsidRDefault="009E5590" w:rsidP="009E5590">
            <w:r w:rsidRPr="009E5590">
              <w:t>Standard GARCH (t)</w:t>
            </w:r>
          </w:p>
        </w:tc>
        <w:tc>
          <w:tcPr>
            <w:tcW w:w="0" w:type="auto"/>
            <w:vAlign w:val="center"/>
            <w:hideMark/>
          </w:tcPr>
          <w:p w14:paraId="34A5949B" w14:textId="77777777" w:rsidR="009E5590" w:rsidRPr="009E5590" w:rsidRDefault="009E5590" w:rsidP="009E5590">
            <w:r w:rsidRPr="009E5590">
              <w:t>78</w:t>
            </w:r>
          </w:p>
        </w:tc>
        <w:tc>
          <w:tcPr>
            <w:tcW w:w="0" w:type="auto"/>
            <w:vAlign w:val="center"/>
            <w:hideMark/>
          </w:tcPr>
          <w:p w14:paraId="4F42D5E6" w14:textId="77777777" w:rsidR="009E5590" w:rsidRPr="009E5590" w:rsidRDefault="009E5590" w:rsidP="009E5590">
            <w:r w:rsidRPr="009E5590">
              <w:t>59.1</w:t>
            </w:r>
          </w:p>
        </w:tc>
        <w:tc>
          <w:tcPr>
            <w:tcW w:w="0" w:type="auto"/>
            <w:vAlign w:val="center"/>
            <w:hideMark/>
          </w:tcPr>
          <w:p w14:paraId="5214BF5B" w14:textId="77777777" w:rsidR="009E5590" w:rsidRPr="009E5590" w:rsidRDefault="009E5590" w:rsidP="009E5590">
            <w:r w:rsidRPr="009E5590">
              <w:t>6.60%</w:t>
            </w:r>
          </w:p>
        </w:tc>
        <w:tc>
          <w:tcPr>
            <w:tcW w:w="0" w:type="auto"/>
            <w:vAlign w:val="center"/>
            <w:hideMark/>
          </w:tcPr>
          <w:p w14:paraId="00FDE7FE" w14:textId="77777777" w:rsidR="009E5590" w:rsidRPr="009E5590" w:rsidRDefault="009E5590" w:rsidP="009E5590">
            <w:r w:rsidRPr="009E5590">
              <w:t>0.0089</w:t>
            </w:r>
          </w:p>
        </w:tc>
        <w:tc>
          <w:tcPr>
            <w:tcW w:w="0" w:type="auto"/>
            <w:vAlign w:val="center"/>
            <w:hideMark/>
          </w:tcPr>
          <w:p w14:paraId="27B9BE43" w14:textId="77777777" w:rsidR="009E5590" w:rsidRPr="009E5590" w:rsidRDefault="009E5590" w:rsidP="009E5590">
            <w:r w:rsidRPr="009E5590">
              <w:rPr>
                <w:rFonts w:ascii="Segoe UI Emoji" w:hAnsi="Segoe UI Emoji" w:cs="Segoe UI Emoji"/>
              </w:rPr>
              <w:t>❌</w:t>
            </w:r>
            <w:r w:rsidRPr="009E5590">
              <w:t xml:space="preserve"> FAIL</w:t>
            </w:r>
          </w:p>
        </w:tc>
      </w:tr>
    </w:tbl>
    <w:p w14:paraId="68D22C7E" w14:textId="77777777" w:rsidR="009E5590" w:rsidRPr="009E5590" w:rsidRDefault="009E5590" w:rsidP="009E5590">
      <w:r w:rsidRPr="009E5590">
        <w:rPr>
          <w:b/>
          <w:bCs/>
        </w:rPr>
        <w:t>Critical Finding:</w:t>
      </w:r>
      <w:r w:rsidRPr="009E5590">
        <w:t xml:space="preserve"> CGARCH superiority is consistent across all confidence levels, demonstrating robust model performance.</w:t>
      </w:r>
    </w:p>
    <w:p w14:paraId="6201BB78" w14:textId="77777777" w:rsidR="009E5590" w:rsidRPr="009E5590" w:rsidRDefault="009E5590" w:rsidP="009E5590">
      <w:r w:rsidRPr="009E5590">
        <w:pict w14:anchorId="6EE84591">
          <v:rect id="_x0000_i1127" style="width:0;height:1.5pt" o:hralign="center" o:hrstd="t" o:hr="t" fillcolor="#a0a0a0" stroked="f"/>
        </w:pict>
      </w:r>
    </w:p>
    <w:p w14:paraId="7781DD15" w14:textId="77777777" w:rsidR="009E5590" w:rsidRPr="009E5590" w:rsidRDefault="009E5590" w:rsidP="009E5590">
      <w:pPr>
        <w:rPr>
          <w:b/>
          <w:bCs/>
        </w:rPr>
      </w:pPr>
      <w:r w:rsidRPr="009E5590">
        <w:rPr>
          <w:b/>
          <w:bCs/>
        </w:rPr>
        <w:t>3. NEW: Economic Significance Analysis</w:t>
      </w:r>
    </w:p>
    <w:p w14:paraId="4C0B5D73" w14:textId="77777777" w:rsidR="009E5590" w:rsidRPr="009E5590" w:rsidRDefault="009E5590" w:rsidP="009E5590">
      <w:pPr>
        <w:rPr>
          <w:b/>
          <w:bCs/>
        </w:rPr>
      </w:pPr>
      <w:r w:rsidRPr="009E5590">
        <w:rPr>
          <w:b/>
          <w:bCs/>
        </w:rPr>
        <w:t>3.1 Regulatory Capital Impact Assessment</w:t>
      </w:r>
    </w:p>
    <w:p w14:paraId="6B0CD121" w14:textId="77777777" w:rsidR="009E5590" w:rsidRPr="009E5590" w:rsidRDefault="009E5590" w:rsidP="009E5590">
      <w:r w:rsidRPr="009E5590">
        <w:rPr>
          <w:b/>
          <w:bCs/>
        </w:rPr>
        <w:t>Basel III Capital Requirements Simulation</w:t>
      </w:r>
    </w:p>
    <w:p w14:paraId="65BFBC59" w14:textId="77777777" w:rsidR="009E5590" w:rsidRPr="009E5590" w:rsidRDefault="009E5590" w:rsidP="009E5590">
      <w:r w:rsidRPr="009E5590">
        <w:t>Using standardized approach for market risk capital calculation:</w:t>
      </w:r>
    </w:p>
    <w:p w14:paraId="07A988C3" w14:textId="77777777" w:rsidR="009E5590" w:rsidRPr="009E5590" w:rsidRDefault="009E5590" w:rsidP="009E5590">
      <w:r w:rsidRPr="009E5590">
        <w:t>Capital_Requirement = max(VaR_{t-1}, (1/60) × Σ VaR_s) × Multiplier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5"/>
        <w:gridCol w:w="1685"/>
        <w:gridCol w:w="1817"/>
        <w:gridCol w:w="1621"/>
        <w:gridCol w:w="1558"/>
      </w:tblGrid>
      <w:tr w:rsidR="009E5590" w:rsidRPr="009E5590" w14:paraId="78C0E25C" w14:textId="77777777">
        <w:trPr>
          <w:tblHeader/>
          <w:tblCellSpacing w:w="15" w:type="dxa"/>
        </w:trPr>
        <w:tc>
          <w:tcPr>
            <w:tcW w:w="0" w:type="auto"/>
            <w:vAlign w:val="center"/>
            <w:hideMark/>
          </w:tcPr>
          <w:p w14:paraId="0DF05FEF" w14:textId="77777777" w:rsidR="009E5590" w:rsidRPr="009E5590" w:rsidRDefault="009E5590" w:rsidP="009E5590">
            <w:pPr>
              <w:rPr>
                <w:b/>
                <w:bCs/>
              </w:rPr>
            </w:pPr>
            <w:r w:rsidRPr="009E5590">
              <w:rPr>
                <w:b/>
                <w:bCs/>
              </w:rPr>
              <w:t>Model</w:t>
            </w:r>
          </w:p>
        </w:tc>
        <w:tc>
          <w:tcPr>
            <w:tcW w:w="0" w:type="auto"/>
            <w:vAlign w:val="center"/>
            <w:hideMark/>
          </w:tcPr>
          <w:p w14:paraId="599D050D" w14:textId="77777777" w:rsidR="009E5590" w:rsidRPr="009E5590" w:rsidRDefault="009E5590" w:rsidP="009E5590">
            <w:pPr>
              <w:rPr>
                <w:b/>
                <w:bCs/>
              </w:rPr>
            </w:pPr>
            <w:r w:rsidRPr="009E5590">
              <w:rPr>
                <w:b/>
                <w:bCs/>
              </w:rPr>
              <w:t>Average Daily VaR</w:t>
            </w:r>
          </w:p>
        </w:tc>
        <w:tc>
          <w:tcPr>
            <w:tcW w:w="0" w:type="auto"/>
            <w:vAlign w:val="center"/>
            <w:hideMark/>
          </w:tcPr>
          <w:p w14:paraId="77D7AA85" w14:textId="77777777" w:rsidR="009E5590" w:rsidRPr="009E5590" w:rsidRDefault="009E5590" w:rsidP="009E5590">
            <w:pPr>
              <w:rPr>
                <w:b/>
                <w:bCs/>
              </w:rPr>
            </w:pPr>
            <w:r w:rsidRPr="009E5590">
              <w:rPr>
                <w:b/>
                <w:bCs/>
              </w:rPr>
              <w:t>99th Percentile VaR</w:t>
            </w:r>
          </w:p>
        </w:tc>
        <w:tc>
          <w:tcPr>
            <w:tcW w:w="0" w:type="auto"/>
            <w:vAlign w:val="center"/>
            <w:hideMark/>
          </w:tcPr>
          <w:p w14:paraId="27B5B89D" w14:textId="77777777" w:rsidR="009E5590" w:rsidRPr="009E5590" w:rsidRDefault="009E5590" w:rsidP="009E5590">
            <w:pPr>
              <w:rPr>
                <w:b/>
                <w:bCs/>
              </w:rPr>
            </w:pPr>
            <w:r w:rsidRPr="009E5590">
              <w:rPr>
                <w:b/>
                <w:bCs/>
              </w:rPr>
              <w:t>Capital Multiplier</w:t>
            </w:r>
          </w:p>
        </w:tc>
        <w:tc>
          <w:tcPr>
            <w:tcW w:w="0" w:type="auto"/>
            <w:vAlign w:val="center"/>
            <w:hideMark/>
          </w:tcPr>
          <w:p w14:paraId="0178221A" w14:textId="77777777" w:rsidR="009E5590" w:rsidRPr="009E5590" w:rsidRDefault="009E5590" w:rsidP="009E5590">
            <w:pPr>
              <w:rPr>
                <w:b/>
                <w:bCs/>
              </w:rPr>
            </w:pPr>
            <w:r w:rsidRPr="009E5590">
              <w:rPr>
                <w:b/>
                <w:bCs/>
              </w:rPr>
              <w:t>Required Capital</w:t>
            </w:r>
          </w:p>
        </w:tc>
      </w:tr>
      <w:tr w:rsidR="009E5590" w:rsidRPr="009E5590" w14:paraId="431F055A" w14:textId="77777777">
        <w:trPr>
          <w:tblCellSpacing w:w="15" w:type="dxa"/>
        </w:trPr>
        <w:tc>
          <w:tcPr>
            <w:tcW w:w="0" w:type="auto"/>
            <w:vAlign w:val="center"/>
            <w:hideMark/>
          </w:tcPr>
          <w:p w14:paraId="1AB8D5FE" w14:textId="77777777" w:rsidR="009E5590" w:rsidRPr="009E5590" w:rsidRDefault="009E5590" w:rsidP="009E5590">
            <w:r w:rsidRPr="009E5590">
              <w:rPr>
                <w:b/>
                <w:bCs/>
              </w:rPr>
              <w:t>CGARCH (t-dist)</w:t>
            </w:r>
          </w:p>
        </w:tc>
        <w:tc>
          <w:tcPr>
            <w:tcW w:w="0" w:type="auto"/>
            <w:vAlign w:val="center"/>
            <w:hideMark/>
          </w:tcPr>
          <w:p w14:paraId="3FF625F3" w14:textId="77777777" w:rsidR="009E5590" w:rsidRPr="009E5590" w:rsidRDefault="009E5590" w:rsidP="009E5590">
            <w:r w:rsidRPr="009E5590">
              <w:rPr>
                <w:b/>
                <w:bCs/>
              </w:rPr>
              <w:t>2.84%</w:t>
            </w:r>
          </w:p>
        </w:tc>
        <w:tc>
          <w:tcPr>
            <w:tcW w:w="0" w:type="auto"/>
            <w:vAlign w:val="center"/>
            <w:hideMark/>
          </w:tcPr>
          <w:p w14:paraId="611AA95A" w14:textId="77777777" w:rsidR="009E5590" w:rsidRPr="009E5590" w:rsidRDefault="009E5590" w:rsidP="009E5590">
            <w:r w:rsidRPr="009E5590">
              <w:rPr>
                <w:b/>
                <w:bCs/>
              </w:rPr>
              <w:t>5.67%</w:t>
            </w:r>
          </w:p>
        </w:tc>
        <w:tc>
          <w:tcPr>
            <w:tcW w:w="0" w:type="auto"/>
            <w:vAlign w:val="center"/>
            <w:hideMark/>
          </w:tcPr>
          <w:p w14:paraId="56DFC5E0" w14:textId="77777777" w:rsidR="009E5590" w:rsidRPr="009E5590" w:rsidRDefault="009E5590" w:rsidP="009E5590">
            <w:r w:rsidRPr="009E5590">
              <w:rPr>
                <w:b/>
                <w:bCs/>
              </w:rPr>
              <w:t>3.0</w:t>
            </w:r>
          </w:p>
        </w:tc>
        <w:tc>
          <w:tcPr>
            <w:tcW w:w="0" w:type="auto"/>
            <w:vAlign w:val="center"/>
            <w:hideMark/>
          </w:tcPr>
          <w:p w14:paraId="61B6F698" w14:textId="77777777" w:rsidR="009E5590" w:rsidRPr="009E5590" w:rsidRDefault="009E5590" w:rsidP="009E5590">
            <w:r w:rsidRPr="009E5590">
              <w:rPr>
                <w:b/>
                <w:bCs/>
              </w:rPr>
              <w:t>17.01%</w:t>
            </w:r>
          </w:p>
        </w:tc>
      </w:tr>
      <w:tr w:rsidR="009E5590" w:rsidRPr="009E5590" w14:paraId="42B02DAF" w14:textId="77777777">
        <w:trPr>
          <w:tblCellSpacing w:w="15" w:type="dxa"/>
        </w:trPr>
        <w:tc>
          <w:tcPr>
            <w:tcW w:w="0" w:type="auto"/>
            <w:vAlign w:val="center"/>
            <w:hideMark/>
          </w:tcPr>
          <w:p w14:paraId="181D2943" w14:textId="77777777" w:rsidR="009E5590" w:rsidRPr="009E5590" w:rsidRDefault="009E5590" w:rsidP="009E5590">
            <w:r w:rsidRPr="009E5590">
              <w:t>Standard GARCH (t-dist)</w:t>
            </w:r>
          </w:p>
        </w:tc>
        <w:tc>
          <w:tcPr>
            <w:tcW w:w="0" w:type="auto"/>
            <w:vAlign w:val="center"/>
            <w:hideMark/>
          </w:tcPr>
          <w:p w14:paraId="31C4A178" w14:textId="77777777" w:rsidR="009E5590" w:rsidRPr="009E5590" w:rsidRDefault="009E5590" w:rsidP="009E5590">
            <w:r w:rsidRPr="009E5590">
              <w:t>2.45%</w:t>
            </w:r>
          </w:p>
        </w:tc>
        <w:tc>
          <w:tcPr>
            <w:tcW w:w="0" w:type="auto"/>
            <w:vAlign w:val="center"/>
            <w:hideMark/>
          </w:tcPr>
          <w:p w14:paraId="5F733FED" w14:textId="77777777" w:rsidR="009E5590" w:rsidRPr="009E5590" w:rsidRDefault="009E5590" w:rsidP="009E5590">
            <w:r w:rsidRPr="009E5590">
              <w:t>4.89%</w:t>
            </w:r>
          </w:p>
        </w:tc>
        <w:tc>
          <w:tcPr>
            <w:tcW w:w="0" w:type="auto"/>
            <w:vAlign w:val="center"/>
            <w:hideMark/>
          </w:tcPr>
          <w:p w14:paraId="63683DF0" w14:textId="77777777" w:rsidR="009E5590" w:rsidRPr="009E5590" w:rsidRDefault="009E5590" w:rsidP="009E5590">
            <w:r w:rsidRPr="009E5590">
              <w:t>3.2</w:t>
            </w:r>
          </w:p>
        </w:tc>
        <w:tc>
          <w:tcPr>
            <w:tcW w:w="0" w:type="auto"/>
            <w:vAlign w:val="center"/>
            <w:hideMark/>
          </w:tcPr>
          <w:p w14:paraId="311D0E09" w14:textId="77777777" w:rsidR="009E5590" w:rsidRPr="009E5590" w:rsidRDefault="009E5590" w:rsidP="009E5590">
            <w:r w:rsidRPr="009E5590">
              <w:t>15.65%</w:t>
            </w:r>
          </w:p>
        </w:tc>
      </w:tr>
      <w:tr w:rsidR="009E5590" w:rsidRPr="009E5590" w14:paraId="419E83A7" w14:textId="77777777">
        <w:trPr>
          <w:tblCellSpacing w:w="15" w:type="dxa"/>
        </w:trPr>
        <w:tc>
          <w:tcPr>
            <w:tcW w:w="0" w:type="auto"/>
            <w:vAlign w:val="center"/>
            <w:hideMark/>
          </w:tcPr>
          <w:p w14:paraId="7BD5782C" w14:textId="77777777" w:rsidR="009E5590" w:rsidRPr="009E5590" w:rsidRDefault="009E5590" w:rsidP="009E5590">
            <w:r w:rsidRPr="009E5590">
              <w:t>CGARCH (Normal)</w:t>
            </w:r>
          </w:p>
        </w:tc>
        <w:tc>
          <w:tcPr>
            <w:tcW w:w="0" w:type="auto"/>
            <w:vAlign w:val="center"/>
            <w:hideMark/>
          </w:tcPr>
          <w:p w14:paraId="47703BE0" w14:textId="77777777" w:rsidR="009E5590" w:rsidRPr="009E5590" w:rsidRDefault="009E5590" w:rsidP="009E5590">
            <w:r w:rsidRPr="009E5590">
              <w:t>2.12%</w:t>
            </w:r>
          </w:p>
        </w:tc>
        <w:tc>
          <w:tcPr>
            <w:tcW w:w="0" w:type="auto"/>
            <w:vAlign w:val="center"/>
            <w:hideMark/>
          </w:tcPr>
          <w:p w14:paraId="37B5DF03" w14:textId="77777777" w:rsidR="009E5590" w:rsidRPr="009E5590" w:rsidRDefault="009E5590" w:rsidP="009E5590">
            <w:r w:rsidRPr="009E5590">
              <w:t>3.98%</w:t>
            </w:r>
          </w:p>
        </w:tc>
        <w:tc>
          <w:tcPr>
            <w:tcW w:w="0" w:type="auto"/>
            <w:vAlign w:val="center"/>
            <w:hideMark/>
          </w:tcPr>
          <w:p w14:paraId="57393960" w14:textId="77777777" w:rsidR="009E5590" w:rsidRPr="009E5590" w:rsidRDefault="009E5590" w:rsidP="009E5590">
            <w:r w:rsidRPr="009E5590">
              <w:t>3.5</w:t>
            </w:r>
          </w:p>
        </w:tc>
        <w:tc>
          <w:tcPr>
            <w:tcW w:w="0" w:type="auto"/>
            <w:vAlign w:val="center"/>
            <w:hideMark/>
          </w:tcPr>
          <w:p w14:paraId="495AF60F" w14:textId="77777777" w:rsidR="009E5590" w:rsidRPr="009E5590" w:rsidRDefault="009E5590" w:rsidP="009E5590">
            <w:r w:rsidRPr="009E5590">
              <w:t>13.93%</w:t>
            </w:r>
          </w:p>
        </w:tc>
      </w:tr>
      <w:tr w:rsidR="009E5590" w:rsidRPr="009E5590" w14:paraId="21A3485E" w14:textId="77777777">
        <w:trPr>
          <w:tblCellSpacing w:w="15" w:type="dxa"/>
        </w:trPr>
        <w:tc>
          <w:tcPr>
            <w:tcW w:w="0" w:type="auto"/>
            <w:vAlign w:val="center"/>
            <w:hideMark/>
          </w:tcPr>
          <w:p w14:paraId="792D6E36" w14:textId="77777777" w:rsidR="009E5590" w:rsidRPr="009E5590" w:rsidRDefault="009E5590" w:rsidP="009E5590">
            <w:r w:rsidRPr="009E5590">
              <w:t>Standard GARCH (Normal)</w:t>
            </w:r>
          </w:p>
        </w:tc>
        <w:tc>
          <w:tcPr>
            <w:tcW w:w="0" w:type="auto"/>
            <w:vAlign w:val="center"/>
            <w:hideMark/>
          </w:tcPr>
          <w:p w14:paraId="5EEA17EF" w14:textId="77777777" w:rsidR="009E5590" w:rsidRPr="009E5590" w:rsidRDefault="009E5590" w:rsidP="009E5590">
            <w:r w:rsidRPr="009E5590">
              <w:t>2.09%</w:t>
            </w:r>
          </w:p>
        </w:tc>
        <w:tc>
          <w:tcPr>
            <w:tcW w:w="0" w:type="auto"/>
            <w:vAlign w:val="center"/>
            <w:hideMark/>
          </w:tcPr>
          <w:p w14:paraId="55A511A7" w14:textId="77777777" w:rsidR="009E5590" w:rsidRPr="009E5590" w:rsidRDefault="009E5590" w:rsidP="009E5590">
            <w:r w:rsidRPr="009E5590">
              <w:t>3.91%</w:t>
            </w:r>
          </w:p>
        </w:tc>
        <w:tc>
          <w:tcPr>
            <w:tcW w:w="0" w:type="auto"/>
            <w:vAlign w:val="center"/>
            <w:hideMark/>
          </w:tcPr>
          <w:p w14:paraId="38A307BD" w14:textId="77777777" w:rsidR="009E5590" w:rsidRPr="009E5590" w:rsidRDefault="009E5590" w:rsidP="009E5590">
            <w:r w:rsidRPr="009E5590">
              <w:t>3.5</w:t>
            </w:r>
          </w:p>
        </w:tc>
        <w:tc>
          <w:tcPr>
            <w:tcW w:w="0" w:type="auto"/>
            <w:vAlign w:val="center"/>
            <w:hideMark/>
          </w:tcPr>
          <w:p w14:paraId="616CAFDB" w14:textId="77777777" w:rsidR="009E5590" w:rsidRPr="009E5590" w:rsidRDefault="009E5590" w:rsidP="009E5590">
            <w:r w:rsidRPr="009E5590">
              <w:t>13.69%</w:t>
            </w:r>
          </w:p>
        </w:tc>
      </w:tr>
    </w:tbl>
    <w:p w14:paraId="101BEF88" w14:textId="77777777" w:rsidR="009E5590" w:rsidRPr="009E5590" w:rsidRDefault="009E5590" w:rsidP="009E5590">
      <w:r w:rsidRPr="009E5590">
        <w:rPr>
          <w:b/>
          <w:bCs/>
        </w:rPr>
        <w:t>Economic Interpretation:</w:t>
      </w:r>
    </w:p>
    <w:p w14:paraId="1AC0DC6C" w14:textId="77777777" w:rsidR="009E5590" w:rsidRPr="009E5590" w:rsidRDefault="009E5590" w:rsidP="009E5590">
      <w:pPr>
        <w:numPr>
          <w:ilvl w:val="0"/>
          <w:numId w:val="15"/>
        </w:numPr>
      </w:pPr>
      <w:r w:rsidRPr="009E5590">
        <w:rPr>
          <w:b/>
          <w:bCs/>
        </w:rPr>
        <w:t>CGARCH-t requires 8.7% more capital</w:t>
      </w:r>
      <w:r w:rsidRPr="009E5590">
        <w:t xml:space="preserve"> than Standard GARCH-t</w:t>
      </w:r>
    </w:p>
    <w:p w14:paraId="73D4CE8F" w14:textId="77777777" w:rsidR="009E5590" w:rsidRPr="009E5590" w:rsidRDefault="009E5590" w:rsidP="009E5590">
      <w:pPr>
        <w:numPr>
          <w:ilvl w:val="0"/>
          <w:numId w:val="15"/>
        </w:numPr>
      </w:pPr>
      <w:r w:rsidRPr="009E5590">
        <w:rPr>
          <w:b/>
          <w:bCs/>
        </w:rPr>
        <w:t>Normal models severely underestimate</w:t>
      </w:r>
      <w:r w:rsidRPr="009E5590">
        <w:t xml:space="preserve"> capital needs by ~20%</w:t>
      </w:r>
    </w:p>
    <w:p w14:paraId="46052E0C" w14:textId="77777777" w:rsidR="009E5590" w:rsidRPr="009E5590" w:rsidRDefault="009E5590" w:rsidP="009E5590">
      <w:pPr>
        <w:numPr>
          <w:ilvl w:val="0"/>
          <w:numId w:val="15"/>
        </w:numPr>
      </w:pPr>
      <w:r w:rsidRPr="009E5590">
        <w:rPr>
          <w:b/>
          <w:bCs/>
        </w:rPr>
        <w:t>Regulatory penalty multiplier</w:t>
      </w:r>
      <w:r w:rsidRPr="009E5590">
        <w:t xml:space="preserve"> increases with model failures</w:t>
      </w:r>
    </w:p>
    <w:p w14:paraId="4FC463FE" w14:textId="77777777" w:rsidR="009E5590" w:rsidRPr="009E5590" w:rsidRDefault="009E5590" w:rsidP="009E5590">
      <w:pPr>
        <w:numPr>
          <w:ilvl w:val="0"/>
          <w:numId w:val="15"/>
        </w:numPr>
      </w:pPr>
      <w:r w:rsidRPr="009E5590">
        <w:rPr>
          <w:b/>
          <w:bCs/>
        </w:rPr>
        <w:t>Annual cost difference</w:t>
      </w:r>
      <w:r w:rsidRPr="009E5590">
        <w:t xml:space="preserve"> for $1B portfolio: ~$8.7M in additional capital</w:t>
      </w:r>
    </w:p>
    <w:p w14:paraId="3C3CD4C0" w14:textId="77777777" w:rsidR="009E5590" w:rsidRPr="009E5590" w:rsidRDefault="009E5590" w:rsidP="009E5590">
      <w:pPr>
        <w:rPr>
          <w:b/>
          <w:bCs/>
        </w:rPr>
      </w:pPr>
      <w:r w:rsidRPr="009E5590">
        <w:rPr>
          <w:b/>
          <w:bCs/>
        </w:rPr>
        <w:t>3.2 NEW: Economic Loss Function Analysis</w:t>
      </w:r>
    </w:p>
    <w:p w14:paraId="04BA9C8D" w14:textId="77777777" w:rsidR="009E5590" w:rsidRPr="009E5590" w:rsidRDefault="009E5590" w:rsidP="009E5590">
      <w:r w:rsidRPr="009E5590">
        <w:rPr>
          <w:b/>
          <w:bCs/>
        </w:rPr>
        <w:t>Asymmetric Loss Function (Financial Institution Perspective):</w:t>
      </w:r>
    </w:p>
    <w:p w14:paraId="061475B0" w14:textId="77777777" w:rsidR="009E5590" w:rsidRPr="009E5590" w:rsidRDefault="009E5590" w:rsidP="009E5590">
      <w:r w:rsidRPr="009E5590">
        <w:t>L_t = {</w:t>
      </w:r>
    </w:p>
    <w:p w14:paraId="59F397B5" w14:textId="77777777" w:rsidR="009E5590" w:rsidRPr="009E5590" w:rsidRDefault="009E5590" w:rsidP="009E5590">
      <w:r w:rsidRPr="009E5590">
        <w:t xml:space="preserve">  c₁ × (VaR_t - r_t)     if r_t &lt; VaR_t  (violation - high cost)</w:t>
      </w:r>
    </w:p>
    <w:p w14:paraId="710FF27D" w14:textId="77777777" w:rsidR="009E5590" w:rsidRPr="009E5590" w:rsidRDefault="009E5590" w:rsidP="009E5590">
      <w:r w:rsidRPr="009E5590">
        <w:t xml:space="preserve">  c₂ × (r_t - VaR_t)     if r_t ≥ VaR_t  (conservative - low cost)</w:t>
      </w:r>
    </w:p>
    <w:p w14:paraId="0BD6894B" w14:textId="77777777" w:rsidR="009E5590" w:rsidRPr="009E5590" w:rsidRDefault="009E5590" w:rsidP="009E5590">
      <w:r w:rsidRPr="009E5590">
        <w:t>}</w:t>
      </w:r>
    </w:p>
    <w:p w14:paraId="405DBAAB" w14:textId="77777777" w:rsidR="009E5590" w:rsidRPr="009E5590" w:rsidRDefault="009E5590" w:rsidP="009E5590">
      <w:r w:rsidRPr="009E5590">
        <w:t>With c₁ = 10, c₂ = 1 (violations 10x more costly than being conservative):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2"/>
        <w:gridCol w:w="1736"/>
        <w:gridCol w:w="2866"/>
        <w:gridCol w:w="2032"/>
      </w:tblGrid>
      <w:tr w:rsidR="009E5590" w:rsidRPr="009E5590" w14:paraId="6CAC4D19" w14:textId="77777777">
        <w:trPr>
          <w:tblHeader/>
          <w:tblCellSpacing w:w="15" w:type="dxa"/>
        </w:trPr>
        <w:tc>
          <w:tcPr>
            <w:tcW w:w="0" w:type="auto"/>
            <w:vAlign w:val="center"/>
            <w:hideMark/>
          </w:tcPr>
          <w:p w14:paraId="66CF0357" w14:textId="77777777" w:rsidR="009E5590" w:rsidRPr="009E5590" w:rsidRDefault="009E5590" w:rsidP="009E5590">
            <w:pPr>
              <w:rPr>
                <w:b/>
                <w:bCs/>
              </w:rPr>
            </w:pPr>
            <w:r w:rsidRPr="009E5590">
              <w:rPr>
                <w:b/>
                <w:bCs/>
              </w:rPr>
              <w:t>Model</w:t>
            </w:r>
          </w:p>
        </w:tc>
        <w:tc>
          <w:tcPr>
            <w:tcW w:w="0" w:type="auto"/>
            <w:vAlign w:val="center"/>
            <w:hideMark/>
          </w:tcPr>
          <w:p w14:paraId="2EC01CEA" w14:textId="77777777" w:rsidR="009E5590" w:rsidRPr="009E5590" w:rsidRDefault="009E5590" w:rsidP="009E5590">
            <w:pPr>
              <w:rPr>
                <w:b/>
                <w:bCs/>
              </w:rPr>
            </w:pPr>
            <w:r w:rsidRPr="009E5590">
              <w:rPr>
                <w:b/>
                <w:bCs/>
              </w:rPr>
              <w:t>Average Daily Loss</w:t>
            </w:r>
          </w:p>
        </w:tc>
        <w:tc>
          <w:tcPr>
            <w:tcW w:w="0" w:type="auto"/>
            <w:vAlign w:val="center"/>
            <w:hideMark/>
          </w:tcPr>
          <w:p w14:paraId="1B21FD99" w14:textId="77777777" w:rsidR="009E5590" w:rsidRPr="009E5590" w:rsidRDefault="009E5590" w:rsidP="009E5590">
            <w:pPr>
              <w:rPr>
                <w:b/>
                <w:bCs/>
              </w:rPr>
            </w:pPr>
            <w:r w:rsidRPr="009E5590">
              <w:rPr>
                <w:b/>
                <w:bCs/>
              </w:rPr>
              <w:t>Annualized Loss ($1B Portfolio)</w:t>
            </w:r>
          </w:p>
        </w:tc>
        <w:tc>
          <w:tcPr>
            <w:tcW w:w="0" w:type="auto"/>
            <w:vAlign w:val="center"/>
            <w:hideMark/>
          </w:tcPr>
          <w:p w14:paraId="020AA017" w14:textId="77777777" w:rsidR="009E5590" w:rsidRPr="009E5590" w:rsidRDefault="009E5590" w:rsidP="009E5590">
            <w:pPr>
              <w:rPr>
                <w:b/>
                <w:bCs/>
              </w:rPr>
            </w:pPr>
            <w:r w:rsidRPr="009E5590">
              <w:rPr>
                <w:b/>
                <w:bCs/>
              </w:rPr>
              <w:t>Relative Performance</w:t>
            </w:r>
          </w:p>
        </w:tc>
      </w:tr>
      <w:tr w:rsidR="009E5590" w:rsidRPr="009E5590" w14:paraId="6B2A8F5E" w14:textId="77777777">
        <w:trPr>
          <w:tblCellSpacing w:w="15" w:type="dxa"/>
        </w:trPr>
        <w:tc>
          <w:tcPr>
            <w:tcW w:w="0" w:type="auto"/>
            <w:vAlign w:val="center"/>
            <w:hideMark/>
          </w:tcPr>
          <w:p w14:paraId="2916A183" w14:textId="77777777" w:rsidR="009E5590" w:rsidRPr="009E5590" w:rsidRDefault="009E5590" w:rsidP="009E5590">
            <w:r w:rsidRPr="009E5590">
              <w:rPr>
                <w:b/>
                <w:bCs/>
              </w:rPr>
              <w:t>CGARCH (t-dist)</w:t>
            </w:r>
          </w:p>
        </w:tc>
        <w:tc>
          <w:tcPr>
            <w:tcW w:w="0" w:type="auto"/>
            <w:vAlign w:val="center"/>
            <w:hideMark/>
          </w:tcPr>
          <w:p w14:paraId="643ED882" w14:textId="77777777" w:rsidR="009E5590" w:rsidRPr="009E5590" w:rsidRDefault="009E5590" w:rsidP="009E5590">
            <w:r w:rsidRPr="009E5590">
              <w:rPr>
                <w:b/>
                <w:bCs/>
              </w:rPr>
              <w:t>0.0089</w:t>
            </w:r>
          </w:p>
        </w:tc>
        <w:tc>
          <w:tcPr>
            <w:tcW w:w="0" w:type="auto"/>
            <w:vAlign w:val="center"/>
            <w:hideMark/>
          </w:tcPr>
          <w:p w14:paraId="5A04DCB9" w14:textId="77777777" w:rsidR="009E5590" w:rsidRPr="009E5590" w:rsidRDefault="009E5590" w:rsidP="009E5590">
            <w:r w:rsidRPr="009E5590">
              <w:rPr>
                <w:b/>
                <w:bCs/>
              </w:rPr>
              <w:t>$2.24M</w:t>
            </w:r>
          </w:p>
        </w:tc>
        <w:tc>
          <w:tcPr>
            <w:tcW w:w="0" w:type="auto"/>
            <w:vAlign w:val="center"/>
            <w:hideMark/>
          </w:tcPr>
          <w:p w14:paraId="07949BD3" w14:textId="77777777" w:rsidR="009E5590" w:rsidRPr="009E5590" w:rsidRDefault="009E5590" w:rsidP="009E5590">
            <w:r w:rsidRPr="009E5590">
              <w:rPr>
                <w:b/>
                <w:bCs/>
              </w:rPr>
              <w:t>Best</w:t>
            </w:r>
          </w:p>
        </w:tc>
      </w:tr>
      <w:tr w:rsidR="009E5590" w:rsidRPr="009E5590" w14:paraId="4435BBEF" w14:textId="77777777">
        <w:trPr>
          <w:tblCellSpacing w:w="15" w:type="dxa"/>
        </w:trPr>
        <w:tc>
          <w:tcPr>
            <w:tcW w:w="0" w:type="auto"/>
            <w:vAlign w:val="center"/>
            <w:hideMark/>
          </w:tcPr>
          <w:p w14:paraId="5ACAFF4F" w14:textId="77777777" w:rsidR="009E5590" w:rsidRPr="009E5590" w:rsidRDefault="009E5590" w:rsidP="009E5590">
            <w:r w:rsidRPr="009E5590">
              <w:t>Standard GARCH (t-dist)</w:t>
            </w:r>
          </w:p>
        </w:tc>
        <w:tc>
          <w:tcPr>
            <w:tcW w:w="0" w:type="auto"/>
            <w:vAlign w:val="center"/>
            <w:hideMark/>
          </w:tcPr>
          <w:p w14:paraId="38B164C6" w14:textId="77777777" w:rsidR="009E5590" w:rsidRPr="009E5590" w:rsidRDefault="009E5590" w:rsidP="009E5590">
            <w:r w:rsidRPr="009E5590">
              <w:t>0.0127</w:t>
            </w:r>
          </w:p>
        </w:tc>
        <w:tc>
          <w:tcPr>
            <w:tcW w:w="0" w:type="auto"/>
            <w:vAlign w:val="center"/>
            <w:hideMark/>
          </w:tcPr>
          <w:p w14:paraId="0873C910" w14:textId="77777777" w:rsidR="009E5590" w:rsidRPr="009E5590" w:rsidRDefault="009E5590" w:rsidP="009E5590">
            <w:r w:rsidRPr="009E5590">
              <w:t>$3.20M</w:t>
            </w:r>
          </w:p>
        </w:tc>
        <w:tc>
          <w:tcPr>
            <w:tcW w:w="0" w:type="auto"/>
            <w:vAlign w:val="center"/>
            <w:hideMark/>
          </w:tcPr>
          <w:p w14:paraId="5CF52914" w14:textId="77777777" w:rsidR="009E5590" w:rsidRPr="009E5590" w:rsidRDefault="009E5590" w:rsidP="009E5590">
            <w:r w:rsidRPr="009E5590">
              <w:t>+42.7% worse</w:t>
            </w:r>
          </w:p>
        </w:tc>
      </w:tr>
      <w:tr w:rsidR="009E5590" w:rsidRPr="009E5590" w14:paraId="58801395" w14:textId="77777777">
        <w:trPr>
          <w:tblCellSpacing w:w="15" w:type="dxa"/>
        </w:trPr>
        <w:tc>
          <w:tcPr>
            <w:tcW w:w="0" w:type="auto"/>
            <w:vAlign w:val="center"/>
            <w:hideMark/>
          </w:tcPr>
          <w:p w14:paraId="5C77873B" w14:textId="77777777" w:rsidR="009E5590" w:rsidRPr="009E5590" w:rsidRDefault="009E5590" w:rsidP="009E5590">
            <w:r w:rsidRPr="009E5590">
              <w:t>CGARCH (Normal)</w:t>
            </w:r>
          </w:p>
        </w:tc>
        <w:tc>
          <w:tcPr>
            <w:tcW w:w="0" w:type="auto"/>
            <w:vAlign w:val="center"/>
            <w:hideMark/>
          </w:tcPr>
          <w:p w14:paraId="708BC03E" w14:textId="77777777" w:rsidR="009E5590" w:rsidRPr="009E5590" w:rsidRDefault="009E5590" w:rsidP="009E5590">
            <w:r w:rsidRPr="009E5590">
              <w:t>0.0245</w:t>
            </w:r>
          </w:p>
        </w:tc>
        <w:tc>
          <w:tcPr>
            <w:tcW w:w="0" w:type="auto"/>
            <w:vAlign w:val="center"/>
            <w:hideMark/>
          </w:tcPr>
          <w:p w14:paraId="3C5AF43F" w14:textId="77777777" w:rsidR="009E5590" w:rsidRPr="009E5590" w:rsidRDefault="009E5590" w:rsidP="009E5590">
            <w:r w:rsidRPr="009E5590">
              <w:t>$6.17M</w:t>
            </w:r>
          </w:p>
        </w:tc>
        <w:tc>
          <w:tcPr>
            <w:tcW w:w="0" w:type="auto"/>
            <w:vAlign w:val="center"/>
            <w:hideMark/>
          </w:tcPr>
          <w:p w14:paraId="0858FA1E" w14:textId="77777777" w:rsidR="009E5590" w:rsidRPr="009E5590" w:rsidRDefault="009E5590" w:rsidP="009E5590">
            <w:r w:rsidRPr="009E5590">
              <w:t>+175% worse</w:t>
            </w:r>
          </w:p>
        </w:tc>
      </w:tr>
      <w:tr w:rsidR="009E5590" w:rsidRPr="009E5590" w14:paraId="11706FC3" w14:textId="77777777">
        <w:trPr>
          <w:tblCellSpacing w:w="15" w:type="dxa"/>
        </w:trPr>
        <w:tc>
          <w:tcPr>
            <w:tcW w:w="0" w:type="auto"/>
            <w:vAlign w:val="center"/>
            <w:hideMark/>
          </w:tcPr>
          <w:p w14:paraId="447C2E4B" w14:textId="77777777" w:rsidR="009E5590" w:rsidRPr="009E5590" w:rsidRDefault="009E5590" w:rsidP="009E5590">
            <w:r w:rsidRPr="009E5590">
              <w:t>Standard GARCH (Normal)</w:t>
            </w:r>
          </w:p>
        </w:tc>
        <w:tc>
          <w:tcPr>
            <w:tcW w:w="0" w:type="auto"/>
            <w:vAlign w:val="center"/>
            <w:hideMark/>
          </w:tcPr>
          <w:p w14:paraId="6B08D40D" w14:textId="77777777" w:rsidR="009E5590" w:rsidRPr="009E5590" w:rsidRDefault="009E5590" w:rsidP="009E5590">
            <w:r w:rsidRPr="009E5590">
              <w:t>0.0268</w:t>
            </w:r>
          </w:p>
        </w:tc>
        <w:tc>
          <w:tcPr>
            <w:tcW w:w="0" w:type="auto"/>
            <w:vAlign w:val="center"/>
            <w:hideMark/>
          </w:tcPr>
          <w:p w14:paraId="4CBBEAA3" w14:textId="77777777" w:rsidR="009E5590" w:rsidRPr="009E5590" w:rsidRDefault="009E5590" w:rsidP="009E5590">
            <w:r w:rsidRPr="009E5590">
              <w:t>$6.75M</w:t>
            </w:r>
          </w:p>
        </w:tc>
        <w:tc>
          <w:tcPr>
            <w:tcW w:w="0" w:type="auto"/>
            <w:vAlign w:val="center"/>
            <w:hideMark/>
          </w:tcPr>
          <w:p w14:paraId="6025490D" w14:textId="77777777" w:rsidR="009E5590" w:rsidRPr="009E5590" w:rsidRDefault="009E5590" w:rsidP="009E5590">
            <w:r w:rsidRPr="009E5590">
              <w:t>+201% worse</w:t>
            </w:r>
          </w:p>
        </w:tc>
      </w:tr>
    </w:tbl>
    <w:p w14:paraId="217C3EDE" w14:textId="77777777" w:rsidR="009E5590" w:rsidRPr="009E5590" w:rsidRDefault="009E5590" w:rsidP="009E5590">
      <w:r w:rsidRPr="009E5590">
        <w:rPr>
          <w:b/>
          <w:bCs/>
        </w:rPr>
        <w:t>Economic Conclusion:</w:t>
      </w:r>
      <w:r w:rsidRPr="009E5590">
        <w:t xml:space="preserve"> CGARCH-t saves $960K annually compared to Standard GARCH-t for a $1B portfolio.</w:t>
      </w:r>
    </w:p>
    <w:p w14:paraId="368498E0" w14:textId="77777777" w:rsidR="009E5590" w:rsidRPr="009E5590" w:rsidRDefault="009E5590" w:rsidP="009E5590">
      <w:r w:rsidRPr="009E5590">
        <w:pict w14:anchorId="5FC1BB78">
          <v:rect id="_x0000_i1128" style="width:0;height:1.5pt" o:hralign="center" o:hrstd="t" o:hr="t" fillcolor="#a0a0a0" stroked="f"/>
        </w:pict>
      </w:r>
    </w:p>
    <w:p w14:paraId="17E99521" w14:textId="77777777" w:rsidR="009E5590" w:rsidRPr="009E5590" w:rsidRDefault="009E5590" w:rsidP="009E5590">
      <w:pPr>
        <w:rPr>
          <w:b/>
          <w:bCs/>
        </w:rPr>
      </w:pPr>
      <w:r w:rsidRPr="009E5590">
        <w:rPr>
          <w:b/>
          <w:bCs/>
        </w:rPr>
        <w:t>4. NEW: Enhanced Crisis Period Analysis</w:t>
      </w:r>
    </w:p>
    <w:p w14:paraId="770ADEF6" w14:textId="77777777" w:rsidR="009E5590" w:rsidRPr="009E5590" w:rsidRDefault="009E5590" w:rsidP="009E5590">
      <w:pPr>
        <w:rPr>
          <w:b/>
          <w:bCs/>
        </w:rPr>
      </w:pPr>
      <w:r w:rsidRPr="009E5590">
        <w:rPr>
          <w:b/>
          <w:bCs/>
        </w:rPr>
        <w:t>4.1 Sub-Period Performance Analysis</w:t>
      </w:r>
    </w:p>
    <w:p w14:paraId="77188A9C" w14:textId="77777777" w:rsidR="009E5590" w:rsidRPr="009E5590" w:rsidRDefault="009E5590" w:rsidP="009E5590">
      <w:r w:rsidRPr="009E5590">
        <w:rPr>
          <w:b/>
          <w:bCs/>
        </w:rPr>
        <w:t>Pre-COVID Period (2010-2019): 2,512 observations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4"/>
        <w:gridCol w:w="890"/>
        <w:gridCol w:w="614"/>
        <w:gridCol w:w="1404"/>
        <w:gridCol w:w="1391"/>
      </w:tblGrid>
      <w:tr w:rsidR="009E5590" w:rsidRPr="009E5590" w14:paraId="6B9E2A4C" w14:textId="77777777">
        <w:trPr>
          <w:tblHeader/>
          <w:tblCellSpacing w:w="15" w:type="dxa"/>
        </w:trPr>
        <w:tc>
          <w:tcPr>
            <w:tcW w:w="0" w:type="auto"/>
            <w:vAlign w:val="center"/>
            <w:hideMark/>
          </w:tcPr>
          <w:p w14:paraId="038A7DA2" w14:textId="77777777" w:rsidR="009E5590" w:rsidRPr="009E5590" w:rsidRDefault="009E5590" w:rsidP="009E5590">
            <w:pPr>
              <w:rPr>
                <w:b/>
                <w:bCs/>
              </w:rPr>
            </w:pPr>
            <w:r w:rsidRPr="009E5590">
              <w:rPr>
                <w:b/>
                <w:bCs/>
              </w:rPr>
              <w:t>Model</w:t>
            </w:r>
          </w:p>
        </w:tc>
        <w:tc>
          <w:tcPr>
            <w:tcW w:w="0" w:type="auto"/>
            <w:vAlign w:val="center"/>
            <w:hideMark/>
          </w:tcPr>
          <w:p w14:paraId="7302662C" w14:textId="77777777" w:rsidR="009E5590" w:rsidRPr="009E5590" w:rsidRDefault="009E5590" w:rsidP="009E5590">
            <w:pPr>
              <w:rPr>
                <w:b/>
                <w:bCs/>
              </w:rPr>
            </w:pPr>
            <w:r w:rsidRPr="009E5590">
              <w:rPr>
                <w:b/>
                <w:bCs/>
              </w:rPr>
              <w:t>Breaches</w:t>
            </w:r>
          </w:p>
        </w:tc>
        <w:tc>
          <w:tcPr>
            <w:tcW w:w="0" w:type="auto"/>
            <w:vAlign w:val="center"/>
            <w:hideMark/>
          </w:tcPr>
          <w:p w14:paraId="3E169A46" w14:textId="77777777" w:rsidR="009E5590" w:rsidRPr="009E5590" w:rsidRDefault="009E5590" w:rsidP="009E5590">
            <w:pPr>
              <w:rPr>
                <w:b/>
                <w:bCs/>
              </w:rPr>
            </w:pPr>
            <w:r w:rsidRPr="009E5590">
              <w:rPr>
                <w:b/>
                <w:bCs/>
              </w:rPr>
              <w:t>Rate</w:t>
            </w:r>
          </w:p>
        </w:tc>
        <w:tc>
          <w:tcPr>
            <w:tcW w:w="0" w:type="auto"/>
            <w:vAlign w:val="center"/>
            <w:hideMark/>
          </w:tcPr>
          <w:p w14:paraId="042945AD" w14:textId="77777777" w:rsidR="009E5590" w:rsidRPr="009E5590" w:rsidRDefault="009E5590" w:rsidP="009E5590">
            <w:pPr>
              <w:rPr>
                <w:b/>
                <w:bCs/>
              </w:rPr>
            </w:pPr>
            <w:r w:rsidRPr="009E5590">
              <w:rPr>
                <w:b/>
                <w:bCs/>
              </w:rPr>
              <w:t>Kupiec p-value</w:t>
            </w:r>
          </w:p>
        </w:tc>
        <w:tc>
          <w:tcPr>
            <w:tcW w:w="0" w:type="auto"/>
            <w:vAlign w:val="center"/>
            <w:hideMark/>
          </w:tcPr>
          <w:p w14:paraId="3E62B3F2" w14:textId="77777777" w:rsidR="009E5590" w:rsidRPr="009E5590" w:rsidRDefault="009E5590" w:rsidP="009E5590">
            <w:pPr>
              <w:rPr>
                <w:b/>
                <w:bCs/>
              </w:rPr>
            </w:pPr>
            <w:r w:rsidRPr="009E5590">
              <w:rPr>
                <w:b/>
                <w:bCs/>
              </w:rPr>
              <w:t>Economic Loss</w:t>
            </w:r>
          </w:p>
        </w:tc>
      </w:tr>
      <w:tr w:rsidR="009E5590" w:rsidRPr="009E5590" w14:paraId="2465FA86" w14:textId="77777777">
        <w:trPr>
          <w:tblCellSpacing w:w="15" w:type="dxa"/>
        </w:trPr>
        <w:tc>
          <w:tcPr>
            <w:tcW w:w="0" w:type="auto"/>
            <w:vAlign w:val="center"/>
            <w:hideMark/>
          </w:tcPr>
          <w:p w14:paraId="2DC98837" w14:textId="77777777" w:rsidR="009E5590" w:rsidRPr="009E5590" w:rsidRDefault="009E5590" w:rsidP="009E5590">
            <w:r w:rsidRPr="009E5590">
              <w:rPr>
                <w:b/>
                <w:bCs/>
              </w:rPr>
              <w:t>CGARCH (t-dist)</w:t>
            </w:r>
          </w:p>
        </w:tc>
        <w:tc>
          <w:tcPr>
            <w:tcW w:w="0" w:type="auto"/>
            <w:vAlign w:val="center"/>
            <w:hideMark/>
          </w:tcPr>
          <w:p w14:paraId="277B8152" w14:textId="77777777" w:rsidR="009E5590" w:rsidRPr="009E5590" w:rsidRDefault="009E5590" w:rsidP="009E5590">
            <w:r w:rsidRPr="009E5590">
              <w:rPr>
                <w:b/>
                <w:bCs/>
              </w:rPr>
              <w:t>21</w:t>
            </w:r>
          </w:p>
        </w:tc>
        <w:tc>
          <w:tcPr>
            <w:tcW w:w="0" w:type="auto"/>
            <w:vAlign w:val="center"/>
            <w:hideMark/>
          </w:tcPr>
          <w:p w14:paraId="481CEA60" w14:textId="77777777" w:rsidR="009E5590" w:rsidRPr="009E5590" w:rsidRDefault="009E5590" w:rsidP="009E5590">
            <w:r w:rsidRPr="009E5590">
              <w:rPr>
                <w:b/>
                <w:bCs/>
              </w:rPr>
              <w:t>0.84%</w:t>
            </w:r>
          </w:p>
        </w:tc>
        <w:tc>
          <w:tcPr>
            <w:tcW w:w="0" w:type="auto"/>
            <w:vAlign w:val="center"/>
            <w:hideMark/>
          </w:tcPr>
          <w:p w14:paraId="18583893" w14:textId="77777777" w:rsidR="009E5590" w:rsidRPr="009E5590" w:rsidRDefault="009E5590" w:rsidP="009E5590">
            <w:r w:rsidRPr="009E5590">
              <w:rPr>
                <w:b/>
                <w:bCs/>
              </w:rPr>
              <w:t>0.4234</w:t>
            </w:r>
            <w:r w:rsidRPr="009E5590">
              <w:t xml:space="preserve"> </w:t>
            </w:r>
            <w:r w:rsidRPr="009E5590">
              <w:rPr>
                <w:rFonts w:ascii="Segoe UI Emoji" w:hAnsi="Segoe UI Emoji" w:cs="Segoe UI Emoji"/>
              </w:rPr>
              <w:t>✅</w:t>
            </w:r>
          </w:p>
        </w:tc>
        <w:tc>
          <w:tcPr>
            <w:tcW w:w="0" w:type="auto"/>
            <w:vAlign w:val="center"/>
            <w:hideMark/>
          </w:tcPr>
          <w:p w14:paraId="0B7F0EC3" w14:textId="77777777" w:rsidR="009E5590" w:rsidRPr="009E5590" w:rsidRDefault="009E5590" w:rsidP="009E5590">
            <w:r w:rsidRPr="009E5590">
              <w:rPr>
                <w:b/>
                <w:bCs/>
              </w:rPr>
              <w:t>0.0067</w:t>
            </w:r>
          </w:p>
        </w:tc>
      </w:tr>
      <w:tr w:rsidR="009E5590" w:rsidRPr="009E5590" w14:paraId="5E9E524B" w14:textId="77777777">
        <w:trPr>
          <w:tblCellSpacing w:w="15" w:type="dxa"/>
        </w:trPr>
        <w:tc>
          <w:tcPr>
            <w:tcW w:w="0" w:type="auto"/>
            <w:vAlign w:val="center"/>
            <w:hideMark/>
          </w:tcPr>
          <w:p w14:paraId="7748BC8B" w14:textId="77777777" w:rsidR="009E5590" w:rsidRPr="009E5590" w:rsidRDefault="009E5590" w:rsidP="009E5590">
            <w:r w:rsidRPr="009E5590">
              <w:t>Standard GARCH (t-dist)</w:t>
            </w:r>
          </w:p>
        </w:tc>
        <w:tc>
          <w:tcPr>
            <w:tcW w:w="0" w:type="auto"/>
            <w:vAlign w:val="center"/>
            <w:hideMark/>
          </w:tcPr>
          <w:p w14:paraId="3C7626D8" w14:textId="77777777" w:rsidR="009E5590" w:rsidRPr="009E5590" w:rsidRDefault="009E5590" w:rsidP="009E5590">
            <w:r w:rsidRPr="009E5590">
              <w:t>26</w:t>
            </w:r>
          </w:p>
        </w:tc>
        <w:tc>
          <w:tcPr>
            <w:tcW w:w="0" w:type="auto"/>
            <w:vAlign w:val="center"/>
            <w:hideMark/>
          </w:tcPr>
          <w:p w14:paraId="1BBCFA2C" w14:textId="77777777" w:rsidR="009E5590" w:rsidRPr="009E5590" w:rsidRDefault="009E5590" w:rsidP="009E5590">
            <w:r w:rsidRPr="009E5590">
              <w:t>1.03%</w:t>
            </w:r>
          </w:p>
        </w:tc>
        <w:tc>
          <w:tcPr>
            <w:tcW w:w="0" w:type="auto"/>
            <w:vAlign w:val="center"/>
            <w:hideMark/>
          </w:tcPr>
          <w:p w14:paraId="3BD62B53" w14:textId="77777777" w:rsidR="009E5590" w:rsidRPr="009E5590" w:rsidRDefault="009E5590" w:rsidP="009E5590">
            <w:r w:rsidRPr="009E5590">
              <w:t xml:space="preserve">0.8901 </w:t>
            </w:r>
            <w:r w:rsidRPr="009E5590">
              <w:rPr>
                <w:rFonts w:ascii="Segoe UI Emoji" w:hAnsi="Segoe UI Emoji" w:cs="Segoe UI Emoji"/>
              </w:rPr>
              <w:t>✅</w:t>
            </w:r>
          </w:p>
        </w:tc>
        <w:tc>
          <w:tcPr>
            <w:tcW w:w="0" w:type="auto"/>
            <w:vAlign w:val="center"/>
            <w:hideMark/>
          </w:tcPr>
          <w:p w14:paraId="2248D19E" w14:textId="77777777" w:rsidR="009E5590" w:rsidRPr="009E5590" w:rsidRDefault="009E5590" w:rsidP="009E5590">
            <w:r w:rsidRPr="009E5590">
              <w:t>0.0089</w:t>
            </w:r>
          </w:p>
        </w:tc>
      </w:tr>
    </w:tbl>
    <w:p w14:paraId="7AC7F46A" w14:textId="77777777" w:rsidR="009E5590" w:rsidRPr="009E5590" w:rsidRDefault="009E5590" w:rsidP="009E5590">
      <w:r w:rsidRPr="009E5590">
        <w:rPr>
          <w:b/>
          <w:bCs/>
        </w:rPr>
        <w:t>COVID-Era Period (2020-2022): 782 observations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4"/>
        <w:gridCol w:w="890"/>
        <w:gridCol w:w="614"/>
        <w:gridCol w:w="1404"/>
        <w:gridCol w:w="1391"/>
      </w:tblGrid>
      <w:tr w:rsidR="009E5590" w:rsidRPr="009E5590" w14:paraId="13918B3F" w14:textId="77777777">
        <w:trPr>
          <w:tblHeader/>
          <w:tblCellSpacing w:w="15" w:type="dxa"/>
        </w:trPr>
        <w:tc>
          <w:tcPr>
            <w:tcW w:w="0" w:type="auto"/>
            <w:vAlign w:val="center"/>
            <w:hideMark/>
          </w:tcPr>
          <w:p w14:paraId="63F8794C" w14:textId="77777777" w:rsidR="009E5590" w:rsidRPr="009E5590" w:rsidRDefault="009E5590" w:rsidP="009E5590">
            <w:pPr>
              <w:rPr>
                <w:b/>
                <w:bCs/>
              </w:rPr>
            </w:pPr>
            <w:r w:rsidRPr="009E5590">
              <w:rPr>
                <w:b/>
                <w:bCs/>
              </w:rPr>
              <w:t>Model</w:t>
            </w:r>
          </w:p>
        </w:tc>
        <w:tc>
          <w:tcPr>
            <w:tcW w:w="0" w:type="auto"/>
            <w:vAlign w:val="center"/>
            <w:hideMark/>
          </w:tcPr>
          <w:p w14:paraId="4E523CF0" w14:textId="77777777" w:rsidR="009E5590" w:rsidRPr="009E5590" w:rsidRDefault="009E5590" w:rsidP="009E5590">
            <w:pPr>
              <w:rPr>
                <w:b/>
                <w:bCs/>
              </w:rPr>
            </w:pPr>
            <w:r w:rsidRPr="009E5590">
              <w:rPr>
                <w:b/>
                <w:bCs/>
              </w:rPr>
              <w:t>Breaches</w:t>
            </w:r>
          </w:p>
        </w:tc>
        <w:tc>
          <w:tcPr>
            <w:tcW w:w="0" w:type="auto"/>
            <w:vAlign w:val="center"/>
            <w:hideMark/>
          </w:tcPr>
          <w:p w14:paraId="43F8A558" w14:textId="77777777" w:rsidR="009E5590" w:rsidRPr="009E5590" w:rsidRDefault="009E5590" w:rsidP="009E5590">
            <w:pPr>
              <w:rPr>
                <w:b/>
                <w:bCs/>
              </w:rPr>
            </w:pPr>
            <w:r w:rsidRPr="009E5590">
              <w:rPr>
                <w:b/>
                <w:bCs/>
              </w:rPr>
              <w:t>Rate</w:t>
            </w:r>
          </w:p>
        </w:tc>
        <w:tc>
          <w:tcPr>
            <w:tcW w:w="0" w:type="auto"/>
            <w:vAlign w:val="center"/>
            <w:hideMark/>
          </w:tcPr>
          <w:p w14:paraId="34EBF8DC" w14:textId="77777777" w:rsidR="009E5590" w:rsidRPr="009E5590" w:rsidRDefault="009E5590" w:rsidP="009E5590">
            <w:pPr>
              <w:rPr>
                <w:b/>
                <w:bCs/>
              </w:rPr>
            </w:pPr>
            <w:r w:rsidRPr="009E5590">
              <w:rPr>
                <w:b/>
                <w:bCs/>
              </w:rPr>
              <w:t>Kupiec p-value</w:t>
            </w:r>
          </w:p>
        </w:tc>
        <w:tc>
          <w:tcPr>
            <w:tcW w:w="0" w:type="auto"/>
            <w:vAlign w:val="center"/>
            <w:hideMark/>
          </w:tcPr>
          <w:p w14:paraId="5BB6EC3B" w14:textId="77777777" w:rsidR="009E5590" w:rsidRPr="009E5590" w:rsidRDefault="009E5590" w:rsidP="009E5590">
            <w:pPr>
              <w:rPr>
                <w:b/>
                <w:bCs/>
              </w:rPr>
            </w:pPr>
            <w:r w:rsidRPr="009E5590">
              <w:rPr>
                <w:b/>
                <w:bCs/>
              </w:rPr>
              <w:t>Economic Loss</w:t>
            </w:r>
          </w:p>
        </w:tc>
      </w:tr>
      <w:tr w:rsidR="009E5590" w:rsidRPr="009E5590" w14:paraId="1B99D1DE" w14:textId="77777777">
        <w:trPr>
          <w:tblCellSpacing w:w="15" w:type="dxa"/>
        </w:trPr>
        <w:tc>
          <w:tcPr>
            <w:tcW w:w="0" w:type="auto"/>
            <w:vAlign w:val="center"/>
            <w:hideMark/>
          </w:tcPr>
          <w:p w14:paraId="5197B45F" w14:textId="77777777" w:rsidR="009E5590" w:rsidRPr="009E5590" w:rsidRDefault="009E5590" w:rsidP="009E5590">
            <w:r w:rsidRPr="009E5590">
              <w:rPr>
                <w:b/>
                <w:bCs/>
              </w:rPr>
              <w:t>CGARCH (t-dist)</w:t>
            </w:r>
          </w:p>
        </w:tc>
        <w:tc>
          <w:tcPr>
            <w:tcW w:w="0" w:type="auto"/>
            <w:vAlign w:val="center"/>
            <w:hideMark/>
          </w:tcPr>
          <w:p w14:paraId="43EF7B1A" w14:textId="77777777" w:rsidR="009E5590" w:rsidRPr="009E5590" w:rsidRDefault="009E5590" w:rsidP="009E5590">
            <w:r w:rsidRPr="009E5590">
              <w:rPr>
                <w:b/>
                <w:bCs/>
              </w:rPr>
              <w:t>11</w:t>
            </w:r>
          </w:p>
        </w:tc>
        <w:tc>
          <w:tcPr>
            <w:tcW w:w="0" w:type="auto"/>
            <w:vAlign w:val="center"/>
            <w:hideMark/>
          </w:tcPr>
          <w:p w14:paraId="55525F13" w14:textId="77777777" w:rsidR="009E5590" w:rsidRPr="009E5590" w:rsidRDefault="009E5590" w:rsidP="009E5590">
            <w:r w:rsidRPr="009E5590">
              <w:rPr>
                <w:b/>
                <w:bCs/>
              </w:rPr>
              <w:t>1.41%</w:t>
            </w:r>
          </w:p>
        </w:tc>
        <w:tc>
          <w:tcPr>
            <w:tcW w:w="0" w:type="auto"/>
            <w:vAlign w:val="center"/>
            <w:hideMark/>
          </w:tcPr>
          <w:p w14:paraId="54163272" w14:textId="77777777" w:rsidR="009E5590" w:rsidRPr="009E5590" w:rsidRDefault="009E5590" w:rsidP="009E5590">
            <w:r w:rsidRPr="009E5590">
              <w:rPr>
                <w:b/>
                <w:bCs/>
              </w:rPr>
              <w:t>0.2567</w:t>
            </w:r>
            <w:r w:rsidRPr="009E5590">
              <w:t xml:space="preserve"> </w:t>
            </w:r>
            <w:r w:rsidRPr="009E5590">
              <w:rPr>
                <w:rFonts w:ascii="Segoe UI Emoji" w:hAnsi="Segoe UI Emoji" w:cs="Segoe UI Emoji"/>
              </w:rPr>
              <w:t>✅</w:t>
            </w:r>
          </w:p>
        </w:tc>
        <w:tc>
          <w:tcPr>
            <w:tcW w:w="0" w:type="auto"/>
            <w:vAlign w:val="center"/>
            <w:hideMark/>
          </w:tcPr>
          <w:p w14:paraId="729A1162" w14:textId="77777777" w:rsidR="009E5590" w:rsidRPr="009E5590" w:rsidRDefault="009E5590" w:rsidP="009E5590">
            <w:r w:rsidRPr="009E5590">
              <w:rPr>
                <w:b/>
                <w:bCs/>
              </w:rPr>
              <w:t>0.0134</w:t>
            </w:r>
          </w:p>
        </w:tc>
      </w:tr>
      <w:tr w:rsidR="009E5590" w:rsidRPr="009E5590" w14:paraId="451E0E9C" w14:textId="77777777">
        <w:trPr>
          <w:tblCellSpacing w:w="15" w:type="dxa"/>
        </w:trPr>
        <w:tc>
          <w:tcPr>
            <w:tcW w:w="0" w:type="auto"/>
            <w:vAlign w:val="center"/>
            <w:hideMark/>
          </w:tcPr>
          <w:p w14:paraId="7714EF76" w14:textId="77777777" w:rsidR="009E5590" w:rsidRPr="009E5590" w:rsidRDefault="009E5590" w:rsidP="009E5590">
            <w:r w:rsidRPr="009E5590">
              <w:t>Standard GARCH (t-dist)</w:t>
            </w:r>
          </w:p>
        </w:tc>
        <w:tc>
          <w:tcPr>
            <w:tcW w:w="0" w:type="auto"/>
            <w:vAlign w:val="center"/>
            <w:hideMark/>
          </w:tcPr>
          <w:p w14:paraId="79337C72" w14:textId="77777777" w:rsidR="009E5590" w:rsidRPr="009E5590" w:rsidRDefault="009E5590" w:rsidP="009E5590">
            <w:r w:rsidRPr="009E5590">
              <w:t>18</w:t>
            </w:r>
          </w:p>
        </w:tc>
        <w:tc>
          <w:tcPr>
            <w:tcW w:w="0" w:type="auto"/>
            <w:vAlign w:val="center"/>
            <w:hideMark/>
          </w:tcPr>
          <w:p w14:paraId="473A27E9" w14:textId="77777777" w:rsidR="009E5590" w:rsidRPr="009E5590" w:rsidRDefault="009E5590" w:rsidP="009E5590">
            <w:r w:rsidRPr="009E5590">
              <w:t>2.30%</w:t>
            </w:r>
          </w:p>
        </w:tc>
        <w:tc>
          <w:tcPr>
            <w:tcW w:w="0" w:type="auto"/>
            <w:vAlign w:val="center"/>
            <w:hideMark/>
          </w:tcPr>
          <w:p w14:paraId="1D19F149" w14:textId="77777777" w:rsidR="009E5590" w:rsidRPr="009E5590" w:rsidRDefault="009E5590" w:rsidP="009E5590">
            <w:r w:rsidRPr="009E5590">
              <w:t xml:space="preserve">0.0089 </w:t>
            </w:r>
            <w:r w:rsidRPr="009E5590">
              <w:rPr>
                <w:rFonts w:ascii="Segoe UI Emoji" w:hAnsi="Segoe UI Emoji" w:cs="Segoe UI Emoji"/>
              </w:rPr>
              <w:t>❌</w:t>
            </w:r>
          </w:p>
        </w:tc>
        <w:tc>
          <w:tcPr>
            <w:tcW w:w="0" w:type="auto"/>
            <w:vAlign w:val="center"/>
            <w:hideMark/>
          </w:tcPr>
          <w:p w14:paraId="074A369E" w14:textId="77777777" w:rsidR="009E5590" w:rsidRPr="009E5590" w:rsidRDefault="009E5590" w:rsidP="009E5590">
            <w:r w:rsidRPr="009E5590">
              <w:t>0.0267</w:t>
            </w:r>
          </w:p>
        </w:tc>
      </w:tr>
    </w:tbl>
    <w:p w14:paraId="2D234DE4" w14:textId="77777777" w:rsidR="009E5590" w:rsidRPr="009E5590" w:rsidRDefault="009E5590" w:rsidP="009E5590">
      <w:r w:rsidRPr="009E5590">
        <w:rPr>
          <w:b/>
          <w:bCs/>
        </w:rPr>
        <w:t>Post-COVID Period (2023-2025): 644 observations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4"/>
        <w:gridCol w:w="890"/>
        <w:gridCol w:w="614"/>
        <w:gridCol w:w="1404"/>
        <w:gridCol w:w="1391"/>
      </w:tblGrid>
      <w:tr w:rsidR="009E5590" w:rsidRPr="009E5590" w14:paraId="29E90FA2" w14:textId="77777777">
        <w:trPr>
          <w:tblHeader/>
          <w:tblCellSpacing w:w="15" w:type="dxa"/>
        </w:trPr>
        <w:tc>
          <w:tcPr>
            <w:tcW w:w="0" w:type="auto"/>
            <w:vAlign w:val="center"/>
            <w:hideMark/>
          </w:tcPr>
          <w:p w14:paraId="3E6FE7CA" w14:textId="77777777" w:rsidR="009E5590" w:rsidRPr="009E5590" w:rsidRDefault="009E5590" w:rsidP="009E5590">
            <w:pPr>
              <w:rPr>
                <w:b/>
                <w:bCs/>
              </w:rPr>
            </w:pPr>
            <w:r w:rsidRPr="009E5590">
              <w:rPr>
                <w:b/>
                <w:bCs/>
              </w:rPr>
              <w:t>Model</w:t>
            </w:r>
          </w:p>
        </w:tc>
        <w:tc>
          <w:tcPr>
            <w:tcW w:w="0" w:type="auto"/>
            <w:vAlign w:val="center"/>
            <w:hideMark/>
          </w:tcPr>
          <w:p w14:paraId="661C008E" w14:textId="77777777" w:rsidR="009E5590" w:rsidRPr="009E5590" w:rsidRDefault="009E5590" w:rsidP="009E5590">
            <w:pPr>
              <w:rPr>
                <w:b/>
                <w:bCs/>
              </w:rPr>
            </w:pPr>
            <w:r w:rsidRPr="009E5590">
              <w:rPr>
                <w:b/>
                <w:bCs/>
              </w:rPr>
              <w:t>Breaches</w:t>
            </w:r>
          </w:p>
        </w:tc>
        <w:tc>
          <w:tcPr>
            <w:tcW w:w="0" w:type="auto"/>
            <w:vAlign w:val="center"/>
            <w:hideMark/>
          </w:tcPr>
          <w:p w14:paraId="5B4E2F10" w14:textId="77777777" w:rsidR="009E5590" w:rsidRPr="009E5590" w:rsidRDefault="009E5590" w:rsidP="009E5590">
            <w:pPr>
              <w:rPr>
                <w:b/>
                <w:bCs/>
              </w:rPr>
            </w:pPr>
            <w:r w:rsidRPr="009E5590">
              <w:rPr>
                <w:b/>
                <w:bCs/>
              </w:rPr>
              <w:t>Rate</w:t>
            </w:r>
          </w:p>
        </w:tc>
        <w:tc>
          <w:tcPr>
            <w:tcW w:w="0" w:type="auto"/>
            <w:vAlign w:val="center"/>
            <w:hideMark/>
          </w:tcPr>
          <w:p w14:paraId="61704CBB" w14:textId="77777777" w:rsidR="009E5590" w:rsidRPr="009E5590" w:rsidRDefault="009E5590" w:rsidP="009E5590">
            <w:pPr>
              <w:rPr>
                <w:b/>
                <w:bCs/>
              </w:rPr>
            </w:pPr>
            <w:r w:rsidRPr="009E5590">
              <w:rPr>
                <w:b/>
                <w:bCs/>
              </w:rPr>
              <w:t>Kupiec p-value</w:t>
            </w:r>
          </w:p>
        </w:tc>
        <w:tc>
          <w:tcPr>
            <w:tcW w:w="0" w:type="auto"/>
            <w:vAlign w:val="center"/>
            <w:hideMark/>
          </w:tcPr>
          <w:p w14:paraId="2C3C8C8F" w14:textId="77777777" w:rsidR="009E5590" w:rsidRPr="009E5590" w:rsidRDefault="009E5590" w:rsidP="009E5590">
            <w:pPr>
              <w:rPr>
                <w:b/>
                <w:bCs/>
              </w:rPr>
            </w:pPr>
            <w:r w:rsidRPr="009E5590">
              <w:rPr>
                <w:b/>
                <w:bCs/>
              </w:rPr>
              <w:t>Economic Loss</w:t>
            </w:r>
          </w:p>
        </w:tc>
      </w:tr>
      <w:tr w:rsidR="009E5590" w:rsidRPr="009E5590" w14:paraId="6BCFBD7F" w14:textId="77777777">
        <w:trPr>
          <w:tblCellSpacing w:w="15" w:type="dxa"/>
        </w:trPr>
        <w:tc>
          <w:tcPr>
            <w:tcW w:w="0" w:type="auto"/>
            <w:vAlign w:val="center"/>
            <w:hideMark/>
          </w:tcPr>
          <w:p w14:paraId="6D0990D7" w14:textId="77777777" w:rsidR="009E5590" w:rsidRPr="009E5590" w:rsidRDefault="009E5590" w:rsidP="009E5590">
            <w:r w:rsidRPr="009E5590">
              <w:rPr>
                <w:b/>
                <w:bCs/>
              </w:rPr>
              <w:t>CGARCH (t-dist)</w:t>
            </w:r>
          </w:p>
        </w:tc>
        <w:tc>
          <w:tcPr>
            <w:tcW w:w="0" w:type="auto"/>
            <w:vAlign w:val="center"/>
            <w:hideMark/>
          </w:tcPr>
          <w:p w14:paraId="230683E4" w14:textId="77777777" w:rsidR="009E5590" w:rsidRPr="009E5590" w:rsidRDefault="009E5590" w:rsidP="009E5590">
            <w:r w:rsidRPr="009E5590">
              <w:rPr>
                <w:b/>
                <w:bCs/>
              </w:rPr>
              <w:t>7</w:t>
            </w:r>
          </w:p>
        </w:tc>
        <w:tc>
          <w:tcPr>
            <w:tcW w:w="0" w:type="auto"/>
            <w:vAlign w:val="center"/>
            <w:hideMark/>
          </w:tcPr>
          <w:p w14:paraId="4BFE7800" w14:textId="77777777" w:rsidR="009E5590" w:rsidRPr="009E5590" w:rsidRDefault="009E5590" w:rsidP="009E5590">
            <w:r w:rsidRPr="009E5590">
              <w:rPr>
                <w:b/>
                <w:bCs/>
              </w:rPr>
              <w:t>1.09%</w:t>
            </w:r>
          </w:p>
        </w:tc>
        <w:tc>
          <w:tcPr>
            <w:tcW w:w="0" w:type="auto"/>
            <w:vAlign w:val="center"/>
            <w:hideMark/>
          </w:tcPr>
          <w:p w14:paraId="7C4E7E59" w14:textId="77777777" w:rsidR="009E5590" w:rsidRPr="009E5590" w:rsidRDefault="009E5590" w:rsidP="009E5590">
            <w:r w:rsidRPr="009E5590">
              <w:rPr>
                <w:b/>
                <w:bCs/>
              </w:rPr>
              <w:t>0.8934</w:t>
            </w:r>
            <w:r w:rsidRPr="009E5590">
              <w:t xml:space="preserve"> </w:t>
            </w:r>
            <w:r w:rsidRPr="009E5590">
              <w:rPr>
                <w:rFonts w:ascii="Segoe UI Emoji" w:hAnsi="Segoe UI Emoji" w:cs="Segoe UI Emoji"/>
              </w:rPr>
              <w:t>✅</w:t>
            </w:r>
          </w:p>
        </w:tc>
        <w:tc>
          <w:tcPr>
            <w:tcW w:w="0" w:type="auto"/>
            <w:vAlign w:val="center"/>
            <w:hideMark/>
          </w:tcPr>
          <w:p w14:paraId="6A52212D" w14:textId="77777777" w:rsidR="009E5590" w:rsidRPr="009E5590" w:rsidRDefault="009E5590" w:rsidP="009E5590">
            <w:r w:rsidRPr="009E5590">
              <w:rPr>
                <w:b/>
                <w:bCs/>
              </w:rPr>
              <w:t>0.0078</w:t>
            </w:r>
          </w:p>
        </w:tc>
      </w:tr>
      <w:tr w:rsidR="009E5590" w:rsidRPr="009E5590" w14:paraId="47DB6D08" w14:textId="77777777">
        <w:trPr>
          <w:tblCellSpacing w:w="15" w:type="dxa"/>
        </w:trPr>
        <w:tc>
          <w:tcPr>
            <w:tcW w:w="0" w:type="auto"/>
            <w:vAlign w:val="center"/>
            <w:hideMark/>
          </w:tcPr>
          <w:p w14:paraId="1BA59E89" w14:textId="77777777" w:rsidR="009E5590" w:rsidRPr="009E5590" w:rsidRDefault="009E5590" w:rsidP="009E5590">
            <w:r w:rsidRPr="009E5590">
              <w:t>Standard GARCH (t-dist)</w:t>
            </w:r>
          </w:p>
        </w:tc>
        <w:tc>
          <w:tcPr>
            <w:tcW w:w="0" w:type="auto"/>
            <w:vAlign w:val="center"/>
            <w:hideMark/>
          </w:tcPr>
          <w:p w14:paraId="3BBFA8BD" w14:textId="77777777" w:rsidR="009E5590" w:rsidRPr="009E5590" w:rsidRDefault="009E5590" w:rsidP="009E5590">
            <w:r w:rsidRPr="009E5590">
              <w:t>12</w:t>
            </w:r>
          </w:p>
        </w:tc>
        <w:tc>
          <w:tcPr>
            <w:tcW w:w="0" w:type="auto"/>
            <w:vAlign w:val="center"/>
            <w:hideMark/>
          </w:tcPr>
          <w:p w14:paraId="42B932A0" w14:textId="77777777" w:rsidR="009E5590" w:rsidRPr="009E5590" w:rsidRDefault="009E5590" w:rsidP="009E5590">
            <w:r w:rsidRPr="009E5590">
              <w:t>1.86%</w:t>
            </w:r>
          </w:p>
        </w:tc>
        <w:tc>
          <w:tcPr>
            <w:tcW w:w="0" w:type="auto"/>
            <w:vAlign w:val="center"/>
            <w:hideMark/>
          </w:tcPr>
          <w:p w14:paraId="55D80767" w14:textId="77777777" w:rsidR="009E5590" w:rsidRPr="009E5590" w:rsidRDefault="009E5590" w:rsidP="009E5590">
            <w:r w:rsidRPr="009E5590">
              <w:t xml:space="preserve">0.0567 </w:t>
            </w:r>
            <w:r w:rsidRPr="009E5590">
              <w:rPr>
                <w:rFonts w:ascii="Segoe UI Emoji" w:hAnsi="Segoe UI Emoji" w:cs="Segoe UI Emoji"/>
              </w:rPr>
              <w:t>⚠️</w:t>
            </w:r>
          </w:p>
        </w:tc>
        <w:tc>
          <w:tcPr>
            <w:tcW w:w="0" w:type="auto"/>
            <w:vAlign w:val="center"/>
            <w:hideMark/>
          </w:tcPr>
          <w:p w14:paraId="5BA0EE1B" w14:textId="77777777" w:rsidR="009E5590" w:rsidRPr="009E5590" w:rsidRDefault="009E5590" w:rsidP="009E5590">
            <w:r w:rsidRPr="009E5590">
              <w:t>0.0156</w:t>
            </w:r>
          </w:p>
        </w:tc>
      </w:tr>
    </w:tbl>
    <w:p w14:paraId="47F2A2F9" w14:textId="77777777" w:rsidR="009E5590" w:rsidRPr="009E5590" w:rsidRDefault="009E5590" w:rsidP="009E5590">
      <w:r w:rsidRPr="009E5590">
        <w:rPr>
          <w:b/>
          <w:bCs/>
        </w:rPr>
        <w:t>Critical Crisis Insight:</w:t>
      </w:r>
      <w:r w:rsidRPr="009E5590">
        <w:t xml:space="preserve"> CGARCH maintains statistical validity even during the COVID volatility crisis, while Standard GARCH fails precisely when accurate risk measurement is most crucial.</w:t>
      </w:r>
    </w:p>
    <w:p w14:paraId="426306D8" w14:textId="77777777" w:rsidR="009E5590" w:rsidRPr="009E5590" w:rsidRDefault="009E5590" w:rsidP="009E5590">
      <w:pPr>
        <w:rPr>
          <w:b/>
          <w:bCs/>
        </w:rPr>
      </w:pPr>
      <w:r w:rsidRPr="009E5590">
        <w:rPr>
          <w:b/>
          <w:bCs/>
        </w:rPr>
        <w:t>4.2 NEW: Volatility Regime Analysis</w:t>
      </w:r>
    </w:p>
    <w:p w14:paraId="6C0A64E2" w14:textId="77777777" w:rsidR="009E5590" w:rsidRPr="009E5590" w:rsidRDefault="009E5590" w:rsidP="009E5590">
      <w:r w:rsidRPr="009E5590">
        <w:rPr>
          <w:b/>
          <w:bCs/>
        </w:rPr>
        <w:t>High Volatility Periods (Top 10% volatility days):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4"/>
        <w:gridCol w:w="2016"/>
        <w:gridCol w:w="1860"/>
        <w:gridCol w:w="2106"/>
      </w:tblGrid>
      <w:tr w:rsidR="009E5590" w:rsidRPr="009E5590" w14:paraId="4286091F" w14:textId="77777777">
        <w:trPr>
          <w:tblHeader/>
          <w:tblCellSpacing w:w="15" w:type="dxa"/>
        </w:trPr>
        <w:tc>
          <w:tcPr>
            <w:tcW w:w="0" w:type="auto"/>
            <w:vAlign w:val="center"/>
            <w:hideMark/>
          </w:tcPr>
          <w:p w14:paraId="65CD18D4" w14:textId="77777777" w:rsidR="009E5590" w:rsidRPr="009E5590" w:rsidRDefault="009E5590" w:rsidP="009E5590">
            <w:pPr>
              <w:rPr>
                <w:b/>
                <w:bCs/>
              </w:rPr>
            </w:pPr>
            <w:r w:rsidRPr="009E5590">
              <w:rPr>
                <w:b/>
                <w:bCs/>
              </w:rPr>
              <w:t>Model</w:t>
            </w:r>
          </w:p>
        </w:tc>
        <w:tc>
          <w:tcPr>
            <w:tcW w:w="0" w:type="auto"/>
            <w:vAlign w:val="center"/>
            <w:hideMark/>
          </w:tcPr>
          <w:p w14:paraId="083E580F" w14:textId="77777777" w:rsidR="009E5590" w:rsidRPr="009E5590" w:rsidRDefault="009E5590" w:rsidP="009E5590">
            <w:pPr>
              <w:rPr>
                <w:b/>
                <w:bCs/>
              </w:rPr>
            </w:pPr>
            <w:r w:rsidRPr="009E5590">
              <w:rPr>
                <w:b/>
                <w:bCs/>
              </w:rPr>
              <w:t>Conditional Coverage</w:t>
            </w:r>
          </w:p>
        </w:tc>
        <w:tc>
          <w:tcPr>
            <w:tcW w:w="0" w:type="auto"/>
            <w:vAlign w:val="center"/>
            <w:hideMark/>
          </w:tcPr>
          <w:p w14:paraId="5AC4DF29" w14:textId="77777777" w:rsidR="009E5590" w:rsidRPr="009E5590" w:rsidRDefault="009E5590" w:rsidP="009E5590">
            <w:pPr>
              <w:rPr>
                <w:b/>
                <w:bCs/>
              </w:rPr>
            </w:pPr>
            <w:r w:rsidRPr="009E5590">
              <w:rPr>
                <w:b/>
                <w:bCs/>
              </w:rPr>
              <w:t>Violation Clustering</w:t>
            </w:r>
          </w:p>
        </w:tc>
        <w:tc>
          <w:tcPr>
            <w:tcW w:w="0" w:type="auto"/>
            <w:vAlign w:val="center"/>
            <w:hideMark/>
          </w:tcPr>
          <w:p w14:paraId="4DB20C13" w14:textId="77777777" w:rsidR="009E5590" w:rsidRPr="009E5590" w:rsidRDefault="009E5590" w:rsidP="009E5590">
            <w:pPr>
              <w:rPr>
                <w:b/>
                <w:bCs/>
              </w:rPr>
            </w:pPr>
            <w:r w:rsidRPr="009E5590">
              <w:rPr>
                <w:b/>
                <w:bCs/>
              </w:rPr>
              <w:t>Average VaR Accuracy</w:t>
            </w:r>
          </w:p>
        </w:tc>
      </w:tr>
      <w:tr w:rsidR="009E5590" w:rsidRPr="009E5590" w14:paraId="737C68DD" w14:textId="77777777">
        <w:trPr>
          <w:tblCellSpacing w:w="15" w:type="dxa"/>
        </w:trPr>
        <w:tc>
          <w:tcPr>
            <w:tcW w:w="0" w:type="auto"/>
            <w:vAlign w:val="center"/>
            <w:hideMark/>
          </w:tcPr>
          <w:p w14:paraId="2B18CA65" w14:textId="77777777" w:rsidR="009E5590" w:rsidRPr="009E5590" w:rsidRDefault="009E5590" w:rsidP="009E5590">
            <w:r w:rsidRPr="009E5590">
              <w:rPr>
                <w:b/>
                <w:bCs/>
              </w:rPr>
              <w:t>CGARCH (t-dist)</w:t>
            </w:r>
          </w:p>
        </w:tc>
        <w:tc>
          <w:tcPr>
            <w:tcW w:w="0" w:type="auto"/>
            <w:vAlign w:val="center"/>
            <w:hideMark/>
          </w:tcPr>
          <w:p w14:paraId="71196040" w14:textId="77777777" w:rsidR="009E5590" w:rsidRPr="009E5590" w:rsidRDefault="009E5590" w:rsidP="009E5590">
            <w:r w:rsidRPr="009E5590">
              <w:rPr>
                <w:b/>
                <w:bCs/>
              </w:rPr>
              <w:t>87.3%</w:t>
            </w:r>
          </w:p>
        </w:tc>
        <w:tc>
          <w:tcPr>
            <w:tcW w:w="0" w:type="auto"/>
            <w:vAlign w:val="center"/>
            <w:hideMark/>
          </w:tcPr>
          <w:p w14:paraId="758E761A" w14:textId="77777777" w:rsidR="009E5590" w:rsidRPr="009E5590" w:rsidRDefault="009E5590" w:rsidP="009E5590">
            <w:r w:rsidRPr="009E5590">
              <w:rPr>
                <w:b/>
                <w:bCs/>
              </w:rPr>
              <w:t>2.1 consecutive</w:t>
            </w:r>
          </w:p>
        </w:tc>
        <w:tc>
          <w:tcPr>
            <w:tcW w:w="0" w:type="auto"/>
            <w:vAlign w:val="center"/>
            <w:hideMark/>
          </w:tcPr>
          <w:p w14:paraId="7555B136" w14:textId="77777777" w:rsidR="009E5590" w:rsidRPr="009E5590" w:rsidRDefault="009E5590" w:rsidP="009E5590">
            <w:r w:rsidRPr="009E5590">
              <w:rPr>
                <w:b/>
                <w:bCs/>
              </w:rPr>
              <w:t>94.2%</w:t>
            </w:r>
          </w:p>
        </w:tc>
      </w:tr>
      <w:tr w:rsidR="009E5590" w:rsidRPr="009E5590" w14:paraId="49CAC7F0" w14:textId="77777777">
        <w:trPr>
          <w:tblCellSpacing w:w="15" w:type="dxa"/>
        </w:trPr>
        <w:tc>
          <w:tcPr>
            <w:tcW w:w="0" w:type="auto"/>
            <w:vAlign w:val="center"/>
            <w:hideMark/>
          </w:tcPr>
          <w:p w14:paraId="06CFD70E" w14:textId="77777777" w:rsidR="009E5590" w:rsidRPr="009E5590" w:rsidRDefault="009E5590" w:rsidP="009E5590">
            <w:r w:rsidRPr="009E5590">
              <w:t>Standard GARCH (t-dist)</w:t>
            </w:r>
          </w:p>
        </w:tc>
        <w:tc>
          <w:tcPr>
            <w:tcW w:w="0" w:type="auto"/>
            <w:vAlign w:val="center"/>
            <w:hideMark/>
          </w:tcPr>
          <w:p w14:paraId="6E79F5CC" w14:textId="77777777" w:rsidR="009E5590" w:rsidRPr="009E5590" w:rsidRDefault="009E5590" w:rsidP="009E5590">
            <w:r w:rsidRPr="009E5590">
              <w:t>78.9%</w:t>
            </w:r>
          </w:p>
        </w:tc>
        <w:tc>
          <w:tcPr>
            <w:tcW w:w="0" w:type="auto"/>
            <w:vAlign w:val="center"/>
            <w:hideMark/>
          </w:tcPr>
          <w:p w14:paraId="57D77869" w14:textId="77777777" w:rsidR="009E5590" w:rsidRPr="009E5590" w:rsidRDefault="009E5590" w:rsidP="009E5590">
            <w:r w:rsidRPr="009E5590">
              <w:t>3.7 consecutive</w:t>
            </w:r>
          </w:p>
        </w:tc>
        <w:tc>
          <w:tcPr>
            <w:tcW w:w="0" w:type="auto"/>
            <w:vAlign w:val="center"/>
            <w:hideMark/>
          </w:tcPr>
          <w:p w14:paraId="0033442B" w14:textId="77777777" w:rsidR="009E5590" w:rsidRPr="009E5590" w:rsidRDefault="009E5590" w:rsidP="009E5590">
            <w:r w:rsidRPr="009E5590">
              <w:t>87.6%</w:t>
            </w:r>
          </w:p>
        </w:tc>
      </w:tr>
    </w:tbl>
    <w:p w14:paraId="03652360" w14:textId="77777777" w:rsidR="009E5590" w:rsidRPr="009E5590" w:rsidRDefault="009E5590" w:rsidP="009E5590">
      <w:r w:rsidRPr="009E5590">
        <w:rPr>
          <w:b/>
          <w:bCs/>
        </w:rPr>
        <w:t>Low Volatility Periods (Bottom 50% volatility days):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4"/>
        <w:gridCol w:w="1764"/>
        <w:gridCol w:w="1785"/>
        <w:gridCol w:w="1633"/>
      </w:tblGrid>
      <w:tr w:rsidR="009E5590" w:rsidRPr="009E5590" w14:paraId="461AEEE8" w14:textId="77777777">
        <w:trPr>
          <w:tblHeader/>
          <w:tblCellSpacing w:w="15" w:type="dxa"/>
        </w:trPr>
        <w:tc>
          <w:tcPr>
            <w:tcW w:w="0" w:type="auto"/>
            <w:vAlign w:val="center"/>
            <w:hideMark/>
          </w:tcPr>
          <w:p w14:paraId="5A0ACBED" w14:textId="77777777" w:rsidR="009E5590" w:rsidRPr="009E5590" w:rsidRDefault="009E5590" w:rsidP="009E5590">
            <w:pPr>
              <w:rPr>
                <w:b/>
                <w:bCs/>
              </w:rPr>
            </w:pPr>
            <w:r w:rsidRPr="009E5590">
              <w:rPr>
                <w:b/>
                <w:bCs/>
              </w:rPr>
              <w:t>Model</w:t>
            </w:r>
          </w:p>
        </w:tc>
        <w:tc>
          <w:tcPr>
            <w:tcW w:w="0" w:type="auto"/>
            <w:vAlign w:val="center"/>
            <w:hideMark/>
          </w:tcPr>
          <w:p w14:paraId="6B3E29D2" w14:textId="77777777" w:rsidR="009E5590" w:rsidRPr="009E5590" w:rsidRDefault="009E5590" w:rsidP="009E5590">
            <w:pPr>
              <w:rPr>
                <w:b/>
                <w:bCs/>
              </w:rPr>
            </w:pPr>
            <w:r w:rsidRPr="009E5590">
              <w:rPr>
                <w:b/>
                <w:bCs/>
              </w:rPr>
              <w:t>False Positive Rate</w:t>
            </w:r>
          </w:p>
        </w:tc>
        <w:tc>
          <w:tcPr>
            <w:tcW w:w="0" w:type="auto"/>
            <w:vAlign w:val="center"/>
            <w:hideMark/>
          </w:tcPr>
          <w:p w14:paraId="4AD75E9D" w14:textId="77777777" w:rsidR="009E5590" w:rsidRPr="009E5590" w:rsidRDefault="009E5590" w:rsidP="009E5590">
            <w:pPr>
              <w:rPr>
                <w:b/>
                <w:bCs/>
              </w:rPr>
            </w:pPr>
            <w:r w:rsidRPr="009E5590">
              <w:rPr>
                <w:b/>
                <w:bCs/>
              </w:rPr>
              <w:t>Over-conservatism</w:t>
            </w:r>
          </w:p>
        </w:tc>
        <w:tc>
          <w:tcPr>
            <w:tcW w:w="0" w:type="auto"/>
            <w:vAlign w:val="center"/>
            <w:hideMark/>
          </w:tcPr>
          <w:p w14:paraId="43559AA8" w14:textId="77777777" w:rsidR="009E5590" w:rsidRPr="009E5590" w:rsidRDefault="009E5590" w:rsidP="009E5590">
            <w:pPr>
              <w:rPr>
                <w:b/>
                <w:bCs/>
              </w:rPr>
            </w:pPr>
            <w:r w:rsidRPr="009E5590">
              <w:rPr>
                <w:b/>
                <w:bCs/>
              </w:rPr>
              <w:t>Capital Efficiency</w:t>
            </w:r>
          </w:p>
        </w:tc>
      </w:tr>
      <w:tr w:rsidR="009E5590" w:rsidRPr="009E5590" w14:paraId="3C895CE6" w14:textId="77777777">
        <w:trPr>
          <w:tblCellSpacing w:w="15" w:type="dxa"/>
        </w:trPr>
        <w:tc>
          <w:tcPr>
            <w:tcW w:w="0" w:type="auto"/>
            <w:vAlign w:val="center"/>
            <w:hideMark/>
          </w:tcPr>
          <w:p w14:paraId="124C05E3" w14:textId="77777777" w:rsidR="009E5590" w:rsidRPr="009E5590" w:rsidRDefault="009E5590" w:rsidP="009E5590">
            <w:r w:rsidRPr="009E5590">
              <w:rPr>
                <w:b/>
                <w:bCs/>
              </w:rPr>
              <w:t>CGARCH (t-dist)</w:t>
            </w:r>
          </w:p>
        </w:tc>
        <w:tc>
          <w:tcPr>
            <w:tcW w:w="0" w:type="auto"/>
            <w:vAlign w:val="center"/>
            <w:hideMark/>
          </w:tcPr>
          <w:p w14:paraId="098A9382" w14:textId="77777777" w:rsidR="009E5590" w:rsidRPr="009E5590" w:rsidRDefault="009E5590" w:rsidP="009E5590">
            <w:r w:rsidRPr="009E5590">
              <w:rPr>
                <w:b/>
                <w:bCs/>
              </w:rPr>
              <w:t>0.23%</w:t>
            </w:r>
          </w:p>
        </w:tc>
        <w:tc>
          <w:tcPr>
            <w:tcW w:w="0" w:type="auto"/>
            <w:vAlign w:val="center"/>
            <w:hideMark/>
          </w:tcPr>
          <w:p w14:paraId="2449A4FD" w14:textId="77777777" w:rsidR="009E5590" w:rsidRPr="009E5590" w:rsidRDefault="009E5590" w:rsidP="009E5590">
            <w:r w:rsidRPr="009E5590">
              <w:rPr>
                <w:b/>
                <w:bCs/>
              </w:rPr>
              <w:t>12.4%</w:t>
            </w:r>
          </w:p>
        </w:tc>
        <w:tc>
          <w:tcPr>
            <w:tcW w:w="0" w:type="auto"/>
            <w:vAlign w:val="center"/>
            <w:hideMark/>
          </w:tcPr>
          <w:p w14:paraId="384B51AE" w14:textId="77777777" w:rsidR="009E5590" w:rsidRPr="009E5590" w:rsidRDefault="009E5590" w:rsidP="009E5590">
            <w:r w:rsidRPr="009E5590">
              <w:rPr>
                <w:b/>
                <w:bCs/>
              </w:rPr>
              <w:t>91.7%</w:t>
            </w:r>
          </w:p>
        </w:tc>
      </w:tr>
      <w:tr w:rsidR="009E5590" w:rsidRPr="009E5590" w14:paraId="75F0375F" w14:textId="77777777">
        <w:trPr>
          <w:tblCellSpacing w:w="15" w:type="dxa"/>
        </w:trPr>
        <w:tc>
          <w:tcPr>
            <w:tcW w:w="0" w:type="auto"/>
            <w:vAlign w:val="center"/>
            <w:hideMark/>
          </w:tcPr>
          <w:p w14:paraId="7CBDB17A" w14:textId="77777777" w:rsidR="009E5590" w:rsidRPr="009E5590" w:rsidRDefault="009E5590" w:rsidP="009E5590">
            <w:r w:rsidRPr="009E5590">
              <w:t>Standard GARCH (t-dist)</w:t>
            </w:r>
          </w:p>
        </w:tc>
        <w:tc>
          <w:tcPr>
            <w:tcW w:w="0" w:type="auto"/>
            <w:vAlign w:val="center"/>
            <w:hideMark/>
          </w:tcPr>
          <w:p w14:paraId="144E91EE" w14:textId="77777777" w:rsidR="009E5590" w:rsidRPr="009E5590" w:rsidRDefault="009E5590" w:rsidP="009E5590">
            <w:r w:rsidRPr="009E5590">
              <w:t>0.31%</w:t>
            </w:r>
          </w:p>
        </w:tc>
        <w:tc>
          <w:tcPr>
            <w:tcW w:w="0" w:type="auto"/>
            <w:vAlign w:val="center"/>
            <w:hideMark/>
          </w:tcPr>
          <w:p w14:paraId="25410DA3" w14:textId="77777777" w:rsidR="009E5590" w:rsidRPr="009E5590" w:rsidRDefault="009E5590" w:rsidP="009E5590">
            <w:r w:rsidRPr="009E5590">
              <w:t>18.7%</w:t>
            </w:r>
          </w:p>
        </w:tc>
        <w:tc>
          <w:tcPr>
            <w:tcW w:w="0" w:type="auto"/>
            <w:vAlign w:val="center"/>
            <w:hideMark/>
          </w:tcPr>
          <w:p w14:paraId="4BB4E634" w14:textId="77777777" w:rsidR="009E5590" w:rsidRPr="009E5590" w:rsidRDefault="009E5590" w:rsidP="009E5590">
            <w:r w:rsidRPr="009E5590">
              <w:t>86.3%</w:t>
            </w:r>
          </w:p>
        </w:tc>
      </w:tr>
    </w:tbl>
    <w:p w14:paraId="1B893997" w14:textId="77777777" w:rsidR="009E5590" w:rsidRPr="009E5590" w:rsidRDefault="009E5590" w:rsidP="009E5590">
      <w:r w:rsidRPr="009E5590">
        <w:pict w14:anchorId="2641C4BC">
          <v:rect id="_x0000_i1129" style="width:0;height:1.5pt" o:hralign="center" o:hrstd="t" o:hr="t" fillcolor="#a0a0a0" stroked="f"/>
        </w:pict>
      </w:r>
    </w:p>
    <w:p w14:paraId="7A7315EA" w14:textId="77777777" w:rsidR="009E5590" w:rsidRPr="009E5590" w:rsidRDefault="009E5590" w:rsidP="009E5590">
      <w:pPr>
        <w:rPr>
          <w:b/>
          <w:bCs/>
        </w:rPr>
      </w:pPr>
      <w:r w:rsidRPr="009E5590">
        <w:rPr>
          <w:b/>
          <w:bCs/>
        </w:rPr>
        <w:t>5. NEW: Advanced Expected Shortfall (ES) Analysis</w:t>
      </w:r>
    </w:p>
    <w:p w14:paraId="2C1CBDD3" w14:textId="77777777" w:rsidR="009E5590" w:rsidRPr="009E5590" w:rsidRDefault="009E5590" w:rsidP="009E5590">
      <w:pPr>
        <w:rPr>
          <w:b/>
          <w:bCs/>
        </w:rPr>
      </w:pPr>
      <w:r w:rsidRPr="009E5590">
        <w:rPr>
          <w:b/>
          <w:bCs/>
        </w:rPr>
        <w:t>5.1 Expected Shortfall Backtesting</w:t>
      </w:r>
    </w:p>
    <w:p w14:paraId="65AB1F64" w14:textId="77777777" w:rsidR="009E5590" w:rsidRPr="009E5590" w:rsidRDefault="009E5590" w:rsidP="009E5590">
      <w:r w:rsidRPr="009E5590">
        <w:t>Expected Shortfall provides a more comprehensive risk measure than VaR by examining the average loss beyond the VaR threshold.</w:t>
      </w:r>
    </w:p>
    <w:p w14:paraId="70E03410" w14:textId="77777777" w:rsidR="009E5590" w:rsidRPr="009E5590" w:rsidRDefault="009E5590" w:rsidP="009E5590">
      <w:r w:rsidRPr="009E5590">
        <w:rPr>
          <w:b/>
          <w:bCs/>
        </w:rPr>
        <w:t>99% Expected Shortfall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4"/>
        <w:gridCol w:w="1072"/>
        <w:gridCol w:w="1089"/>
        <w:gridCol w:w="803"/>
        <w:gridCol w:w="1824"/>
        <w:gridCol w:w="1044"/>
      </w:tblGrid>
      <w:tr w:rsidR="009E5590" w:rsidRPr="009E5590" w14:paraId="49B2F152" w14:textId="77777777">
        <w:trPr>
          <w:tblHeader/>
          <w:tblCellSpacing w:w="15" w:type="dxa"/>
        </w:trPr>
        <w:tc>
          <w:tcPr>
            <w:tcW w:w="0" w:type="auto"/>
            <w:vAlign w:val="center"/>
            <w:hideMark/>
          </w:tcPr>
          <w:p w14:paraId="643A49DD" w14:textId="77777777" w:rsidR="009E5590" w:rsidRPr="009E5590" w:rsidRDefault="009E5590" w:rsidP="009E5590">
            <w:pPr>
              <w:rPr>
                <w:b/>
                <w:bCs/>
              </w:rPr>
            </w:pPr>
            <w:r w:rsidRPr="009E5590">
              <w:rPr>
                <w:b/>
                <w:bCs/>
              </w:rPr>
              <w:t>Model</w:t>
            </w:r>
          </w:p>
        </w:tc>
        <w:tc>
          <w:tcPr>
            <w:tcW w:w="0" w:type="auto"/>
            <w:vAlign w:val="center"/>
            <w:hideMark/>
          </w:tcPr>
          <w:p w14:paraId="2B308D76" w14:textId="77777777" w:rsidR="009E5590" w:rsidRPr="009E5590" w:rsidRDefault="009E5590" w:rsidP="009E5590">
            <w:pPr>
              <w:rPr>
                <w:b/>
                <w:bCs/>
              </w:rPr>
            </w:pPr>
            <w:r w:rsidRPr="009E5590">
              <w:rPr>
                <w:b/>
                <w:bCs/>
              </w:rPr>
              <w:t>Average ES</w:t>
            </w:r>
          </w:p>
        </w:tc>
        <w:tc>
          <w:tcPr>
            <w:tcW w:w="0" w:type="auto"/>
            <w:vAlign w:val="center"/>
            <w:hideMark/>
          </w:tcPr>
          <w:p w14:paraId="00AFAA1C" w14:textId="77777777" w:rsidR="009E5590" w:rsidRPr="009E5590" w:rsidRDefault="009E5590" w:rsidP="009E5590">
            <w:pPr>
              <w:rPr>
                <w:b/>
                <w:bCs/>
              </w:rPr>
            </w:pPr>
            <w:r w:rsidRPr="009E5590">
              <w:rPr>
                <w:b/>
                <w:bCs/>
              </w:rPr>
              <w:t>Realized ES</w:t>
            </w:r>
          </w:p>
        </w:tc>
        <w:tc>
          <w:tcPr>
            <w:tcW w:w="0" w:type="auto"/>
            <w:vAlign w:val="center"/>
            <w:hideMark/>
          </w:tcPr>
          <w:p w14:paraId="6E1D9729" w14:textId="77777777" w:rsidR="009E5590" w:rsidRPr="009E5590" w:rsidRDefault="009E5590" w:rsidP="009E5590">
            <w:pPr>
              <w:rPr>
                <w:b/>
                <w:bCs/>
              </w:rPr>
            </w:pPr>
            <w:r w:rsidRPr="009E5590">
              <w:rPr>
                <w:b/>
                <w:bCs/>
              </w:rPr>
              <w:t>ES Ratio</w:t>
            </w:r>
          </w:p>
        </w:tc>
        <w:tc>
          <w:tcPr>
            <w:tcW w:w="0" w:type="auto"/>
            <w:vAlign w:val="center"/>
            <w:hideMark/>
          </w:tcPr>
          <w:p w14:paraId="003CF96F" w14:textId="77777777" w:rsidR="009E5590" w:rsidRPr="009E5590" w:rsidRDefault="009E5590" w:rsidP="009E5590">
            <w:pPr>
              <w:rPr>
                <w:b/>
                <w:bCs/>
              </w:rPr>
            </w:pPr>
            <w:r w:rsidRPr="009E5590">
              <w:rPr>
                <w:b/>
                <w:bCs/>
              </w:rPr>
              <w:t>Acerbi-Szekely Test</w:t>
            </w:r>
          </w:p>
        </w:tc>
        <w:tc>
          <w:tcPr>
            <w:tcW w:w="0" w:type="auto"/>
            <w:vAlign w:val="center"/>
            <w:hideMark/>
          </w:tcPr>
          <w:p w14:paraId="3E39C7CE" w14:textId="77777777" w:rsidR="009E5590" w:rsidRPr="009E5590" w:rsidRDefault="009E5590" w:rsidP="009E5590">
            <w:pPr>
              <w:rPr>
                <w:b/>
                <w:bCs/>
              </w:rPr>
            </w:pPr>
            <w:r w:rsidRPr="009E5590">
              <w:rPr>
                <w:b/>
                <w:bCs/>
              </w:rPr>
              <w:t>p-value</w:t>
            </w:r>
          </w:p>
        </w:tc>
      </w:tr>
      <w:tr w:rsidR="009E5590" w:rsidRPr="009E5590" w14:paraId="2C238D0A" w14:textId="77777777">
        <w:trPr>
          <w:tblCellSpacing w:w="15" w:type="dxa"/>
        </w:trPr>
        <w:tc>
          <w:tcPr>
            <w:tcW w:w="0" w:type="auto"/>
            <w:vAlign w:val="center"/>
            <w:hideMark/>
          </w:tcPr>
          <w:p w14:paraId="70E0A397" w14:textId="77777777" w:rsidR="009E5590" w:rsidRPr="009E5590" w:rsidRDefault="009E5590" w:rsidP="009E5590">
            <w:r w:rsidRPr="009E5590">
              <w:rPr>
                <w:b/>
                <w:bCs/>
              </w:rPr>
              <w:t>CGARCH (t-dist)</w:t>
            </w:r>
          </w:p>
        </w:tc>
        <w:tc>
          <w:tcPr>
            <w:tcW w:w="0" w:type="auto"/>
            <w:vAlign w:val="center"/>
            <w:hideMark/>
          </w:tcPr>
          <w:p w14:paraId="74F0B8A9" w14:textId="77777777" w:rsidR="009E5590" w:rsidRPr="009E5590" w:rsidRDefault="009E5590" w:rsidP="009E5590">
            <w:r w:rsidRPr="009E5590">
              <w:rPr>
                <w:b/>
                <w:bCs/>
              </w:rPr>
              <w:t>3.89%</w:t>
            </w:r>
          </w:p>
        </w:tc>
        <w:tc>
          <w:tcPr>
            <w:tcW w:w="0" w:type="auto"/>
            <w:vAlign w:val="center"/>
            <w:hideMark/>
          </w:tcPr>
          <w:p w14:paraId="51E91F4F" w14:textId="77777777" w:rsidR="009E5590" w:rsidRPr="009E5590" w:rsidRDefault="009E5590" w:rsidP="009E5590">
            <w:r w:rsidRPr="009E5590">
              <w:rPr>
                <w:b/>
                <w:bCs/>
              </w:rPr>
              <w:t>4.12%</w:t>
            </w:r>
          </w:p>
        </w:tc>
        <w:tc>
          <w:tcPr>
            <w:tcW w:w="0" w:type="auto"/>
            <w:vAlign w:val="center"/>
            <w:hideMark/>
          </w:tcPr>
          <w:p w14:paraId="7762F389" w14:textId="77777777" w:rsidR="009E5590" w:rsidRPr="009E5590" w:rsidRDefault="009E5590" w:rsidP="009E5590">
            <w:r w:rsidRPr="009E5590">
              <w:rPr>
                <w:b/>
                <w:bCs/>
              </w:rPr>
              <w:t>1.06</w:t>
            </w:r>
          </w:p>
        </w:tc>
        <w:tc>
          <w:tcPr>
            <w:tcW w:w="0" w:type="auto"/>
            <w:vAlign w:val="center"/>
            <w:hideMark/>
          </w:tcPr>
          <w:p w14:paraId="2A25C6CE" w14:textId="77777777" w:rsidR="009E5590" w:rsidRPr="009E5590" w:rsidRDefault="009E5590" w:rsidP="009E5590">
            <w:r w:rsidRPr="009E5590">
              <w:rPr>
                <w:b/>
                <w:bCs/>
              </w:rPr>
              <w:t>2.34</w:t>
            </w:r>
          </w:p>
        </w:tc>
        <w:tc>
          <w:tcPr>
            <w:tcW w:w="0" w:type="auto"/>
            <w:vAlign w:val="center"/>
            <w:hideMark/>
          </w:tcPr>
          <w:p w14:paraId="0648A661" w14:textId="77777777" w:rsidR="009E5590" w:rsidRPr="009E5590" w:rsidRDefault="009E5590" w:rsidP="009E5590">
            <w:r w:rsidRPr="009E5590">
              <w:rPr>
                <w:b/>
                <w:bCs/>
              </w:rPr>
              <w:t>0.1264</w:t>
            </w:r>
            <w:r w:rsidRPr="009E5590">
              <w:t xml:space="preserve"> </w:t>
            </w:r>
            <w:r w:rsidRPr="009E5590">
              <w:rPr>
                <w:rFonts w:ascii="Segoe UI Emoji" w:hAnsi="Segoe UI Emoji" w:cs="Segoe UI Emoji"/>
              </w:rPr>
              <w:t>✅</w:t>
            </w:r>
          </w:p>
        </w:tc>
      </w:tr>
      <w:tr w:rsidR="009E5590" w:rsidRPr="009E5590" w14:paraId="320EF809" w14:textId="77777777">
        <w:trPr>
          <w:tblCellSpacing w:w="15" w:type="dxa"/>
        </w:trPr>
        <w:tc>
          <w:tcPr>
            <w:tcW w:w="0" w:type="auto"/>
            <w:vAlign w:val="center"/>
            <w:hideMark/>
          </w:tcPr>
          <w:p w14:paraId="6AE67C24" w14:textId="77777777" w:rsidR="009E5590" w:rsidRPr="009E5590" w:rsidRDefault="009E5590" w:rsidP="009E5590">
            <w:r w:rsidRPr="009E5590">
              <w:t>Standard GARCH (t-dist)</w:t>
            </w:r>
          </w:p>
        </w:tc>
        <w:tc>
          <w:tcPr>
            <w:tcW w:w="0" w:type="auto"/>
            <w:vAlign w:val="center"/>
            <w:hideMark/>
          </w:tcPr>
          <w:p w14:paraId="2735642B" w14:textId="77777777" w:rsidR="009E5590" w:rsidRPr="009E5590" w:rsidRDefault="009E5590" w:rsidP="009E5590">
            <w:r w:rsidRPr="009E5590">
              <w:t>3.45%</w:t>
            </w:r>
          </w:p>
        </w:tc>
        <w:tc>
          <w:tcPr>
            <w:tcW w:w="0" w:type="auto"/>
            <w:vAlign w:val="center"/>
            <w:hideMark/>
          </w:tcPr>
          <w:p w14:paraId="46509F76" w14:textId="77777777" w:rsidR="009E5590" w:rsidRPr="009E5590" w:rsidRDefault="009E5590" w:rsidP="009E5590">
            <w:r w:rsidRPr="009E5590">
              <w:t>4.12%</w:t>
            </w:r>
          </w:p>
        </w:tc>
        <w:tc>
          <w:tcPr>
            <w:tcW w:w="0" w:type="auto"/>
            <w:vAlign w:val="center"/>
            <w:hideMark/>
          </w:tcPr>
          <w:p w14:paraId="1E02438B" w14:textId="77777777" w:rsidR="009E5590" w:rsidRPr="009E5590" w:rsidRDefault="009E5590" w:rsidP="009E5590">
            <w:r w:rsidRPr="009E5590">
              <w:t>1.19</w:t>
            </w:r>
          </w:p>
        </w:tc>
        <w:tc>
          <w:tcPr>
            <w:tcW w:w="0" w:type="auto"/>
            <w:vAlign w:val="center"/>
            <w:hideMark/>
          </w:tcPr>
          <w:p w14:paraId="57E5DE85" w14:textId="77777777" w:rsidR="009E5590" w:rsidRPr="009E5590" w:rsidRDefault="009E5590" w:rsidP="009E5590">
            <w:r w:rsidRPr="009E5590">
              <w:t>5.67</w:t>
            </w:r>
          </w:p>
        </w:tc>
        <w:tc>
          <w:tcPr>
            <w:tcW w:w="0" w:type="auto"/>
            <w:vAlign w:val="center"/>
            <w:hideMark/>
          </w:tcPr>
          <w:p w14:paraId="289688E8" w14:textId="77777777" w:rsidR="009E5590" w:rsidRPr="009E5590" w:rsidRDefault="009E5590" w:rsidP="009E5590">
            <w:r w:rsidRPr="009E5590">
              <w:t xml:space="preserve">0.0174 </w:t>
            </w:r>
            <w:r w:rsidRPr="009E5590">
              <w:rPr>
                <w:rFonts w:ascii="Segoe UI Emoji" w:hAnsi="Segoe UI Emoji" w:cs="Segoe UI Emoji"/>
              </w:rPr>
              <w:t>❌</w:t>
            </w:r>
          </w:p>
        </w:tc>
      </w:tr>
      <w:tr w:rsidR="009E5590" w:rsidRPr="009E5590" w14:paraId="76DCBFDB" w14:textId="77777777">
        <w:trPr>
          <w:tblCellSpacing w:w="15" w:type="dxa"/>
        </w:trPr>
        <w:tc>
          <w:tcPr>
            <w:tcW w:w="0" w:type="auto"/>
            <w:vAlign w:val="center"/>
            <w:hideMark/>
          </w:tcPr>
          <w:p w14:paraId="034E3D40" w14:textId="77777777" w:rsidR="009E5590" w:rsidRPr="009E5590" w:rsidRDefault="009E5590" w:rsidP="009E5590">
            <w:r w:rsidRPr="009E5590">
              <w:t>CGARCH (Normal)</w:t>
            </w:r>
          </w:p>
        </w:tc>
        <w:tc>
          <w:tcPr>
            <w:tcW w:w="0" w:type="auto"/>
            <w:vAlign w:val="center"/>
            <w:hideMark/>
          </w:tcPr>
          <w:p w14:paraId="6B907AC4" w14:textId="77777777" w:rsidR="009E5590" w:rsidRPr="009E5590" w:rsidRDefault="009E5590" w:rsidP="009E5590">
            <w:r w:rsidRPr="009E5590">
              <w:t>2.98%</w:t>
            </w:r>
          </w:p>
        </w:tc>
        <w:tc>
          <w:tcPr>
            <w:tcW w:w="0" w:type="auto"/>
            <w:vAlign w:val="center"/>
            <w:hideMark/>
          </w:tcPr>
          <w:p w14:paraId="20C2AC17" w14:textId="77777777" w:rsidR="009E5590" w:rsidRPr="009E5590" w:rsidRDefault="009E5590" w:rsidP="009E5590">
            <w:r w:rsidRPr="009E5590">
              <w:t>4.12%</w:t>
            </w:r>
          </w:p>
        </w:tc>
        <w:tc>
          <w:tcPr>
            <w:tcW w:w="0" w:type="auto"/>
            <w:vAlign w:val="center"/>
            <w:hideMark/>
          </w:tcPr>
          <w:p w14:paraId="6750B4B6" w14:textId="77777777" w:rsidR="009E5590" w:rsidRPr="009E5590" w:rsidRDefault="009E5590" w:rsidP="009E5590">
            <w:r w:rsidRPr="009E5590">
              <w:t>1.38</w:t>
            </w:r>
          </w:p>
        </w:tc>
        <w:tc>
          <w:tcPr>
            <w:tcW w:w="0" w:type="auto"/>
            <w:vAlign w:val="center"/>
            <w:hideMark/>
          </w:tcPr>
          <w:p w14:paraId="1E319977" w14:textId="77777777" w:rsidR="009E5590" w:rsidRPr="009E5590" w:rsidRDefault="009E5590" w:rsidP="009E5590">
            <w:r w:rsidRPr="009E5590">
              <w:t>12.45</w:t>
            </w:r>
          </w:p>
        </w:tc>
        <w:tc>
          <w:tcPr>
            <w:tcW w:w="0" w:type="auto"/>
            <w:vAlign w:val="center"/>
            <w:hideMark/>
          </w:tcPr>
          <w:p w14:paraId="6FD91A8E" w14:textId="77777777" w:rsidR="009E5590" w:rsidRPr="009E5590" w:rsidRDefault="009E5590" w:rsidP="009E5590">
            <w:r w:rsidRPr="009E5590">
              <w:t xml:space="preserve">0.0002 </w:t>
            </w:r>
            <w:r w:rsidRPr="009E5590">
              <w:rPr>
                <w:rFonts w:ascii="Segoe UI Emoji" w:hAnsi="Segoe UI Emoji" w:cs="Segoe UI Emoji"/>
              </w:rPr>
              <w:t>❌</w:t>
            </w:r>
          </w:p>
        </w:tc>
      </w:tr>
      <w:tr w:rsidR="009E5590" w:rsidRPr="009E5590" w14:paraId="7EBCBABA" w14:textId="77777777">
        <w:trPr>
          <w:tblCellSpacing w:w="15" w:type="dxa"/>
        </w:trPr>
        <w:tc>
          <w:tcPr>
            <w:tcW w:w="0" w:type="auto"/>
            <w:vAlign w:val="center"/>
            <w:hideMark/>
          </w:tcPr>
          <w:p w14:paraId="0DB92195" w14:textId="77777777" w:rsidR="009E5590" w:rsidRPr="009E5590" w:rsidRDefault="009E5590" w:rsidP="009E5590">
            <w:r w:rsidRPr="009E5590">
              <w:t>Standard GARCH (Normal)</w:t>
            </w:r>
          </w:p>
        </w:tc>
        <w:tc>
          <w:tcPr>
            <w:tcW w:w="0" w:type="auto"/>
            <w:vAlign w:val="center"/>
            <w:hideMark/>
          </w:tcPr>
          <w:p w14:paraId="124A0FB2" w14:textId="77777777" w:rsidR="009E5590" w:rsidRPr="009E5590" w:rsidRDefault="009E5590" w:rsidP="009E5590">
            <w:r w:rsidRPr="009E5590">
              <w:t>2.91%</w:t>
            </w:r>
          </w:p>
        </w:tc>
        <w:tc>
          <w:tcPr>
            <w:tcW w:w="0" w:type="auto"/>
            <w:vAlign w:val="center"/>
            <w:hideMark/>
          </w:tcPr>
          <w:p w14:paraId="3E48ECD7" w14:textId="77777777" w:rsidR="009E5590" w:rsidRPr="009E5590" w:rsidRDefault="009E5590" w:rsidP="009E5590">
            <w:r w:rsidRPr="009E5590">
              <w:t>4.12%</w:t>
            </w:r>
          </w:p>
        </w:tc>
        <w:tc>
          <w:tcPr>
            <w:tcW w:w="0" w:type="auto"/>
            <w:vAlign w:val="center"/>
            <w:hideMark/>
          </w:tcPr>
          <w:p w14:paraId="0EB2D165" w14:textId="77777777" w:rsidR="009E5590" w:rsidRPr="009E5590" w:rsidRDefault="009E5590" w:rsidP="009E5590">
            <w:r w:rsidRPr="009E5590">
              <w:t>1.42</w:t>
            </w:r>
          </w:p>
        </w:tc>
        <w:tc>
          <w:tcPr>
            <w:tcW w:w="0" w:type="auto"/>
            <w:vAlign w:val="center"/>
            <w:hideMark/>
          </w:tcPr>
          <w:p w14:paraId="7D17C8A2" w14:textId="77777777" w:rsidR="009E5590" w:rsidRPr="009E5590" w:rsidRDefault="009E5590" w:rsidP="009E5590">
            <w:r w:rsidRPr="009E5590">
              <w:t>14.67</w:t>
            </w:r>
          </w:p>
        </w:tc>
        <w:tc>
          <w:tcPr>
            <w:tcW w:w="0" w:type="auto"/>
            <w:vAlign w:val="center"/>
            <w:hideMark/>
          </w:tcPr>
          <w:p w14:paraId="1478F0DB" w14:textId="77777777" w:rsidR="009E5590" w:rsidRPr="009E5590" w:rsidRDefault="009E5590" w:rsidP="009E5590">
            <w:r w:rsidRPr="009E5590">
              <w:t xml:space="preserve">0.0001 </w:t>
            </w:r>
            <w:r w:rsidRPr="009E5590">
              <w:rPr>
                <w:rFonts w:ascii="Segoe UI Emoji" w:hAnsi="Segoe UI Emoji" w:cs="Segoe UI Emoji"/>
              </w:rPr>
              <w:t>❌</w:t>
            </w:r>
          </w:p>
        </w:tc>
      </w:tr>
    </w:tbl>
    <w:p w14:paraId="2954621D" w14:textId="77777777" w:rsidR="009E5590" w:rsidRPr="009E5590" w:rsidRDefault="009E5590" w:rsidP="009E5590">
      <w:r w:rsidRPr="009E5590">
        <w:rPr>
          <w:b/>
          <w:bCs/>
        </w:rPr>
        <w:t>Interpretation:</w:t>
      </w:r>
      <w:r w:rsidRPr="009E5590">
        <w:t xml:space="preserve"> CGARCH-t provides accurate tail risk estimates, while other models systematically underestimate extreme losses.</w:t>
      </w:r>
    </w:p>
    <w:p w14:paraId="2544C5C8" w14:textId="77777777" w:rsidR="009E5590" w:rsidRPr="009E5590" w:rsidRDefault="009E5590" w:rsidP="009E5590">
      <w:pPr>
        <w:rPr>
          <w:b/>
          <w:bCs/>
        </w:rPr>
      </w:pPr>
      <w:r w:rsidRPr="009E5590">
        <w:rPr>
          <w:b/>
          <w:bCs/>
        </w:rPr>
        <w:t>5.2 NEW: Conditional Expected Shortfall Analysis</w:t>
      </w:r>
    </w:p>
    <w:p w14:paraId="5A645BED" w14:textId="77777777" w:rsidR="009E5590" w:rsidRPr="009E5590" w:rsidRDefault="009E5590" w:rsidP="009E5590">
      <w:r w:rsidRPr="009E5590">
        <w:rPr>
          <w:b/>
          <w:bCs/>
        </w:rPr>
        <w:t>ES Performance During VaR Violations: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4"/>
        <w:gridCol w:w="1247"/>
        <w:gridCol w:w="1417"/>
        <w:gridCol w:w="1287"/>
        <w:gridCol w:w="1269"/>
      </w:tblGrid>
      <w:tr w:rsidR="009E5590" w:rsidRPr="009E5590" w14:paraId="6643200C" w14:textId="77777777">
        <w:trPr>
          <w:tblHeader/>
          <w:tblCellSpacing w:w="15" w:type="dxa"/>
        </w:trPr>
        <w:tc>
          <w:tcPr>
            <w:tcW w:w="0" w:type="auto"/>
            <w:vAlign w:val="center"/>
            <w:hideMark/>
          </w:tcPr>
          <w:p w14:paraId="57277DDF" w14:textId="77777777" w:rsidR="009E5590" w:rsidRPr="009E5590" w:rsidRDefault="009E5590" w:rsidP="009E5590">
            <w:pPr>
              <w:rPr>
                <w:b/>
                <w:bCs/>
              </w:rPr>
            </w:pPr>
            <w:r w:rsidRPr="009E5590">
              <w:rPr>
                <w:b/>
                <w:bCs/>
              </w:rPr>
              <w:t>Model</w:t>
            </w:r>
          </w:p>
        </w:tc>
        <w:tc>
          <w:tcPr>
            <w:tcW w:w="0" w:type="auto"/>
            <w:vAlign w:val="center"/>
            <w:hideMark/>
          </w:tcPr>
          <w:p w14:paraId="2114A7A2" w14:textId="77777777" w:rsidR="009E5590" w:rsidRPr="009E5590" w:rsidRDefault="009E5590" w:rsidP="009E5590">
            <w:pPr>
              <w:rPr>
                <w:b/>
                <w:bCs/>
              </w:rPr>
            </w:pPr>
            <w:r w:rsidRPr="009E5590">
              <w:rPr>
                <w:b/>
                <w:bCs/>
              </w:rPr>
              <w:t>Average Loss</w:t>
            </w:r>
          </w:p>
        </w:tc>
        <w:tc>
          <w:tcPr>
            <w:tcW w:w="0" w:type="auto"/>
            <w:vAlign w:val="center"/>
            <w:hideMark/>
          </w:tcPr>
          <w:p w14:paraId="306FC09A" w14:textId="77777777" w:rsidR="009E5590" w:rsidRPr="009E5590" w:rsidRDefault="009E5590" w:rsidP="009E5590">
            <w:pPr>
              <w:rPr>
                <w:b/>
                <w:bCs/>
              </w:rPr>
            </w:pPr>
            <w:r w:rsidRPr="009E5590">
              <w:rPr>
                <w:b/>
                <w:bCs/>
              </w:rPr>
              <w:t>95% CI Lower</w:t>
            </w:r>
          </w:p>
        </w:tc>
        <w:tc>
          <w:tcPr>
            <w:tcW w:w="0" w:type="auto"/>
            <w:vAlign w:val="center"/>
            <w:hideMark/>
          </w:tcPr>
          <w:p w14:paraId="4A3CAA1D" w14:textId="77777777" w:rsidR="009E5590" w:rsidRPr="009E5590" w:rsidRDefault="009E5590" w:rsidP="009E5590">
            <w:pPr>
              <w:rPr>
                <w:b/>
                <w:bCs/>
              </w:rPr>
            </w:pPr>
            <w:r w:rsidRPr="009E5590">
              <w:rPr>
                <w:b/>
                <w:bCs/>
              </w:rPr>
              <w:t>95% CI Upper</w:t>
            </w:r>
          </w:p>
        </w:tc>
        <w:tc>
          <w:tcPr>
            <w:tcW w:w="0" w:type="auto"/>
            <w:vAlign w:val="center"/>
            <w:hideMark/>
          </w:tcPr>
          <w:p w14:paraId="1456F008" w14:textId="77777777" w:rsidR="009E5590" w:rsidRPr="009E5590" w:rsidRDefault="009E5590" w:rsidP="009E5590">
            <w:pPr>
              <w:rPr>
                <w:b/>
                <w:bCs/>
              </w:rPr>
            </w:pPr>
            <w:r w:rsidRPr="009E5590">
              <w:rPr>
                <w:b/>
                <w:bCs/>
              </w:rPr>
              <w:t>Tail Accuracy</w:t>
            </w:r>
          </w:p>
        </w:tc>
      </w:tr>
      <w:tr w:rsidR="009E5590" w:rsidRPr="009E5590" w14:paraId="68EEABBD" w14:textId="77777777">
        <w:trPr>
          <w:tblCellSpacing w:w="15" w:type="dxa"/>
        </w:trPr>
        <w:tc>
          <w:tcPr>
            <w:tcW w:w="0" w:type="auto"/>
            <w:vAlign w:val="center"/>
            <w:hideMark/>
          </w:tcPr>
          <w:p w14:paraId="38314E97" w14:textId="77777777" w:rsidR="009E5590" w:rsidRPr="009E5590" w:rsidRDefault="009E5590" w:rsidP="009E5590">
            <w:r w:rsidRPr="009E5590">
              <w:rPr>
                <w:b/>
                <w:bCs/>
              </w:rPr>
              <w:t>CGARCH (t-dist)</w:t>
            </w:r>
          </w:p>
        </w:tc>
        <w:tc>
          <w:tcPr>
            <w:tcW w:w="0" w:type="auto"/>
            <w:vAlign w:val="center"/>
            <w:hideMark/>
          </w:tcPr>
          <w:p w14:paraId="56A0D5B7" w14:textId="77777777" w:rsidR="009E5590" w:rsidRPr="009E5590" w:rsidRDefault="009E5590" w:rsidP="009E5590">
            <w:r w:rsidRPr="009E5590">
              <w:rPr>
                <w:b/>
                <w:bCs/>
              </w:rPr>
              <w:t>4.23%</w:t>
            </w:r>
          </w:p>
        </w:tc>
        <w:tc>
          <w:tcPr>
            <w:tcW w:w="0" w:type="auto"/>
            <w:vAlign w:val="center"/>
            <w:hideMark/>
          </w:tcPr>
          <w:p w14:paraId="7333A5AB" w14:textId="77777777" w:rsidR="009E5590" w:rsidRPr="009E5590" w:rsidRDefault="009E5590" w:rsidP="009E5590">
            <w:r w:rsidRPr="009E5590">
              <w:rPr>
                <w:b/>
                <w:bCs/>
              </w:rPr>
              <w:t>[3.89%, 4.57%]</w:t>
            </w:r>
          </w:p>
        </w:tc>
        <w:tc>
          <w:tcPr>
            <w:tcW w:w="0" w:type="auto"/>
            <w:vAlign w:val="center"/>
            <w:hideMark/>
          </w:tcPr>
          <w:p w14:paraId="1F67894F" w14:textId="77777777" w:rsidR="009E5590" w:rsidRPr="009E5590" w:rsidRDefault="009E5590" w:rsidP="009E5590">
            <w:r w:rsidRPr="009E5590">
              <w:rPr>
                <w:b/>
                <w:bCs/>
              </w:rPr>
              <w:t>91.2%</w:t>
            </w:r>
          </w:p>
        </w:tc>
        <w:tc>
          <w:tcPr>
            <w:tcW w:w="0" w:type="auto"/>
            <w:vAlign w:val="center"/>
            <w:hideMark/>
          </w:tcPr>
          <w:p w14:paraId="620B5CA9" w14:textId="77777777" w:rsidR="009E5590" w:rsidRPr="009E5590" w:rsidRDefault="009E5590" w:rsidP="009E5590"/>
        </w:tc>
      </w:tr>
      <w:tr w:rsidR="009E5590" w:rsidRPr="009E5590" w14:paraId="74D22541" w14:textId="77777777">
        <w:trPr>
          <w:tblCellSpacing w:w="15" w:type="dxa"/>
        </w:trPr>
        <w:tc>
          <w:tcPr>
            <w:tcW w:w="0" w:type="auto"/>
            <w:vAlign w:val="center"/>
            <w:hideMark/>
          </w:tcPr>
          <w:p w14:paraId="273F6487" w14:textId="77777777" w:rsidR="009E5590" w:rsidRPr="009E5590" w:rsidRDefault="009E5590" w:rsidP="009E5590">
            <w:r w:rsidRPr="009E5590">
              <w:t>Standard GARCH (t-dist)</w:t>
            </w:r>
          </w:p>
        </w:tc>
        <w:tc>
          <w:tcPr>
            <w:tcW w:w="0" w:type="auto"/>
            <w:vAlign w:val="center"/>
            <w:hideMark/>
          </w:tcPr>
          <w:p w14:paraId="460053FA" w14:textId="77777777" w:rsidR="009E5590" w:rsidRPr="009E5590" w:rsidRDefault="009E5590" w:rsidP="009E5590">
            <w:r w:rsidRPr="009E5590">
              <w:t>4.67%</w:t>
            </w:r>
          </w:p>
        </w:tc>
        <w:tc>
          <w:tcPr>
            <w:tcW w:w="0" w:type="auto"/>
            <w:vAlign w:val="center"/>
            <w:hideMark/>
          </w:tcPr>
          <w:p w14:paraId="15A27BDC" w14:textId="77777777" w:rsidR="009E5590" w:rsidRPr="009E5590" w:rsidRDefault="009E5590" w:rsidP="009E5590">
            <w:r w:rsidRPr="009E5590">
              <w:t>[4.12%, 5.22%]</w:t>
            </w:r>
          </w:p>
        </w:tc>
        <w:tc>
          <w:tcPr>
            <w:tcW w:w="0" w:type="auto"/>
            <w:vAlign w:val="center"/>
            <w:hideMark/>
          </w:tcPr>
          <w:p w14:paraId="157658D4" w14:textId="77777777" w:rsidR="009E5590" w:rsidRPr="009E5590" w:rsidRDefault="009E5590" w:rsidP="009E5590">
            <w:r w:rsidRPr="009E5590">
              <w:t>78.4%</w:t>
            </w:r>
          </w:p>
        </w:tc>
        <w:tc>
          <w:tcPr>
            <w:tcW w:w="0" w:type="auto"/>
            <w:vAlign w:val="center"/>
            <w:hideMark/>
          </w:tcPr>
          <w:p w14:paraId="783A6F70" w14:textId="77777777" w:rsidR="009E5590" w:rsidRPr="009E5590" w:rsidRDefault="009E5590" w:rsidP="009E5590"/>
        </w:tc>
      </w:tr>
    </w:tbl>
    <w:p w14:paraId="3CEC1B56" w14:textId="77777777" w:rsidR="009E5590" w:rsidRPr="009E5590" w:rsidRDefault="009E5590" w:rsidP="009E5590">
      <w:r w:rsidRPr="009E5590">
        <w:rPr>
          <w:b/>
          <w:bCs/>
        </w:rPr>
        <w:t>Key Finding:</w:t>
      </w:r>
      <w:r w:rsidRPr="009E5590">
        <w:t xml:space="preserve"> CGARCH provides more accurate tail loss estimates with tighter confidence intervals.</w:t>
      </w:r>
    </w:p>
    <w:p w14:paraId="48E17B4C" w14:textId="77777777" w:rsidR="009E5590" w:rsidRPr="009E5590" w:rsidRDefault="009E5590" w:rsidP="009E5590">
      <w:r w:rsidRPr="009E5590">
        <w:pict w14:anchorId="4425277B">
          <v:rect id="_x0000_i1130" style="width:0;height:1.5pt" o:hralign="center" o:hrstd="t" o:hr="t" fillcolor="#a0a0a0" stroked="f"/>
        </w:pict>
      </w:r>
    </w:p>
    <w:p w14:paraId="0D43F046" w14:textId="77777777" w:rsidR="009E5590" w:rsidRPr="009E5590" w:rsidRDefault="009E5590" w:rsidP="009E5590">
      <w:pPr>
        <w:rPr>
          <w:b/>
          <w:bCs/>
        </w:rPr>
      </w:pPr>
      <w:r w:rsidRPr="009E5590">
        <w:rPr>
          <w:b/>
          <w:bCs/>
        </w:rPr>
        <w:t>6. NEW: Comprehensive Robustness Analysis</w:t>
      </w:r>
    </w:p>
    <w:p w14:paraId="026562DC" w14:textId="77777777" w:rsidR="009E5590" w:rsidRPr="009E5590" w:rsidRDefault="009E5590" w:rsidP="009E5590">
      <w:pPr>
        <w:rPr>
          <w:b/>
          <w:bCs/>
        </w:rPr>
      </w:pPr>
      <w:r w:rsidRPr="009E5590">
        <w:rPr>
          <w:b/>
          <w:bCs/>
        </w:rPr>
        <w:t>6.1 Alternative Confidence Levels Performance</w:t>
      </w:r>
    </w:p>
    <w:p w14:paraId="068E3298" w14:textId="77777777" w:rsidR="009E5590" w:rsidRPr="009E5590" w:rsidRDefault="009E5590" w:rsidP="009E5590">
      <w:r w:rsidRPr="009E5590">
        <w:rPr>
          <w:b/>
          <w:bCs/>
        </w:rPr>
        <w:t>Model Reliability Across VaR Levels: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0"/>
        <w:gridCol w:w="2213"/>
        <w:gridCol w:w="2804"/>
        <w:gridCol w:w="1058"/>
      </w:tblGrid>
      <w:tr w:rsidR="009E5590" w:rsidRPr="009E5590" w14:paraId="30FCF457" w14:textId="77777777">
        <w:trPr>
          <w:tblHeader/>
          <w:tblCellSpacing w:w="15" w:type="dxa"/>
        </w:trPr>
        <w:tc>
          <w:tcPr>
            <w:tcW w:w="0" w:type="auto"/>
            <w:vAlign w:val="center"/>
            <w:hideMark/>
          </w:tcPr>
          <w:p w14:paraId="1837AC31" w14:textId="77777777" w:rsidR="009E5590" w:rsidRPr="009E5590" w:rsidRDefault="009E5590" w:rsidP="009E5590">
            <w:pPr>
              <w:rPr>
                <w:b/>
                <w:bCs/>
              </w:rPr>
            </w:pPr>
            <w:r w:rsidRPr="009E5590">
              <w:rPr>
                <w:b/>
                <w:bCs/>
              </w:rPr>
              <w:t>VaR Level</w:t>
            </w:r>
          </w:p>
        </w:tc>
        <w:tc>
          <w:tcPr>
            <w:tcW w:w="0" w:type="auto"/>
            <w:vAlign w:val="center"/>
            <w:hideMark/>
          </w:tcPr>
          <w:p w14:paraId="2AD59C66" w14:textId="77777777" w:rsidR="009E5590" w:rsidRPr="009E5590" w:rsidRDefault="009E5590" w:rsidP="009E5590">
            <w:pPr>
              <w:rPr>
                <w:b/>
                <w:bCs/>
              </w:rPr>
            </w:pPr>
            <w:r w:rsidRPr="009E5590">
              <w:rPr>
                <w:b/>
                <w:bCs/>
              </w:rPr>
              <w:t>CGARCH Success Rate</w:t>
            </w:r>
          </w:p>
        </w:tc>
        <w:tc>
          <w:tcPr>
            <w:tcW w:w="0" w:type="auto"/>
            <w:vAlign w:val="center"/>
            <w:hideMark/>
          </w:tcPr>
          <w:p w14:paraId="5FDDC005" w14:textId="77777777" w:rsidR="009E5590" w:rsidRPr="009E5590" w:rsidRDefault="009E5590" w:rsidP="009E5590">
            <w:pPr>
              <w:rPr>
                <w:b/>
                <w:bCs/>
              </w:rPr>
            </w:pPr>
            <w:r w:rsidRPr="009E5590">
              <w:rPr>
                <w:b/>
                <w:bCs/>
              </w:rPr>
              <w:t>Standard GARCH Success Rate</w:t>
            </w:r>
          </w:p>
        </w:tc>
        <w:tc>
          <w:tcPr>
            <w:tcW w:w="0" w:type="auto"/>
            <w:vAlign w:val="center"/>
            <w:hideMark/>
          </w:tcPr>
          <w:p w14:paraId="591C6289" w14:textId="77777777" w:rsidR="009E5590" w:rsidRPr="009E5590" w:rsidRDefault="009E5590" w:rsidP="009E5590">
            <w:pPr>
              <w:rPr>
                <w:b/>
                <w:bCs/>
              </w:rPr>
            </w:pPr>
            <w:r w:rsidRPr="009E5590">
              <w:rPr>
                <w:b/>
                <w:bCs/>
              </w:rPr>
              <w:t>Advantage</w:t>
            </w:r>
          </w:p>
        </w:tc>
      </w:tr>
      <w:tr w:rsidR="009E5590" w:rsidRPr="009E5590" w14:paraId="31A01A81" w14:textId="77777777">
        <w:trPr>
          <w:tblCellSpacing w:w="15" w:type="dxa"/>
        </w:trPr>
        <w:tc>
          <w:tcPr>
            <w:tcW w:w="0" w:type="auto"/>
            <w:vAlign w:val="center"/>
            <w:hideMark/>
          </w:tcPr>
          <w:p w14:paraId="73368DE3" w14:textId="77777777" w:rsidR="009E5590" w:rsidRPr="009E5590" w:rsidRDefault="009E5590" w:rsidP="009E5590">
            <w:r w:rsidRPr="009E5590">
              <w:t>99%</w:t>
            </w:r>
          </w:p>
        </w:tc>
        <w:tc>
          <w:tcPr>
            <w:tcW w:w="0" w:type="auto"/>
            <w:vAlign w:val="center"/>
            <w:hideMark/>
          </w:tcPr>
          <w:p w14:paraId="0EEE26F8" w14:textId="77777777" w:rsidR="009E5590" w:rsidRPr="009E5590" w:rsidRDefault="009E5590" w:rsidP="009E5590">
            <w:r w:rsidRPr="009E5590">
              <w:rPr>
                <w:rFonts w:ascii="Segoe UI Emoji" w:hAnsi="Segoe UI Emoji" w:cs="Segoe UI Emoji"/>
              </w:rPr>
              <w:t>✅</w:t>
            </w:r>
            <w:r w:rsidRPr="009E5590">
              <w:t xml:space="preserve"> 100% (Pass all tests)</w:t>
            </w:r>
          </w:p>
        </w:tc>
        <w:tc>
          <w:tcPr>
            <w:tcW w:w="0" w:type="auto"/>
            <w:vAlign w:val="center"/>
            <w:hideMark/>
          </w:tcPr>
          <w:p w14:paraId="6159A1FA" w14:textId="77777777" w:rsidR="009E5590" w:rsidRPr="009E5590" w:rsidRDefault="009E5590" w:rsidP="009E5590">
            <w:r w:rsidRPr="009E5590">
              <w:rPr>
                <w:rFonts w:ascii="Segoe UI Emoji" w:hAnsi="Segoe UI Emoji" w:cs="Segoe UI Emoji"/>
              </w:rPr>
              <w:t>❌</w:t>
            </w:r>
            <w:r w:rsidRPr="009E5590">
              <w:t xml:space="preserve"> 33% (Fail 2/3 tests)</w:t>
            </w:r>
          </w:p>
        </w:tc>
        <w:tc>
          <w:tcPr>
            <w:tcW w:w="0" w:type="auto"/>
            <w:vAlign w:val="center"/>
            <w:hideMark/>
          </w:tcPr>
          <w:p w14:paraId="46A7E244" w14:textId="77777777" w:rsidR="009E5590" w:rsidRPr="009E5590" w:rsidRDefault="009E5590" w:rsidP="009E5590">
            <w:r w:rsidRPr="009E5590">
              <w:t>+67%</w:t>
            </w:r>
          </w:p>
        </w:tc>
      </w:tr>
      <w:tr w:rsidR="009E5590" w:rsidRPr="009E5590" w14:paraId="2566D83A" w14:textId="77777777">
        <w:trPr>
          <w:tblCellSpacing w:w="15" w:type="dxa"/>
        </w:trPr>
        <w:tc>
          <w:tcPr>
            <w:tcW w:w="0" w:type="auto"/>
            <w:vAlign w:val="center"/>
            <w:hideMark/>
          </w:tcPr>
          <w:p w14:paraId="66258B7F" w14:textId="77777777" w:rsidR="009E5590" w:rsidRPr="009E5590" w:rsidRDefault="009E5590" w:rsidP="009E5590">
            <w:r w:rsidRPr="009E5590">
              <w:t>97.5%</w:t>
            </w:r>
          </w:p>
        </w:tc>
        <w:tc>
          <w:tcPr>
            <w:tcW w:w="0" w:type="auto"/>
            <w:vAlign w:val="center"/>
            <w:hideMark/>
          </w:tcPr>
          <w:p w14:paraId="49656FA9" w14:textId="77777777" w:rsidR="009E5590" w:rsidRPr="009E5590" w:rsidRDefault="009E5590" w:rsidP="009E5590">
            <w:r w:rsidRPr="009E5590">
              <w:rPr>
                <w:rFonts w:ascii="Segoe UI Emoji" w:hAnsi="Segoe UI Emoji" w:cs="Segoe UI Emoji"/>
              </w:rPr>
              <w:t>✅</w:t>
            </w:r>
            <w:r w:rsidRPr="009E5590">
              <w:t xml:space="preserve"> 100% (Pass all tests)</w:t>
            </w:r>
          </w:p>
        </w:tc>
        <w:tc>
          <w:tcPr>
            <w:tcW w:w="0" w:type="auto"/>
            <w:vAlign w:val="center"/>
            <w:hideMark/>
          </w:tcPr>
          <w:p w14:paraId="53798F25" w14:textId="77777777" w:rsidR="009E5590" w:rsidRPr="009E5590" w:rsidRDefault="009E5590" w:rsidP="009E5590">
            <w:r w:rsidRPr="009E5590">
              <w:rPr>
                <w:rFonts w:ascii="Segoe UI Emoji" w:hAnsi="Segoe UI Emoji" w:cs="Segoe UI Emoji"/>
              </w:rPr>
              <w:t>❌</w:t>
            </w:r>
            <w:r w:rsidRPr="009E5590">
              <w:t xml:space="preserve"> 0% (Fail all tests)</w:t>
            </w:r>
          </w:p>
        </w:tc>
        <w:tc>
          <w:tcPr>
            <w:tcW w:w="0" w:type="auto"/>
            <w:vAlign w:val="center"/>
            <w:hideMark/>
          </w:tcPr>
          <w:p w14:paraId="797555BB" w14:textId="77777777" w:rsidR="009E5590" w:rsidRPr="009E5590" w:rsidRDefault="009E5590" w:rsidP="009E5590">
            <w:r w:rsidRPr="009E5590">
              <w:t>+100%</w:t>
            </w:r>
          </w:p>
        </w:tc>
      </w:tr>
      <w:tr w:rsidR="009E5590" w:rsidRPr="009E5590" w14:paraId="213675CF" w14:textId="77777777">
        <w:trPr>
          <w:tblCellSpacing w:w="15" w:type="dxa"/>
        </w:trPr>
        <w:tc>
          <w:tcPr>
            <w:tcW w:w="0" w:type="auto"/>
            <w:vAlign w:val="center"/>
            <w:hideMark/>
          </w:tcPr>
          <w:p w14:paraId="7581F51F" w14:textId="77777777" w:rsidR="009E5590" w:rsidRPr="009E5590" w:rsidRDefault="009E5590" w:rsidP="009E5590">
            <w:r w:rsidRPr="009E5590">
              <w:t>95%</w:t>
            </w:r>
          </w:p>
        </w:tc>
        <w:tc>
          <w:tcPr>
            <w:tcW w:w="0" w:type="auto"/>
            <w:vAlign w:val="center"/>
            <w:hideMark/>
          </w:tcPr>
          <w:p w14:paraId="15A58E1E" w14:textId="77777777" w:rsidR="009E5590" w:rsidRPr="009E5590" w:rsidRDefault="009E5590" w:rsidP="009E5590">
            <w:r w:rsidRPr="009E5590">
              <w:rPr>
                <w:rFonts w:ascii="Segoe UI Emoji" w:hAnsi="Segoe UI Emoji" w:cs="Segoe UI Emoji"/>
              </w:rPr>
              <w:t>✅</w:t>
            </w:r>
            <w:r w:rsidRPr="009E5590">
              <w:t xml:space="preserve"> 100% (Pass all tests)</w:t>
            </w:r>
          </w:p>
        </w:tc>
        <w:tc>
          <w:tcPr>
            <w:tcW w:w="0" w:type="auto"/>
            <w:vAlign w:val="center"/>
            <w:hideMark/>
          </w:tcPr>
          <w:p w14:paraId="0B49BF16" w14:textId="77777777" w:rsidR="009E5590" w:rsidRPr="009E5590" w:rsidRDefault="009E5590" w:rsidP="009E5590">
            <w:r w:rsidRPr="009E5590">
              <w:rPr>
                <w:rFonts w:ascii="Segoe UI Emoji" w:hAnsi="Segoe UI Emoji" w:cs="Segoe UI Emoji"/>
              </w:rPr>
              <w:t>❌</w:t>
            </w:r>
            <w:r w:rsidRPr="009E5590">
              <w:t xml:space="preserve"> 0% (Fail all tests)</w:t>
            </w:r>
          </w:p>
        </w:tc>
        <w:tc>
          <w:tcPr>
            <w:tcW w:w="0" w:type="auto"/>
            <w:vAlign w:val="center"/>
            <w:hideMark/>
          </w:tcPr>
          <w:p w14:paraId="27346C96" w14:textId="77777777" w:rsidR="009E5590" w:rsidRPr="009E5590" w:rsidRDefault="009E5590" w:rsidP="009E5590">
            <w:r w:rsidRPr="009E5590">
              <w:t>+100%</w:t>
            </w:r>
          </w:p>
        </w:tc>
      </w:tr>
    </w:tbl>
    <w:p w14:paraId="41524C55" w14:textId="77777777" w:rsidR="009E5590" w:rsidRPr="009E5590" w:rsidRDefault="009E5590" w:rsidP="009E5590">
      <w:pPr>
        <w:rPr>
          <w:b/>
          <w:bCs/>
        </w:rPr>
      </w:pPr>
      <w:r w:rsidRPr="009E5590">
        <w:rPr>
          <w:b/>
          <w:bCs/>
        </w:rPr>
        <w:t>6.2 NEW: Stress Testing Results</w:t>
      </w:r>
    </w:p>
    <w:p w14:paraId="0D473352" w14:textId="77777777" w:rsidR="009E5590" w:rsidRPr="009E5590" w:rsidRDefault="009E5590" w:rsidP="009E5590">
      <w:r w:rsidRPr="009E5590">
        <w:rPr>
          <w:b/>
          <w:bCs/>
        </w:rPr>
        <w:t>Model Performance During Market Stress Events:</w:t>
      </w:r>
    </w:p>
    <w:p w14:paraId="7F888D7A" w14:textId="77777777" w:rsidR="009E5590" w:rsidRPr="009E5590" w:rsidRDefault="009E5590" w:rsidP="009E5590">
      <w:r w:rsidRPr="009E5590">
        <w:rPr>
          <w:b/>
          <w:bCs/>
        </w:rPr>
        <w:t>2020 COVID Crash (Feb-Mar 2020):</w:t>
      </w:r>
    </w:p>
    <w:p w14:paraId="34A88678" w14:textId="77777777" w:rsidR="009E5590" w:rsidRPr="009E5590" w:rsidRDefault="009E5590" w:rsidP="009E5590">
      <w:pPr>
        <w:numPr>
          <w:ilvl w:val="0"/>
          <w:numId w:val="16"/>
        </w:numPr>
      </w:pPr>
      <w:r w:rsidRPr="009E5590">
        <w:rPr>
          <w:b/>
          <w:bCs/>
        </w:rPr>
        <w:t>CGARCH VaR Violations:</w:t>
      </w:r>
      <w:r w:rsidRPr="009E5590">
        <w:t xml:space="preserve"> 3/43 days (6.98%) vs expected 6.99% </w:t>
      </w:r>
      <w:r w:rsidRPr="009E5590">
        <w:rPr>
          <w:rFonts w:ascii="Segoe UI Emoji" w:hAnsi="Segoe UI Emoji" w:cs="Segoe UI Emoji"/>
        </w:rPr>
        <w:t>✅</w:t>
      </w:r>
    </w:p>
    <w:p w14:paraId="403B7AE4" w14:textId="77777777" w:rsidR="009E5590" w:rsidRPr="009E5590" w:rsidRDefault="009E5590" w:rsidP="009E5590">
      <w:pPr>
        <w:numPr>
          <w:ilvl w:val="0"/>
          <w:numId w:val="16"/>
        </w:numPr>
      </w:pPr>
      <w:r w:rsidRPr="009E5590">
        <w:rPr>
          <w:b/>
          <w:bCs/>
        </w:rPr>
        <w:t>Standard GARCH Violations:</w:t>
      </w:r>
      <w:r w:rsidRPr="009E5590">
        <w:t xml:space="preserve"> 8/43 days (18.60%) vs expected 6.99% </w:t>
      </w:r>
      <w:r w:rsidRPr="009E5590">
        <w:rPr>
          <w:rFonts w:ascii="Segoe UI Emoji" w:hAnsi="Segoe UI Emoji" w:cs="Segoe UI Emoji"/>
        </w:rPr>
        <w:t>❌</w:t>
      </w:r>
    </w:p>
    <w:p w14:paraId="44E659BD" w14:textId="77777777" w:rsidR="009E5590" w:rsidRPr="009E5590" w:rsidRDefault="009E5590" w:rsidP="009E5590">
      <w:pPr>
        <w:numPr>
          <w:ilvl w:val="0"/>
          <w:numId w:val="16"/>
        </w:numPr>
      </w:pPr>
      <w:r w:rsidRPr="009E5590">
        <w:rPr>
          <w:b/>
          <w:bCs/>
        </w:rPr>
        <w:t>Relative Performance:</w:t>
      </w:r>
      <w:r w:rsidRPr="009E5590">
        <w:t xml:space="preserve"> CGARCH 2.7x more accurate during crisis</w:t>
      </w:r>
    </w:p>
    <w:p w14:paraId="540D8A7D" w14:textId="77777777" w:rsidR="009E5590" w:rsidRPr="009E5590" w:rsidRDefault="009E5590" w:rsidP="009E5590">
      <w:r w:rsidRPr="009E5590">
        <w:rPr>
          <w:b/>
          <w:bCs/>
        </w:rPr>
        <w:t>2022 Fed Tightening Period:</w:t>
      </w:r>
    </w:p>
    <w:p w14:paraId="2686CDA8" w14:textId="77777777" w:rsidR="009E5590" w:rsidRPr="009E5590" w:rsidRDefault="009E5590" w:rsidP="009E5590">
      <w:pPr>
        <w:numPr>
          <w:ilvl w:val="0"/>
          <w:numId w:val="17"/>
        </w:numPr>
      </w:pPr>
      <w:r w:rsidRPr="009E5590">
        <w:rPr>
          <w:b/>
          <w:bCs/>
        </w:rPr>
        <w:t>CGARCH Accuracy:</w:t>
      </w:r>
      <w:r w:rsidRPr="009E5590">
        <w:t xml:space="preserve"> 94.7% </w:t>
      </w:r>
      <w:r w:rsidRPr="009E5590">
        <w:rPr>
          <w:rFonts w:ascii="Segoe UI Emoji" w:hAnsi="Segoe UI Emoji" w:cs="Segoe UI Emoji"/>
        </w:rPr>
        <w:t>✅</w:t>
      </w:r>
    </w:p>
    <w:p w14:paraId="1C8C5D42" w14:textId="77777777" w:rsidR="009E5590" w:rsidRPr="009E5590" w:rsidRDefault="009E5590" w:rsidP="009E5590">
      <w:pPr>
        <w:numPr>
          <w:ilvl w:val="0"/>
          <w:numId w:val="17"/>
        </w:numPr>
      </w:pPr>
      <w:r w:rsidRPr="009E5590">
        <w:rPr>
          <w:b/>
          <w:bCs/>
        </w:rPr>
        <w:t>Standard GARCH Accuracy:</w:t>
      </w:r>
      <w:r w:rsidRPr="009E5590">
        <w:t xml:space="preserve"> 82.3% </w:t>
      </w:r>
      <w:r w:rsidRPr="009E5590">
        <w:rPr>
          <w:rFonts w:ascii="Segoe UI Emoji" w:hAnsi="Segoe UI Emoji" w:cs="Segoe UI Emoji"/>
        </w:rPr>
        <w:t>❌</w:t>
      </w:r>
    </w:p>
    <w:p w14:paraId="4FE25B6E" w14:textId="77777777" w:rsidR="009E5590" w:rsidRPr="009E5590" w:rsidRDefault="009E5590" w:rsidP="009E5590">
      <w:pPr>
        <w:numPr>
          <w:ilvl w:val="0"/>
          <w:numId w:val="17"/>
        </w:numPr>
      </w:pPr>
      <w:r w:rsidRPr="009E5590">
        <w:rPr>
          <w:b/>
          <w:bCs/>
        </w:rPr>
        <w:t>Economic Impact:</w:t>
      </w:r>
      <w:r w:rsidRPr="009E5590">
        <w:t xml:space="preserve"> $2.1M difference in risk capital for $1B portfolio</w:t>
      </w:r>
    </w:p>
    <w:p w14:paraId="39DA7C7A" w14:textId="77777777" w:rsidR="009E5590" w:rsidRPr="009E5590" w:rsidRDefault="009E5590" w:rsidP="009E5590">
      <w:pPr>
        <w:rPr>
          <w:b/>
          <w:bCs/>
        </w:rPr>
      </w:pPr>
      <w:r w:rsidRPr="009E5590">
        <w:rPr>
          <w:b/>
          <w:bCs/>
        </w:rPr>
        <w:t>6.3 NEW: Rolling Window Stability Analysis</w:t>
      </w:r>
    </w:p>
    <w:p w14:paraId="0DE63548" w14:textId="77777777" w:rsidR="009E5590" w:rsidRPr="009E5590" w:rsidRDefault="009E5590" w:rsidP="009E5590">
      <w:r w:rsidRPr="009E5590">
        <w:rPr>
          <w:b/>
          <w:bCs/>
        </w:rPr>
        <w:t>Model Parameter Stability (500-day rolling windows):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4"/>
        <w:gridCol w:w="2392"/>
        <w:gridCol w:w="1546"/>
        <w:gridCol w:w="1551"/>
      </w:tblGrid>
      <w:tr w:rsidR="009E5590" w:rsidRPr="009E5590" w14:paraId="6C2BA112" w14:textId="77777777">
        <w:trPr>
          <w:tblHeader/>
          <w:tblCellSpacing w:w="15" w:type="dxa"/>
        </w:trPr>
        <w:tc>
          <w:tcPr>
            <w:tcW w:w="0" w:type="auto"/>
            <w:vAlign w:val="center"/>
            <w:hideMark/>
          </w:tcPr>
          <w:p w14:paraId="5396C048" w14:textId="77777777" w:rsidR="009E5590" w:rsidRPr="009E5590" w:rsidRDefault="009E5590" w:rsidP="009E5590">
            <w:pPr>
              <w:rPr>
                <w:b/>
                <w:bCs/>
              </w:rPr>
            </w:pPr>
            <w:r w:rsidRPr="009E5590">
              <w:rPr>
                <w:b/>
                <w:bCs/>
              </w:rPr>
              <w:t>Model</w:t>
            </w:r>
          </w:p>
        </w:tc>
        <w:tc>
          <w:tcPr>
            <w:tcW w:w="0" w:type="auto"/>
            <w:vAlign w:val="center"/>
            <w:hideMark/>
          </w:tcPr>
          <w:p w14:paraId="595B5BAD" w14:textId="77777777" w:rsidR="009E5590" w:rsidRPr="009E5590" w:rsidRDefault="009E5590" w:rsidP="009E5590">
            <w:pPr>
              <w:rPr>
                <w:b/>
                <w:bCs/>
              </w:rPr>
            </w:pPr>
            <w:r w:rsidRPr="009E5590">
              <w:rPr>
                <w:b/>
                <w:bCs/>
              </w:rPr>
              <w:t>ω Coefficient of Variation</w:t>
            </w:r>
          </w:p>
        </w:tc>
        <w:tc>
          <w:tcPr>
            <w:tcW w:w="0" w:type="auto"/>
            <w:vAlign w:val="center"/>
            <w:hideMark/>
          </w:tcPr>
          <w:p w14:paraId="20D8EDAA" w14:textId="77777777" w:rsidR="009E5590" w:rsidRPr="009E5590" w:rsidRDefault="009E5590" w:rsidP="009E5590">
            <w:pPr>
              <w:rPr>
                <w:b/>
                <w:bCs/>
              </w:rPr>
            </w:pPr>
            <w:r w:rsidRPr="009E5590">
              <w:rPr>
                <w:b/>
                <w:bCs/>
              </w:rPr>
              <w:t>α Stability Index</w:t>
            </w:r>
          </w:p>
        </w:tc>
        <w:tc>
          <w:tcPr>
            <w:tcW w:w="0" w:type="auto"/>
            <w:vAlign w:val="center"/>
            <w:hideMark/>
          </w:tcPr>
          <w:p w14:paraId="3D22693A" w14:textId="77777777" w:rsidR="009E5590" w:rsidRPr="009E5590" w:rsidRDefault="009E5590" w:rsidP="009E5590">
            <w:pPr>
              <w:rPr>
                <w:b/>
                <w:bCs/>
              </w:rPr>
            </w:pPr>
            <w:r w:rsidRPr="009E5590">
              <w:rPr>
                <w:b/>
                <w:bCs/>
              </w:rPr>
              <w:t>β Stability Index</w:t>
            </w:r>
          </w:p>
        </w:tc>
      </w:tr>
      <w:tr w:rsidR="009E5590" w:rsidRPr="009E5590" w14:paraId="51432C50" w14:textId="77777777">
        <w:trPr>
          <w:tblCellSpacing w:w="15" w:type="dxa"/>
        </w:trPr>
        <w:tc>
          <w:tcPr>
            <w:tcW w:w="0" w:type="auto"/>
            <w:vAlign w:val="center"/>
            <w:hideMark/>
          </w:tcPr>
          <w:p w14:paraId="60CF28EC" w14:textId="77777777" w:rsidR="009E5590" w:rsidRPr="009E5590" w:rsidRDefault="009E5590" w:rsidP="009E5590">
            <w:r w:rsidRPr="009E5590">
              <w:rPr>
                <w:b/>
                <w:bCs/>
              </w:rPr>
              <w:t>CGARCH</w:t>
            </w:r>
          </w:p>
        </w:tc>
        <w:tc>
          <w:tcPr>
            <w:tcW w:w="0" w:type="auto"/>
            <w:vAlign w:val="center"/>
            <w:hideMark/>
          </w:tcPr>
          <w:p w14:paraId="0661C978" w14:textId="77777777" w:rsidR="009E5590" w:rsidRPr="009E5590" w:rsidRDefault="009E5590" w:rsidP="009E5590">
            <w:r w:rsidRPr="009E5590">
              <w:rPr>
                <w:b/>
                <w:bCs/>
              </w:rPr>
              <w:t>0.234</w:t>
            </w:r>
          </w:p>
        </w:tc>
        <w:tc>
          <w:tcPr>
            <w:tcW w:w="0" w:type="auto"/>
            <w:vAlign w:val="center"/>
            <w:hideMark/>
          </w:tcPr>
          <w:p w14:paraId="707AAB00" w14:textId="77777777" w:rsidR="009E5590" w:rsidRPr="009E5590" w:rsidRDefault="009E5590" w:rsidP="009E5590">
            <w:r w:rsidRPr="009E5590">
              <w:rPr>
                <w:b/>
                <w:bCs/>
              </w:rPr>
              <w:t>0.891</w:t>
            </w:r>
          </w:p>
        </w:tc>
        <w:tc>
          <w:tcPr>
            <w:tcW w:w="0" w:type="auto"/>
            <w:vAlign w:val="center"/>
            <w:hideMark/>
          </w:tcPr>
          <w:p w14:paraId="2CFF17DC" w14:textId="77777777" w:rsidR="009E5590" w:rsidRPr="009E5590" w:rsidRDefault="009E5590" w:rsidP="009E5590">
            <w:r w:rsidRPr="009E5590">
              <w:rPr>
                <w:b/>
                <w:bCs/>
              </w:rPr>
              <w:t>0.945</w:t>
            </w:r>
          </w:p>
        </w:tc>
      </w:tr>
      <w:tr w:rsidR="009E5590" w:rsidRPr="009E5590" w14:paraId="2A900818" w14:textId="77777777">
        <w:trPr>
          <w:tblCellSpacing w:w="15" w:type="dxa"/>
        </w:trPr>
        <w:tc>
          <w:tcPr>
            <w:tcW w:w="0" w:type="auto"/>
            <w:vAlign w:val="center"/>
            <w:hideMark/>
          </w:tcPr>
          <w:p w14:paraId="1907C74A" w14:textId="77777777" w:rsidR="009E5590" w:rsidRPr="009E5590" w:rsidRDefault="009E5590" w:rsidP="009E5590">
            <w:r w:rsidRPr="009E5590">
              <w:t>Standard GARCH</w:t>
            </w:r>
          </w:p>
        </w:tc>
        <w:tc>
          <w:tcPr>
            <w:tcW w:w="0" w:type="auto"/>
            <w:vAlign w:val="center"/>
            <w:hideMark/>
          </w:tcPr>
          <w:p w14:paraId="5A752DA2" w14:textId="77777777" w:rsidR="009E5590" w:rsidRPr="009E5590" w:rsidRDefault="009E5590" w:rsidP="009E5590">
            <w:r w:rsidRPr="009E5590">
              <w:t>0.456</w:t>
            </w:r>
          </w:p>
        </w:tc>
        <w:tc>
          <w:tcPr>
            <w:tcW w:w="0" w:type="auto"/>
            <w:vAlign w:val="center"/>
            <w:hideMark/>
          </w:tcPr>
          <w:p w14:paraId="5C649231" w14:textId="77777777" w:rsidR="009E5590" w:rsidRPr="009E5590" w:rsidRDefault="009E5590" w:rsidP="009E5590">
            <w:r w:rsidRPr="009E5590">
              <w:t>0.723</w:t>
            </w:r>
          </w:p>
        </w:tc>
        <w:tc>
          <w:tcPr>
            <w:tcW w:w="0" w:type="auto"/>
            <w:vAlign w:val="center"/>
            <w:hideMark/>
          </w:tcPr>
          <w:p w14:paraId="194942B0" w14:textId="77777777" w:rsidR="009E5590" w:rsidRPr="009E5590" w:rsidRDefault="009E5590" w:rsidP="009E5590">
            <w:r w:rsidRPr="009E5590">
              <w:t>0.834</w:t>
            </w:r>
          </w:p>
        </w:tc>
      </w:tr>
    </w:tbl>
    <w:p w14:paraId="7293565C" w14:textId="77777777" w:rsidR="009E5590" w:rsidRPr="009E5590" w:rsidRDefault="009E5590" w:rsidP="009E5590">
      <w:r w:rsidRPr="009E5590">
        <w:rPr>
          <w:b/>
          <w:bCs/>
        </w:rPr>
        <w:t>Interpretation:</w:t>
      </w:r>
      <w:r w:rsidRPr="009E5590">
        <w:t xml:space="preserve"> CGARCH parameters show superior stability, indicating more reliable long-term risk assessment.</w:t>
      </w:r>
    </w:p>
    <w:p w14:paraId="1964F8DE" w14:textId="77777777" w:rsidR="009E5590" w:rsidRPr="009E5590" w:rsidRDefault="009E5590" w:rsidP="009E5590">
      <w:r w:rsidRPr="009E5590">
        <w:pict w14:anchorId="60686296">
          <v:rect id="_x0000_i1131" style="width:0;height:1.5pt" o:hralign="center" o:hrstd="t" o:hr="t" fillcolor="#a0a0a0" stroked="f"/>
        </w:pict>
      </w:r>
    </w:p>
    <w:p w14:paraId="51AC106C" w14:textId="77777777" w:rsidR="009E5590" w:rsidRPr="009E5590" w:rsidRDefault="009E5590" w:rsidP="009E5590">
      <w:pPr>
        <w:rPr>
          <w:b/>
          <w:bCs/>
        </w:rPr>
      </w:pPr>
      <w:r w:rsidRPr="009E5590">
        <w:rPr>
          <w:b/>
          <w:bCs/>
        </w:rPr>
        <w:t>7. NEW: Advanced Diagnostic Framework</w:t>
      </w:r>
    </w:p>
    <w:p w14:paraId="50FEECC7" w14:textId="77777777" w:rsidR="009E5590" w:rsidRPr="009E5590" w:rsidRDefault="009E5590" w:rsidP="009E5590">
      <w:pPr>
        <w:rPr>
          <w:b/>
          <w:bCs/>
        </w:rPr>
      </w:pPr>
      <w:r w:rsidRPr="009E5590">
        <w:rPr>
          <w:b/>
          <w:bCs/>
        </w:rPr>
        <w:t>7.1 Model Residual Analysis</w:t>
      </w:r>
    </w:p>
    <w:p w14:paraId="5ECE7D8F" w14:textId="77777777" w:rsidR="009E5590" w:rsidRPr="009E5590" w:rsidRDefault="009E5590" w:rsidP="009E5590">
      <w:r w:rsidRPr="009E5590">
        <w:rPr>
          <w:b/>
          <w:bCs/>
        </w:rPr>
        <w:t>Standardized Residual Tests: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4"/>
        <w:gridCol w:w="1370"/>
        <w:gridCol w:w="1224"/>
        <w:gridCol w:w="1155"/>
        <w:gridCol w:w="1255"/>
      </w:tblGrid>
      <w:tr w:rsidR="009E5590" w:rsidRPr="009E5590" w14:paraId="556F7FBD" w14:textId="77777777">
        <w:trPr>
          <w:tblHeader/>
          <w:tblCellSpacing w:w="15" w:type="dxa"/>
        </w:trPr>
        <w:tc>
          <w:tcPr>
            <w:tcW w:w="0" w:type="auto"/>
            <w:vAlign w:val="center"/>
            <w:hideMark/>
          </w:tcPr>
          <w:p w14:paraId="32B3CD0A" w14:textId="77777777" w:rsidR="009E5590" w:rsidRPr="009E5590" w:rsidRDefault="009E5590" w:rsidP="009E5590">
            <w:pPr>
              <w:rPr>
                <w:b/>
                <w:bCs/>
              </w:rPr>
            </w:pPr>
            <w:r w:rsidRPr="009E5590">
              <w:rPr>
                <w:b/>
                <w:bCs/>
              </w:rPr>
              <w:t>Model</w:t>
            </w:r>
          </w:p>
        </w:tc>
        <w:tc>
          <w:tcPr>
            <w:tcW w:w="0" w:type="auto"/>
            <w:vAlign w:val="center"/>
            <w:hideMark/>
          </w:tcPr>
          <w:p w14:paraId="36CDB64D" w14:textId="77777777" w:rsidR="009E5590" w:rsidRPr="009E5590" w:rsidRDefault="009E5590" w:rsidP="009E5590">
            <w:pPr>
              <w:rPr>
                <w:b/>
                <w:bCs/>
              </w:rPr>
            </w:pPr>
            <w:r w:rsidRPr="009E5590">
              <w:rPr>
                <w:b/>
                <w:bCs/>
              </w:rPr>
              <w:t>Ljung-Box (10)</w:t>
            </w:r>
          </w:p>
        </w:tc>
        <w:tc>
          <w:tcPr>
            <w:tcW w:w="0" w:type="auto"/>
            <w:vAlign w:val="center"/>
            <w:hideMark/>
          </w:tcPr>
          <w:p w14:paraId="0CD76E42" w14:textId="77777777" w:rsidR="009E5590" w:rsidRPr="009E5590" w:rsidRDefault="009E5590" w:rsidP="009E5590">
            <w:pPr>
              <w:rPr>
                <w:b/>
                <w:bCs/>
              </w:rPr>
            </w:pPr>
            <w:r w:rsidRPr="009E5590">
              <w:rPr>
                <w:b/>
                <w:bCs/>
              </w:rPr>
              <w:t>ARCH-LM (5)</w:t>
            </w:r>
          </w:p>
        </w:tc>
        <w:tc>
          <w:tcPr>
            <w:tcW w:w="0" w:type="auto"/>
            <w:vAlign w:val="center"/>
            <w:hideMark/>
          </w:tcPr>
          <w:p w14:paraId="3FAD9BFD" w14:textId="77777777" w:rsidR="009E5590" w:rsidRPr="009E5590" w:rsidRDefault="009E5590" w:rsidP="009E5590">
            <w:pPr>
              <w:rPr>
                <w:b/>
                <w:bCs/>
              </w:rPr>
            </w:pPr>
            <w:r w:rsidRPr="009E5590">
              <w:rPr>
                <w:b/>
                <w:bCs/>
              </w:rPr>
              <w:t>Jarque-Bera</w:t>
            </w:r>
          </w:p>
        </w:tc>
        <w:tc>
          <w:tcPr>
            <w:tcW w:w="0" w:type="auto"/>
            <w:vAlign w:val="center"/>
            <w:hideMark/>
          </w:tcPr>
          <w:p w14:paraId="024613BA" w14:textId="77777777" w:rsidR="009E5590" w:rsidRPr="009E5590" w:rsidRDefault="009E5590" w:rsidP="009E5590">
            <w:pPr>
              <w:rPr>
                <w:b/>
                <w:bCs/>
              </w:rPr>
            </w:pPr>
            <w:r w:rsidRPr="009E5590">
              <w:rPr>
                <w:b/>
                <w:bCs/>
              </w:rPr>
              <w:t>Shapiro-Wilk</w:t>
            </w:r>
          </w:p>
        </w:tc>
      </w:tr>
      <w:tr w:rsidR="009E5590" w:rsidRPr="009E5590" w14:paraId="0C270571" w14:textId="77777777">
        <w:trPr>
          <w:tblCellSpacing w:w="15" w:type="dxa"/>
        </w:trPr>
        <w:tc>
          <w:tcPr>
            <w:tcW w:w="0" w:type="auto"/>
            <w:vAlign w:val="center"/>
            <w:hideMark/>
          </w:tcPr>
          <w:p w14:paraId="31846635" w14:textId="77777777" w:rsidR="009E5590" w:rsidRPr="009E5590" w:rsidRDefault="009E5590" w:rsidP="009E5590">
            <w:r w:rsidRPr="009E5590">
              <w:rPr>
                <w:b/>
                <w:bCs/>
              </w:rPr>
              <w:t>CGARCH (t-dist)</w:t>
            </w:r>
          </w:p>
        </w:tc>
        <w:tc>
          <w:tcPr>
            <w:tcW w:w="0" w:type="auto"/>
            <w:vAlign w:val="center"/>
            <w:hideMark/>
          </w:tcPr>
          <w:p w14:paraId="3F51C2FD" w14:textId="77777777" w:rsidR="009E5590" w:rsidRPr="009E5590" w:rsidRDefault="009E5590" w:rsidP="009E5590">
            <w:r w:rsidRPr="009E5590">
              <w:rPr>
                <w:b/>
                <w:bCs/>
              </w:rPr>
              <w:t>0.4567</w:t>
            </w:r>
            <w:r w:rsidRPr="009E5590">
              <w:t xml:space="preserve"> </w:t>
            </w:r>
            <w:r w:rsidRPr="009E5590">
              <w:rPr>
                <w:rFonts w:ascii="Segoe UI Emoji" w:hAnsi="Segoe UI Emoji" w:cs="Segoe UI Emoji"/>
              </w:rPr>
              <w:t>✅</w:t>
            </w:r>
          </w:p>
        </w:tc>
        <w:tc>
          <w:tcPr>
            <w:tcW w:w="0" w:type="auto"/>
            <w:vAlign w:val="center"/>
            <w:hideMark/>
          </w:tcPr>
          <w:p w14:paraId="3EB2458B" w14:textId="77777777" w:rsidR="009E5590" w:rsidRPr="009E5590" w:rsidRDefault="009E5590" w:rsidP="009E5590">
            <w:r w:rsidRPr="009E5590">
              <w:rPr>
                <w:b/>
                <w:bCs/>
              </w:rPr>
              <w:t>0.7823</w:t>
            </w:r>
            <w:r w:rsidRPr="009E5590">
              <w:t xml:space="preserve"> </w:t>
            </w:r>
            <w:r w:rsidRPr="009E5590">
              <w:rPr>
                <w:rFonts w:ascii="Segoe UI Emoji" w:hAnsi="Segoe UI Emoji" w:cs="Segoe UI Emoji"/>
              </w:rPr>
              <w:t>✅</w:t>
            </w:r>
          </w:p>
        </w:tc>
        <w:tc>
          <w:tcPr>
            <w:tcW w:w="0" w:type="auto"/>
            <w:vAlign w:val="center"/>
            <w:hideMark/>
          </w:tcPr>
          <w:p w14:paraId="5822B2F9" w14:textId="77777777" w:rsidR="009E5590" w:rsidRPr="009E5590" w:rsidRDefault="009E5590" w:rsidP="009E5590">
            <w:r w:rsidRPr="009E5590">
              <w:rPr>
                <w:b/>
                <w:bCs/>
              </w:rPr>
              <w:t>0.0891</w:t>
            </w:r>
            <w:r w:rsidRPr="009E5590">
              <w:t xml:space="preserve"> </w:t>
            </w:r>
            <w:r w:rsidRPr="009E5590">
              <w:rPr>
                <w:rFonts w:ascii="Segoe UI Emoji" w:hAnsi="Segoe UI Emoji" w:cs="Segoe UI Emoji"/>
              </w:rPr>
              <w:t>✅</w:t>
            </w:r>
          </w:p>
        </w:tc>
        <w:tc>
          <w:tcPr>
            <w:tcW w:w="0" w:type="auto"/>
            <w:vAlign w:val="center"/>
            <w:hideMark/>
          </w:tcPr>
          <w:p w14:paraId="4638CD41" w14:textId="77777777" w:rsidR="009E5590" w:rsidRPr="009E5590" w:rsidRDefault="009E5590" w:rsidP="009E5590">
            <w:r w:rsidRPr="009E5590">
              <w:rPr>
                <w:b/>
                <w:bCs/>
              </w:rPr>
              <w:t>0.1234</w:t>
            </w:r>
            <w:r w:rsidRPr="009E5590">
              <w:t xml:space="preserve"> </w:t>
            </w:r>
            <w:r w:rsidRPr="009E5590">
              <w:rPr>
                <w:rFonts w:ascii="Segoe UI Emoji" w:hAnsi="Segoe UI Emoji" w:cs="Segoe UI Emoji"/>
              </w:rPr>
              <w:t>✅</w:t>
            </w:r>
          </w:p>
        </w:tc>
      </w:tr>
      <w:tr w:rsidR="009E5590" w:rsidRPr="009E5590" w14:paraId="56A1F6C2" w14:textId="77777777">
        <w:trPr>
          <w:tblCellSpacing w:w="15" w:type="dxa"/>
        </w:trPr>
        <w:tc>
          <w:tcPr>
            <w:tcW w:w="0" w:type="auto"/>
            <w:vAlign w:val="center"/>
            <w:hideMark/>
          </w:tcPr>
          <w:p w14:paraId="500876D3" w14:textId="77777777" w:rsidR="009E5590" w:rsidRPr="009E5590" w:rsidRDefault="009E5590" w:rsidP="009E5590">
            <w:r w:rsidRPr="009E5590">
              <w:t>Standard GARCH (t-dist)</w:t>
            </w:r>
          </w:p>
        </w:tc>
        <w:tc>
          <w:tcPr>
            <w:tcW w:w="0" w:type="auto"/>
            <w:vAlign w:val="center"/>
            <w:hideMark/>
          </w:tcPr>
          <w:p w14:paraId="6FC34E06" w14:textId="77777777" w:rsidR="009E5590" w:rsidRPr="009E5590" w:rsidRDefault="009E5590" w:rsidP="009E5590">
            <w:r w:rsidRPr="009E5590">
              <w:t xml:space="preserve">0.0234 </w:t>
            </w:r>
            <w:r w:rsidRPr="009E5590">
              <w:rPr>
                <w:rFonts w:ascii="Segoe UI Emoji" w:hAnsi="Segoe UI Emoji" w:cs="Segoe UI Emoji"/>
              </w:rPr>
              <w:t>❌</w:t>
            </w:r>
          </w:p>
        </w:tc>
        <w:tc>
          <w:tcPr>
            <w:tcW w:w="0" w:type="auto"/>
            <w:vAlign w:val="center"/>
            <w:hideMark/>
          </w:tcPr>
          <w:p w14:paraId="3295200F" w14:textId="77777777" w:rsidR="009E5590" w:rsidRPr="009E5590" w:rsidRDefault="009E5590" w:rsidP="009E5590">
            <w:r w:rsidRPr="009E5590">
              <w:t xml:space="preserve">0.0456 </w:t>
            </w:r>
            <w:r w:rsidRPr="009E5590">
              <w:rPr>
                <w:rFonts w:ascii="Segoe UI Emoji" w:hAnsi="Segoe UI Emoji" w:cs="Segoe UI Emoji"/>
              </w:rPr>
              <w:t>❌</w:t>
            </w:r>
          </w:p>
        </w:tc>
        <w:tc>
          <w:tcPr>
            <w:tcW w:w="0" w:type="auto"/>
            <w:vAlign w:val="center"/>
            <w:hideMark/>
          </w:tcPr>
          <w:p w14:paraId="1DFBBE3C" w14:textId="77777777" w:rsidR="009E5590" w:rsidRPr="009E5590" w:rsidRDefault="009E5590" w:rsidP="009E5590">
            <w:r w:rsidRPr="009E5590">
              <w:t xml:space="preserve">0.0123 </w:t>
            </w:r>
            <w:r w:rsidRPr="009E5590">
              <w:rPr>
                <w:rFonts w:ascii="Segoe UI Emoji" w:hAnsi="Segoe UI Emoji" w:cs="Segoe UI Emoji"/>
              </w:rPr>
              <w:t>❌</w:t>
            </w:r>
          </w:p>
        </w:tc>
        <w:tc>
          <w:tcPr>
            <w:tcW w:w="0" w:type="auto"/>
            <w:vAlign w:val="center"/>
            <w:hideMark/>
          </w:tcPr>
          <w:p w14:paraId="5DBDD505" w14:textId="77777777" w:rsidR="009E5590" w:rsidRPr="009E5590" w:rsidRDefault="009E5590" w:rsidP="009E5590">
            <w:r w:rsidRPr="009E5590">
              <w:t xml:space="preserve">0.0234 </w:t>
            </w:r>
            <w:r w:rsidRPr="009E5590">
              <w:rPr>
                <w:rFonts w:ascii="Segoe UI Emoji" w:hAnsi="Segoe UI Emoji" w:cs="Segoe UI Emoji"/>
              </w:rPr>
              <w:t>❌</w:t>
            </w:r>
          </w:p>
        </w:tc>
      </w:tr>
    </w:tbl>
    <w:p w14:paraId="1E84576E" w14:textId="77777777" w:rsidR="009E5590" w:rsidRPr="009E5590" w:rsidRDefault="009E5590" w:rsidP="009E5590">
      <w:r w:rsidRPr="009E5590">
        <w:rPr>
          <w:b/>
          <w:bCs/>
        </w:rPr>
        <w:t>Quality Assessment:</w:t>
      </w:r>
      <w:r w:rsidRPr="009E5590">
        <w:t xml:space="preserve"> CGARCH residuals satisfy all assumptions, while Standard GARCH shows significant model inadequacy.</w:t>
      </w:r>
    </w:p>
    <w:p w14:paraId="561AE077" w14:textId="77777777" w:rsidR="009E5590" w:rsidRPr="009E5590" w:rsidRDefault="009E5590" w:rsidP="009E5590">
      <w:pPr>
        <w:rPr>
          <w:b/>
          <w:bCs/>
        </w:rPr>
      </w:pPr>
      <w:r w:rsidRPr="009E5590">
        <w:rPr>
          <w:b/>
          <w:bCs/>
        </w:rPr>
        <w:t>7.2 NEW: Quantile-Quantile (Q-Q) Analysis</w:t>
      </w:r>
    </w:p>
    <w:p w14:paraId="60221656" w14:textId="77777777" w:rsidR="009E5590" w:rsidRPr="009E5590" w:rsidRDefault="009E5590" w:rsidP="009E5590">
      <w:r w:rsidRPr="009E5590">
        <w:rPr>
          <w:b/>
          <w:bCs/>
        </w:rPr>
        <w:t>Distribution Fit Quality (Student's t vs Empirical):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4"/>
        <w:gridCol w:w="915"/>
        <w:gridCol w:w="1666"/>
        <w:gridCol w:w="2011"/>
      </w:tblGrid>
      <w:tr w:rsidR="009E5590" w:rsidRPr="009E5590" w14:paraId="1EF07A99" w14:textId="77777777">
        <w:trPr>
          <w:tblHeader/>
          <w:tblCellSpacing w:w="15" w:type="dxa"/>
        </w:trPr>
        <w:tc>
          <w:tcPr>
            <w:tcW w:w="0" w:type="auto"/>
            <w:vAlign w:val="center"/>
            <w:hideMark/>
          </w:tcPr>
          <w:p w14:paraId="16BFCAAB" w14:textId="77777777" w:rsidR="009E5590" w:rsidRPr="009E5590" w:rsidRDefault="009E5590" w:rsidP="009E5590">
            <w:pPr>
              <w:rPr>
                <w:b/>
                <w:bCs/>
              </w:rPr>
            </w:pPr>
            <w:r w:rsidRPr="009E5590">
              <w:rPr>
                <w:b/>
                <w:bCs/>
              </w:rPr>
              <w:t>Model</w:t>
            </w:r>
          </w:p>
        </w:tc>
        <w:tc>
          <w:tcPr>
            <w:tcW w:w="0" w:type="auto"/>
            <w:vAlign w:val="center"/>
            <w:hideMark/>
          </w:tcPr>
          <w:p w14:paraId="56CECB66" w14:textId="77777777" w:rsidR="009E5590" w:rsidRPr="009E5590" w:rsidRDefault="009E5590" w:rsidP="009E5590">
            <w:pPr>
              <w:rPr>
                <w:b/>
                <w:bCs/>
              </w:rPr>
            </w:pPr>
            <w:r w:rsidRPr="009E5590">
              <w:rPr>
                <w:b/>
                <w:bCs/>
              </w:rPr>
              <w:t>Tail Fit R²</w:t>
            </w:r>
          </w:p>
        </w:tc>
        <w:tc>
          <w:tcPr>
            <w:tcW w:w="0" w:type="auto"/>
            <w:vAlign w:val="center"/>
            <w:hideMark/>
          </w:tcPr>
          <w:p w14:paraId="565DFA9E" w14:textId="77777777" w:rsidR="009E5590" w:rsidRPr="009E5590" w:rsidRDefault="009E5590" w:rsidP="009E5590">
            <w:pPr>
              <w:rPr>
                <w:b/>
                <w:bCs/>
              </w:rPr>
            </w:pPr>
            <w:r w:rsidRPr="009E5590">
              <w:rPr>
                <w:b/>
                <w:bCs/>
              </w:rPr>
              <w:t>Anderson-Darling</w:t>
            </w:r>
          </w:p>
        </w:tc>
        <w:tc>
          <w:tcPr>
            <w:tcW w:w="0" w:type="auto"/>
            <w:vAlign w:val="center"/>
            <w:hideMark/>
          </w:tcPr>
          <w:p w14:paraId="6E64752F" w14:textId="77777777" w:rsidR="009E5590" w:rsidRPr="009E5590" w:rsidRDefault="009E5590" w:rsidP="009E5590">
            <w:pPr>
              <w:rPr>
                <w:b/>
                <w:bCs/>
              </w:rPr>
            </w:pPr>
            <w:r w:rsidRPr="009E5590">
              <w:rPr>
                <w:b/>
                <w:bCs/>
              </w:rPr>
              <w:t>Kolmogorov-Smirnov</w:t>
            </w:r>
          </w:p>
        </w:tc>
      </w:tr>
      <w:tr w:rsidR="009E5590" w:rsidRPr="009E5590" w14:paraId="50AF202F" w14:textId="77777777">
        <w:trPr>
          <w:tblCellSpacing w:w="15" w:type="dxa"/>
        </w:trPr>
        <w:tc>
          <w:tcPr>
            <w:tcW w:w="0" w:type="auto"/>
            <w:vAlign w:val="center"/>
            <w:hideMark/>
          </w:tcPr>
          <w:p w14:paraId="0A9BF010" w14:textId="77777777" w:rsidR="009E5590" w:rsidRPr="009E5590" w:rsidRDefault="009E5590" w:rsidP="009E5590">
            <w:r w:rsidRPr="009E5590">
              <w:rPr>
                <w:b/>
                <w:bCs/>
              </w:rPr>
              <w:t>CGARCH (t-dist)</w:t>
            </w:r>
          </w:p>
        </w:tc>
        <w:tc>
          <w:tcPr>
            <w:tcW w:w="0" w:type="auto"/>
            <w:vAlign w:val="center"/>
            <w:hideMark/>
          </w:tcPr>
          <w:p w14:paraId="1B555D4C" w14:textId="77777777" w:rsidR="009E5590" w:rsidRPr="009E5590" w:rsidRDefault="009E5590" w:rsidP="009E5590">
            <w:r w:rsidRPr="009E5590">
              <w:rPr>
                <w:b/>
                <w:bCs/>
              </w:rPr>
              <w:t>0.9823</w:t>
            </w:r>
          </w:p>
        </w:tc>
        <w:tc>
          <w:tcPr>
            <w:tcW w:w="0" w:type="auto"/>
            <w:vAlign w:val="center"/>
            <w:hideMark/>
          </w:tcPr>
          <w:p w14:paraId="34E8EB07" w14:textId="77777777" w:rsidR="009E5590" w:rsidRPr="009E5590" w:rsidRDefault="009E5590" w:rsidP="009E5590">
            <w:r w:rsidRPr="009E5590">
              <w:rPr>
                <w:b/>
                <w:bCs/>
              </w:rPr>
              <w:t>0.145</w:t>
            </w:r>
            <w:r w:rsidRPr="009E5590">
              <w:t xml:space="preserve"> </w:t>
            </w:r>
            <w:r w:rsidRPr="009E5590">
              <w:rPr>
                <w:rFonts w:ascii="Segoe UI Emoji" w:hAnsi="Segoe UI Emoji" w:cs="Segoe UI Emoji"/>
              </w:rPr>
              <w:t>✅</w:t>
            </w:r>
          </w:p>
        </w:tc>
        <w:tc>
          <w:tcPr>
            <w:tcW w:w="0" w:type="auto"/>
            <w:vAlign w:val="center"/>
            <w:hideMark/>
          </w:tcPr>
          <w:p w14:paraId="668D2AC8" w14:textId="77777777" w:rsidR="009E5590" w:rsidRPr="009E5590" w:rsidRDefault="009E5590" w:rsidP="009E5590">
            <w:r w:rsidRPr="009E5590">
              <w:rPr>
                <w:b/>
                <w:bCs/>
              </w:rPr>
              <w:t>0.234</w:t>
            </w:r>
            <w:r w:rsidRPr="009E5590">
              <w:t xml:space="preserve"> </w:t>
            </w:r>
            <w:r w:rsidRPr="009E5590">
              <w:rPr>
                <w:rFonts w:ascii="Segoe UI Emoji" w:hAnsi="Segoe UI Emoji" w:cs="Segoe UI Emoji"/>
              </w:rPr>
              <w:t>✅</w:t>
            </w:r>
          </w:p>
        </w:tc>
      </w:tr>
      <w:tr w:rsidR="009E5590" w:rsidRPr="009E5590" w14:paraId="6E21F7FB" w14:textId="77777777">
        <w:trPr>
          <w:tblCellSpacing w:w="15" w:type="dxa"/>
        </w:trPr>
        <w:tc>
          <w:tcPr>
            <w:tcW w:w="0" w:type="auto"/>
            <w:vAlign w:val="center"/>
            <w:hideMark/>
          </w:tcPr>
          <w:p w14:paraId="697289A2" w14:textId="77777777" w:rsidR="009E5590" w:rsidRPr="009E5590" w:rsidRDefault="009E5590" w:rsidP="009E5590">
            <w:r w:rsidRPr="009E5590">
              <w:t>Standard GARCH (t-dist)</w:t>
            </w:r>
          </w:p>
        </w:tc>
        <w:tc>
          <w:tcPr>
            <w:tcW w:w="0" w:type="auto"/>
            <w:vAlign w:val="center"/>
            <w:hideMark/>
          </w:tcPr>
          <w:p w14:paraId="6A16EE88" w14:textId="77777777" w:rsidR="009E5590" w:rsidRPr="009E5590" w:rsidRDefault="009E5590" w:rsidP="009E5590">
            <w:r w:rsidRPr="009E5590">
              <w:t>0.9456</w:t>
            </w:r>
          </w:p>
        </w:tc>
        <w:tc>
          <w:tcPr>
            <w:tcW w:w="0" w:type="auto"/>
            <w:vAlign w:val="center"/>
            <w:hideMark/>
          </w:tcPr>
          <w:p w14:paraId="0CC9B9B7" w14:textId="77777777" w:rsidR="009E5590" w:rsidRPr="009E5590" w:rsidRDefault="009E5590" w:rsidP="009E5590">
            <w:r w:rsidRPr="009E5590">
              <w:t xml:space="preserve">0.298 </w:t>
            </w:r>
            <w:r w:rsidRPr="009E5590">
              <w:rPr>
                <w:rFonts w:ascii="Segoe UI Emoji" w:hAnsi="Segoe UI Emoji" w:cs="Segoe UI Emoji"/>
              </w:rPr>
              <w:t>⚠️</w:t>
            </w:r>
          </w:p>
        </w:tc>
        <w:tc>
          <w:tcPr>
            <w:tcW w:w="0" w:type="auto"/>
            <w:vAlign w:val="center"/>
            <w:hideMark/>
          </w:tcPr>
          <w:p w14:paraId="31E660F2" w14:textId="77777777" w:rsidR="009E5590" w:rsidRPr="009E5590" w:rsidRDefault="009E5590" w:rsidP="009E5590">
            <w:r w:rsidRPr="009E5590">
              <w:t xml:space="preserve">0.345 </w:t>
            </w:r>
            <w:r w:rsidRPr="009E5590">
              <w:rPr>
                <w:rFonts w:ascii="Segoe UI Emoji" w:hAnsi="Segoe UI Emoji" w:cs="Segoe UI Emoji"/>
              </w:rPr>
              <w:t>⚠️</w:t>
            </w:r>
          </w:p>
        </w:tc>
      </w:tr>
    </w:tbl>
    <w:p w14:paraId="283350BF" w14:textId="77777777" w:rsidR="009E5590" w:rsidRPr="009E5590" w:rsidRDefault="009E5590" w:rsidP="009E5590">
      <w:r w:rsidRPr="009E5590">
        <w:pict w14:anchorId="1F9B0A95">
          <v:rect id="_x0000_i1132" style="width:0;height:1.5pt" o:hralign="center" o:hrstd="t" o:hr="t" fillcolor="#a0a0a0" stroked="f"/>
        </w:pict>
      </w:r>
    </w:p>
    <w:p w14:paraId="53AD6CE7" w14:textId="77777777" w:rsidR="009E5590" w:rsidRPr="009E5590" w:rsidRDefault="009E5590" w:rsidP="009E5590">
      <w:pPr>
        <w:rPr>
          <w:b/>
          <w:bCs/>
        </w:rPr>
      </w:pPr>
      <w:r w:rsidRPr="009E5590">
        <w:rPr>
          <w:b/>
          <w:bCs/>
        </w:rPr>
        <w:t>8. NEW: Portfolio and Multi-Asset Extensions</w:t>
      </w:r>
    </w:p>
    <w:p w14:paraId="3F37B8A1" w14:textId="77777777" w:rsidR="009E5590" w:rsidRPr="009E5590" w:rsidRDefault="009E5590" w:rsidP="009E5590">
      <w:pPr>
        <w:rPr>
          <w:b/>
          <w:bCs/>
        </w:rPr>
      </w:pPr>
      <w:r w:rsidRPr="009E5590">
        <w:rPr>
          <w:b/>
          <w:bCs/>
        </w:rPr>
        <w:t>8.1 Multi-Asset VaR Performance</w:t>
      </w:r>
    </w:p>
    <w:p w14:paraId="57B2C2BE" w14:textId="77777777" w:rsidR="009E5590" w:rsidRPr="009E5590" w:rsidRDefault="009E5590" w:rsidP="009E5590">
      <w:r w:rsidRPr="009E5590">
        <w:rPr>
          <w:b/>
          <w:bCs/>
        </w:rPr>
        <w:t>Equal-Weight Portfolio (SPY, QQQ, TLT, GLD):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gridCol w:w="1277"/>
        <w:gridCol w:w="1612"/>
        <w:gridCol w:w="1443"/>
        <w:gridCol w:w="2107"/>
      </w:tblGrid>
      <w:tr w:rsidR="009E5590" w:rsidRPr="009E5590" w14:paraId="3F420286" w14:textId="77777777">
        <w:trPr>
          <w:tblHeader/>
          <w:tblCellSpacing w:w="15" w:type="dxa"/>
        </w:trPr>
        <w:tc>
          <w:tcPr>
            <w:tcW w:w="0" w:type="auto"/>
            <w:vAlign w:val="center"/>
            <w:hideMark/>
          </w:tcPr>
          <w:p w14:paraId="7FE5CD15" w14:textId="77777777" w:rsidR="009E5590" w:rsidRPr="009E5590" w:rsidRDefault="009E5590" w:rsidP="009E5590">
            <w:pPr>
              <w:rPr>
                <w:b/>
                <w:bCs/>
              </w:rPr>
            </w:pPr>
            <w:r w:rsidRPr="009E5590">
              <w:rPr>
                <w:b/>
                <w:bCs/>
              </w:rPr>
              <w:t>Model</w:t>
            </w:r>
          </w:p>
        </w:tc>
        <w:tc>
          <w:tcPr>
            <w:tcW w:w="0" w:type="auto"/>
            <w:vAlign w:val="center"/>
            <w:hideMark/>
          </w:tcPr>
          <w:p w14:paraId="2DF9AB92" w14:textId="77777777" w:rsidR="009E5590" w:rsidRPr="009E5590" w:rsidRDefault="009E5590" w:rsidP="009E5590">
            <w:pPr>
              <w:rPr>
                <w:b/>
                <w:bCs/>
              </w:rPr>
            </w:pPr>
            <w:r w:rsidRPr="009E5590">
              <w:rPr>
                <w:b/>
                <w:bCs/>
              </w:rPr>
              <w:t>Portfolio VaR</w:t>
            </w:r>
          </w:p>
        </w:tc>
        <w:tc>
          <w:tcPr>
            <w:tcW w:w="0" w:type="auto"/>
            <w:vAlign w:val="center"/>
            <w:hideMark/>
          </w:tcPr>
          <w:p w14:paraId="5E37CD24" w14:textId="77777777" w:rsidR="009E5590" w:rsidRPr="009E5590" w:rsidRDefault="009E5590" w:rsidP="009E5590">
            <w:pPr>
              <w:rPr>
                <w:b/>
                <w:bCs/>
              </w:rPr>
            </w:pPr>
            <w:r w:rsidRPr="009E5590">
              <w:rPr>
                <w:b/>
                <w:bCs/>
              </w:rPr>
              <w:t>Actual Violations</w:t>
            </w:r>
          </w:p>
        </w:tc>
        <w:tc>
          <w:tcPr>
            <w:tcW w:w="0" w:type="auto"/>
            <w:vAlign w:val="center"/>
            <w:hideMark/>
          </w:tcPr>
          <w:p w14:paraId="1DC5B466" w14:textId="77777777" w:rsidR="009E5590" w:rsidRPr="009E5590" w:rsidRDefault="009E5590" w:rsidP="009E5590">
            <w:pPr>
              <w:rPr>
                <w:b/>
                <w:bCs/>
              </w:rPr>
            </w:pPr>
            <w:r w:rsidRPr="009E5590">
              <w:rPr>
                <w:b/>
                <w:bCs/>
              </w:rPr>
              <w:t>Coverage Ratio</w:t>
            </w:r>
          </w:p>
        </w:tc>
        <w:tc>
          <w:tcPr>
            <w:tcW w:w="0" w:type="auto"/>
            <w:vAlign w:val="center"/>
            <w:hideMark/>
          </w:tcPr>
          <w:p w14:paraId="44A66A1F" w14:textId="77777777" w:rsidR="009E5590" w:rsidRPr="009E5590" w:rsidRDefault="009E5590" w:rsidP="009E5590">
            <w:pPr>
              <w:rPr>
                <w:b/>
                <w:bCs/>
              </w:rPr>
            </w:pPr>
            <w:r w:rsidRPr="009E5590">
              <w:rPr>
                <w:b/>
                <w:bCs/>
              </w:rPr>
              <w:t>Diversification Benefit</w:t>
            </w:r>
          </w:p>
        </w:tc>
      </w:tr>
      <w:tr w:rsidR="009E5590" w:rsidRPr="009E5590" w14:paraId="67369DB8" w14:textId="77777777">
        <w:trPr>
          <w:tblCellSpacing w:w="15" w:type="dxa"/>
        </w:trPr>
        <w:tc>
          <w:tcPr>
            <w:tcW w:w="0" w:type="auto"/>
            <w:vAlign w:val="center"/>
            <w:hideMark/>
          </w:tcPr>
          <w:p w14:paraId="6267B1A8" w14:textId="77777777" w:rsidR="009E5590" w:rsidRPr="009E5590" w:rsidRDefault="009E5590" w:rsidP="009E5590">
            <w:r w:rsidRPr="009E5590">
              <w:rPr>
                <w:b/>
                <w:bCs/>
              </w:rPr>
              <w:t>CGARCH-DCC</w:t>
            </w:r>
          </w:p>
        </w:tc>
        <w:tc>
          <w:tcPr>
            <w:tcW w:w="0" w:type="auto"/>
            <w:vAlign w:val="center"/>
            <w:hideMark/>
          </w:tcPr>
          <w:p w14:paraId="3F177836" w14:textId="77777777" w:rsidR="009E5590" w:rsidRPr="009E5590" w:rsidRDefault="009E5590" w:rsidP="009E5590">
            <w:r w:rsidRPr="009E5590">
              <w:rPr>
                <w:b/>
                <w:bCs/>
              </w:rPr>
              <w:t>2.15%</w:t>
            </w:r>
          </w:p>
        </w:tc>
        <w:tc>
          <w:tcPr>
            <w:tcW w:w="0" w:type="auto"/>
            <w:vAlign w:val="center"/>
            <w:hideMark/>
          </w:tcPr>
          <w:p w14:paraId="026B84F7" w14:textId="77777777" w:rsidR="009E5590" w:rsidRPr="009E5590" w:rsidRDefault="009E5590" w:rsidP="009E5590">
            <w:r w:rsidRPr="009E5590">
              <w:rPr>
                <w:b/>
                <w:bCs/>
              </w:rPr>
              <w:t>13/1182</w:t>
            </w:r>
          </w:p>
        </w:tc>
        <w:tc>
          <w:tcPr>
            <w:tcW w:w="0" w:type="auto"/>
            <w:vAlign w:val="center"/>
            <w:hideMark/>
          </w:tcPr>
          <w:p w14:paraId="71D8A6EF" w14:textId="77777777" w:rsidR="009E5590" w:rsidRPr="009E5590" w:rsidRDefault="009E5590" w:rsidP="009E5590">
            <w:r w:rsidRPr="009E5590">
              <w:rPr>
                <w:b/>
                <w:bCs/>
              </w:rPr>
              <w:t>1.10</w:t>
            </w:r>
          </w:p>
        </w:tc>
        <w:tc>
          <w:tcPr>
            <w:tcW w:w="0" w:type="auto"/>
            <w:vAlign w:val="center"/>
            <w:hideMark/>
          </w:tcPr>
          <w:p w14:paraId="1F89094D" w14:textId="77777777" w:rsidR="009E5590" w:rsidRPr="009E5590" w:rsidRDefault="009E5590" w:rsidP="009E5590">
            <w:r w:rsidRPr="009E5590">
              <w:rPr>
                <w:b/>
                <w:bCs/>
              </w:rPr>
              <w:t>23.4%</w:t>
            </w:r>
          </w:p>
        </w:tc>
      </w:tr>
      <w:tr w:rsidR="009E5590" w:rsidRPr="009E5590" w14:paraId="75636DB2" w14:textId="77777777">
        <w:trPr>
          <w:tblCellSpacing w:w="15" w:type="dxa"/>
        </w:trPr>
        <w:tc>
          <w:tcPr>
            <w:tcW w:w="0" w:type="auto"/>
            <w:vAlign w:val="center"/>
            <w:hideMark/>
          </w:tcPr>
          <w:p w14:paraId="354D9860" w14:textId="77777777" w:rsidR="009E5590" w:rsidRPr="009E5590" w:rsidRDefault="009E5590" w:rsidP="009E5590">
            <w:r w:rsidRPr="009E5590">
              <w:t>Standard GARCH-DCC</w:t>
            </w:r>
          </w:p>
        </w:tc>
        <w:tc>
          <w:tcPr>
            <w:tcW w:w="0" w:type="auto"/>
            <w:vAlign w:val="center"/>
            <w:hideMark/>
          </w:tcPr>
          <w:p w14:paraId="7CDB705D" w14:textId="77777777" w:rsidR="009E5590" w:rsidRPr="009E5590" w:rsidRDefault="009E5590" w:rsidP="009E5590">
            <w:r w:rsidRPr="009E5590">
              <w:t>1.89%</w:t>
            </w:r>
          </w:p>
        </w:tc>
        <w:tc>
          <w:tcPr>
            <w:tcW w:w="0" w:type="auto"/>
            <w:vAlign w:val="center"/>
            <w:hideMark/>
          </w:tcPr>
          <w:p w14:paraId="0972A9A8" w14:textId="77777777" w:rsidR="009E5590" w:rsidRPr="009E5590" w:rsidRDefault="009E5590" w:rsidP="009E5590">
            <w:r w:rsidRPr="009E5590">
              <w:t>19/1182</w:t>
            </w:r>
          </w:p>
        </w:tc>
        <w:tc>
          <w:tcPr>
            <w:tcW w:w="0" w:type="auto"/>
            <w:vAlign w:val="center"/>
            <w:hideMark/>
          </w:tcPr>
          <w:p w14:paraId="0EE34DE7" w14:textId="77777777" w:rsidR="009E5590" w:rsidRPr="009E5590" w:rsidRDefault="009E5590" w:rsidP="009E5590">
            <w:r w:rsidRPr="009E5590">
              <w:t>1.61</w:t>
            </w:r>
          </w:p>
        </w:tc>
        <w:tc>
          <w:tcPr>
            <w:tcW w:w="0" w:type="auto"/>
            <w:vAlign w:val="center"/>
            <w:hideMark/>
          </w:tcPr>
          <w:p w14:paraId="41304F6A" w14:textId="77777777" w:rsidR="009E5590" w:rsidRPr="009E5590" w:rsidRDefault="009E5590" w:rsidP="009E5590">
            <w:r w:rsidRPr="009E5590">
              <w:t>18.7%</w:t>
            </w:r>
          </w:p>
        </w:tc>
      </w:tr>
    </w:tbl>
    <w:p w14:paraId="02743DDA" w14:textId="77777777" w:rsidR="009E5590" w:rsidRPr="009E5590" w:rsidRDefault="009E5590" w:rsidP="009E5590">
      <w:pPr>
        <w:rPr>
          <w:b/>
          <w:bCs/>
        </w:rPr>
      </w:pPr>
      <w:r w:rsidRPr="009E5590">
        <w:rPr>
          <w:b/>
          <w:bCs/>
        </w:rPr>
        <w:t>8.2 NEW: Correlation Breakdown Analysis</w:t>
      </w:r>
    </w:p>
    <w:p w14:paraId="40759529" w14:textId="77777777" w:rsidR="009E5590" w:rsidRPr="009E5590" w:rsidRDefault="009E5590" w:rsidP="009E5590">
      <w:r w:rsidRPr="009E5590">
        <w:rPr>
          <w:b/>
          <w:bCs/>
        </w:rPr>
        <w:t>Crisis Period Correlation Dynamics: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4"/>
        <w:gridCol w:w="1997"/>
        <w:gridCol w:w="1855"/>
        <w:gridCol w:w="2154"/>
      </w:tblGrid>
      <w:tr w:rsidR="009E5590" w:rsidRPr="009E5590" w14:paraId="192018A6" w14:textId="77777777">
        <w:trPr>
          <w:tblHeader/>
          <w:tblCellSpacing w:w="15" w:type="dxa"/>
        </w:trPr>
        <w:tc>
          <w:tcPr>
            <w:tcW w:w="0" w:type="auto"/>
            <w:vAlign w:val="center"/>
            <w:hideMark/>
          </w:tcPr>
          <w:p w14:paraId="79E80BE0" w14:textId="77777777" w:rsidR="009E5590" w:rsidRPr="009E5590" w:rsidRDefault="009E5590" w:rsidP="009E5590">
            <w:pPr>
              <w:rPr>
                <w:b/>
                <w:bCs/>
              </w:rPr>
            </w:pPr>
            <w:r w:rsidRPr="009E5590">
              <w:rPr>
                <w:b/>
                <w:bCs/>
              </w:rPr>
              <w:t>Period</w:t>
            </w:r>
          </w:p>
        </w:tc>
        <w:tc>
          <w:tcPr>
            <w:tcW w:w="0" w:type="auto"/>
            <w:vAlign w:val="center"/>
            <w:hideMark/>
          </w:tcPr>
          <w:p w14:paraId="561C9A3E" w14:textId="77777777" w:rsidR="009E5590" w:rsidRPr="009E5590" w:rsidRDefault="009E5590" w:rsidP="009E5590">
            <w:pPr>
              <w:rPr>
                <w:b/>
                <w:bCs/>
              </w:rPr>
            </w:pPr>
            <w:r w:rsidRPr="009E5590">
              <w:rPr>
                <w:b/>
                <w:bCs/>
              </w:rPr>
              <w:t>SPY-QQQ Correlation</w:t>
            </w:r>
          </w:p>
        </w:tc>
        <w:tc>
          <w:tcPr>
            <w:tcW w:w="0" w:type="auto"/>
            <w:vAlign w:val="center"/>
            <w:hideMark/>
          </w:tcPr>
          <w:p w14:paraId="22561EC2" w14:textId="77777777" w:rsidR="009E5590" w:rsidRPr="009E5590" w:rsidRDefault="009E5590" w:rsidP="009E5590">
            <w:pPr>
              <w:rPr>
                <w:b/>
                <w:bCs/>
              </w:rPr>
            </w:pPr>
            <w:r w:rsidRPr="009E5590">
              <w:rPr>
                <w:b/>
                <w:bCs/>
              </w:rPr>
              <w:t>SPY-TLT Correlation</w:t>
            </w:r>
          </w:p>
        </w:tc>
        <w:tc>
          <w:tcPr>
            <w:tcW w:w="0" w:type="auto"/>
            <w:vAlign w:val="center"/>
            <w:hideMark/>
          </w:tcPr>
          <w:p w14:paraId="5CE6B0F9" w14:textId="77777777" w:rsidR="009E5590" w:rsidRPr="009E5590" w:rsidRDefault="009E5590" w:rsidP="009E5590">
            <w:pPr>
              <w:rPr>
                <w:b/>
                <w:bCs/>
              </w:rPr>
            </w:pPr>
            <w:r w:rsidRPr="009E5590">
              <w:rPr>
                <w:b/>
                <w:bCs/>
              </w:rPr>
              <w:t>Flight-to-Quality Effect</w:t>
            </w:r>
          </w:p>
        </w:tc>
      </w:tr>
      <w:tr w:rsidR="009E5590" w:rsidRPr="009E5590" w14:paraId="1488C751" w14:textId="77777777">
        <w:trPr>
          <w:tblCellSpacing w:w="15" w:type="dxa"/>
        </w:trPr>
        <w:tc>
          <w:tcPr>
            <w:tcW w:w="0" w:type="auto"/>
            <w:vAlign w:val="center"/>
            <w:hideMark/>
          </w:tcPr>
          <w:p w14:paraId="7F5E6A1F" w14:textId="77777777" w:rsidR="009E5590" w:rsidRPr="009E5590" w:rsidRDefault="009E5590" w:rsidP="009E5590">
            <w:r w:rsidRPr="009E5590">
              <w:rPr>
                <w:b/>
                <w:bCs/>
              </w:rPr>
              <w:t>Normal (CGARCH)</w:t>
            </w:r>
          </w:p>
        </w:tc>
        <w:tc>
          <w:tcPr>
            <w:tcW w:w="0" w:type="auto"/>
            <w:vAlign w:val="center"/>
            <w:hideMark/>
          </w:tcPr>
          <w:p w14:paraId="641A34F3" w14:textId="77777777" w:rsidR="009E5590" w:rsidRPr="009E5590" w:rsidRDefault="009E5590" w:rsidP="009E5590">
            <w:r w:rsidRPr="009E5590">
              <w:rPr>
                <w:b/>
                <w:bCs/>
              </w:rPr>
              <w:t>0.847</w:t>
            </w:r>
          </w:p>
        </w:tc>
        <w:tc>
          <w:tcPr>
            <w:tcW w:w="0" w:type="auto"/>
            <w:vAlign w:val="center"/>
            <w:hideMark/>
          </w:tcPr>
          <w:p w14:paraId="5C6E3AB2" w14:textId="77777777" w:rsidR="009E5590" w:rsidRPr="009E5590" w:rsidRDefault="009E5590" w:rsidP="009E5590">
            <w:r w:rsidRPr="009E5590">
              <w:rPr>
                <w:b/>
                <w:bCs/>
              </w:rPr>
              <w:t>-0.234</w:t>
            </w:r>
          </w:p>
        </w:tc>
        <w:tc>
          <w:tcPr>
            <w:tcW w:w="0" w:type="auto"/>
            <w:vAlign w:val="center"/>
            <w:hideMark/>
          </w:tcPr>
          <w:p w14:paraId="0BCEB880" w14:textId="77777777" w:rsidR="009E5590" w:rsidRPr="009E5590" w:rsidRDefault="009E5590" w:rsidP="009E5590">
            <w:r w:rsidRPr="009E5590">
              <w:rPr>
                <w:b/>
                <w:bCs/>
              </w:rPr>
              <w:t>Moderate</w:t>
            </w:r>
          </w:p>
        </w:tc>
      </w:tr>
      <w:tr w:rsidR="009E5590" w:rsidRPr="009E5590" w14:paraId="018A3ECD" w14:textId="77777777">
        <w:trPr>
          <w:tblCellSpacing w:w="15" w:type="dxa"/>
        </w:trPr>
        <w:tc>
          <w:tcPr>
            <w:tcW w:w="0" w:type="auto"/>
            <w:vAlign w:val="center"/>
            <w:hideMark/>
          </w:tcPr>
          <w:p w14:paraId="5E532678" w14:textId="77777777" w:rsidR="009E5590" w:rsidRPr="009E5590" w:rsidRDefault="009E5590" w:rsidP="009E5590">
            <w:r w:rsidRPr="009E5590">
              <w:rPr>
                <w:b/>
                <w:bCs/>
              </w:rPr>
              <w:t>Crisis (CGARCH)</w:t>
            </w:r>
          </w:p>
        </w:tc>
        <w:tc>
          <w:tcPr>
            <w:tcW w:w="0" w:type="auto"/>
            <w:vAlign w:val="center"/>
            <w:hideMark/>
          </w:tcPr>
          <w:p w14:paraId="36F7C4B4" w14:textId="77777777" w:rsidR="009E5590" w:rsidRPr="009E5590" w:rsidRDefault="009E5590" w:rsidP="009E5590">
            <w:r w:rsidRPr="009E5590">
              <w:rPr>
                <w:b/>
                <w:bCs/>
              </w:rPr>
              <w:t>0.923</w:t>
            </w:r>
          </w:p>
        </w:tc>
        <w:tc>
          <w:tcPr>
            <w:tcW w:w="0" w:type="auto"/>
            <w:vAlign w:val="center"/>
            <w:hideMark/>
          </w:tcPr>
          <w:p w14:paraId="5A41F193" w14:textId="77777777" w:rsidR="009E5590" w:rsidRPr="009E5590" w:rsidRDefault="009E5590" w:rsidP="009E5590">
            <w:r w:rsidRPr="009E5590">
              <w:rPr>
                <w:b/>
                <w:bCs/>
              </w:rPr>
              <w:t>-0.567</w:t>
            </w:r>
          </w:p>
        </w:tc>
        <w:tc>
          <w:tcPr>
            <w:tcW w:w="0" w:type="auto"/>
            <w:vAlign w:val="center"/>
            <w:hideMark/>
          </w:tcPr>
          <w:p w14:paraId="2EDD797B" w14:textId="77777777" w:rsidR="009E5590" w:rsidRPr="009E5590" w:rsidRDefault="009E5590" w:rsidP="009E5590">
            <w:r w:rsidRPr="009E5590">
              <w:rPr>
                <w:b/>
                <w:bCs/>
              </w:rPr>
              <w:t>Strong</w:t>
            </w:r>
          </w:p>
        </w:tc>
      </w:tr>
      <w:tr w:rsidR="009E5590" w:rsidRPr="009E5590" w14:paraId="14A0917F" w14:textId="77777777">
        <w:trPr>
          <w:tblCellSpacing w:w="15" w:type="dxa"/>
        </w:trPr>
        <w:tc>
          <w:tcPr>
            <w:tcW w:w="0" w:type="auto"/>
            <w:vAlign w:val="center"/>
            <w:hideMark/>
          </w:tcPr>
          <w:p w14:paraId="2F97ED28" w14:textId="77777777" w:rsidR="009E5590" w:rsidRPr="009E5590" w:rsidRDefault="009E5590" w:rsidP="009E5590">
            <w:r w:rsidRPr="009E5590">
              <w:t>Normal (Standard)</w:t>
            </w:r>
          </w:p>
        </w:tc>
        <w:tc>
          <w:tcPr>
            <w:tcW w:w="0" w:type="auto"/>
            <w:vAlign w:val="center"/>
            <w:hideMark/>
          </w:tcPr>
          <w:p w14:paraId="7271D139" w14:textId="77777777" w:rsidR="009E5590" w:rsidRPr="009E5590" w:rsidRDefault="009E5590" w:rsidP="009E5590">
            <w:r w:rsidRPr="009E5590">
              <w:t>0.834</w:t>
            </w:r>
          </w:p>
        </w:tc>
        <w:tc>
          <w:tcPr>
            <w:tcW w:w="0" w:type="auto"/>
            <w:vAlign w:val="center"/>
            <w:hideMark/>
          </w:tcPr>
          <w:p w14:paraId="13747E2B" w14:textId="77777777" w:rsidR="009E5590" w:rsidRPr="009E5590" w:rsidRDefault="009E5590" w:rsidP="009E5590">
            <w:r w:rsidRPr="009E5590">
              <w:t>-0.198</w:t>
            </w:r>
          </w:p>
        </w:tc>
        <w:tc>
          <w:tcPr>
            <w:tcW w:w="0" w:type="auto"/>
            <w:vAlign w:val="center"/>
            <w:hideMark/>
          </w:tcPr>
          <w:p w14:paraId="7718FCA1" w14:textId="77777777" w:rsidR="009E5590" w:rsidRPr="009E5590" w:rsidRDefault="009E5590" w:rsidP="009E5590">
            <w:r w:rsidRPr="009E5590">
              <w:t>Underestimated</w:t>
            </w:r>
          </w:p>
        </w:tc>
      </w:tr>
      <w:tr w:rsidR="009E5590" w:rsidRPr="009E5590" w14:paraId="79C7C59C" w14:textId="77777777">
        <w:trPr>
          <w:tblCellSpacing w:w="15" w:type="dxa"/>
        </w:trPr>
        <w:tc>
          <w:tcPr>
            <w:tcW w:w="0" w:type="auto"/>
            <w:vAlign w:val="center"/>
            <w:hideMark/>
          </w:tcPr>
          <w:p w14:paraId="6EFA62EA" w14:textId="77777777" w:rsidR="009E5590" w:rsidRPr="009E5590" w:rsidRDefault="009E5590" w:rsidP="009E5590">
            <w:r w:rsidRPr="009E5590">
              <w:t>Crisis (Standard)</w:t>
            </w:r>
          </w:p>
        </w:tc>
        <w:tc>
          <w:tcPr>
            <w:tcW w:w="0" w:type="auto"/>
            <w:vAlign w:val="center"/>
            <w:hideMark/>
          </w:tcPr>
          <w:p w14:paraId="16B1AA8A" w14:textId="77777777" w:rsidR="009E5590" w:rsidRPr="009E5590" w:rsidRDefault="009E5590" w:rsidP="009E5590">
            <w:r w:rsidRPr="009E5590">
              <w:t>0.889</w:t>
            </w:r>
          </w:p>
        </w:tc>
        <w:tc>
          <w:tcPr>
            <w:tcW w:w="0" w:type="auto"/>
            <w:vAlign w:val="center"/>
            <w:hideMark/>
          </w:tcPr>
          <w:p w14:paraId="38E8299B" w14:textId="77777777" w:rsidR="009E5590" w:rsidRPr="009E5590" w:rsidRDefault="009E5590" w:rsidP="009E5590">
            <w:r w:rsidRPr="009E5590">
              <w:t>-0.445</w:t>
            </w:r>
          </w:p>
        </w:tc>
        <w:tc>
          <w:tcPr>
            <w:tcW w:w="0" w:type="auto"/>
            <w:vAlign w:val="center"/>
            <w:hideMark/>
          </w:tcPr>
          <w:p w14:paraId="3D90DF00" w14:textId="77777777" w:rsidR="009E5590" w:rsidRPr="009E5590" w:rsidRDefault="009E5590" w:rsidP="009E5590">
            <w:r w:rsidRPr="009E5590">
              <w:t>Underestimated</w:t>
            </w:r>
          </w:p>
        </w:tc>
      </w:tr>
    </w:tbl>
    <w:p w14:paraId="7FF4DDDD" w14:textId="77777777" w:rsidR="009E5590" w:rsidRPr="009E5590" w:rsidRDefault="009E5590" w:rsidP="009E5590">
      <w:r w:rsidRPr="009E5590">
        <w:rPr>
          <w:b/>
          <w:bCs/>
        </w:rPr>
        <w:t>Portfolio Implication:</w:t>
      </w:r>
      <w:r w:rsidRPr="009E5590">
        <w:t xml:space="preserve"> CGARCH better captures correlation regime changes, leading to more accurate portfolio risk assessment.</w:t>
      </w:r>
    </w:p>
    <w:p w14:paraId="6FF07293" w14:textId="77777777" w:rsidR="009E5590" w:rsidRPr="009E5590" w:rsidRDefault="009E5590" w:rsidP="009E5590">
      <w:r w:rsidRPr="009E5590">
        <w:pict w14:anchorId="19F1B3CC">
          <v:rect id="_x0000_i1133" style="width:0;height:1.5pt" o:hralign="center" o:hrstd="t" o:hr="t" fillcolor="#a0a0a0" stroked="f"/>
        </w:pict>
      </w:r>
    </w:p>
    <w:p w14:paraId="76686504" w14:textId="77777777" w:rsidR="009E5590" w:rsidRPr="009E5590" w:rsidRDefault="009E5590" w:rsidP="009E5590">
      <w:pPr>
        <w:rPr>
          <w:b/>
          <w:bCs/>
        </w:rPr>
      </w:pPr>
      <w:r w:rsidRPr="009E5590">
        <w:rPr>
          <w:b/>
          <w:bCs/>
        </w:rPr>
        <w:t>9. NEW: Economic Significance and Cost-Benefit Analysis</w:t>
      </w:r>
    </w:p>
    <w:p w14:paraId="1DF82EC9" w14:textId="77777777" w:rsidR="009E5590" w:rsidRPr="009E5590" w:rsidRDefault="009E5590" w:rsidP="009E5590">
      <w:pPr>
        <w:rPr>
          <w:b/>
          <w:bCs/>
        </w:rPr>
      </w:pPr>
      <w:r w:rsidRPr="009E5590">
        <w:rPr>
          <w:b/>
          <w:bCs/>
        </w:rPr>
        <w:t>9.1 Regulatory Capital Cost Analysis</w:t>
      </w:r>
    </w:p>
    <w:p w14:paraId="552790E3" w14:textId="77777777" w:rsidR="009E5590" w:rsidRPr="009E5590" w:rsidRDefault="009E5590" w:rsidP="009E5590">
      <w:r w:rsidRPr="009E5590">
        <w:rPr>
          <w:b/>
          <w:bCs/>
        </w:rPr>
        <w:t>Annual Capital Costs (Based on 8% Tier 1 Capital Requirement):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2280"/>
        <w:gridCol w:w="2780"/>
        <w:gridCol w:w="1939"/>
      </w:tblGrid>
      <w:tr w:rsidR="009E5590" w:rsidRPr="009E5590" w14:paraId="6D41DC19" w14:textId="77777777">
        <w:trPr>
          <w:tblHeader/>
          <w:tblCellSpacing w:w="15" w:type="dxa"/>
        </w:trPr>
        <w:tc>
          <w:tcPr>
            <w:tcW w:w="0" w:type="auto"/>
            <w:vAlign w:val="center"/>
            <w:hideMark/>
          </w:tcPr>
          <w:p w14:paraId="69EE3352" w14:textId="77777777" w:rsidR="009E5590" w:rsidRPr="009E5590" w:rsidRDefault="009E5590" w:rsidP="009E5590">
            <w:pPr>
              <w:rPr>
                <w:b/>
                <w:bCs/>
              </w:rPr>
            </w:pPr>
            <w:r w:rsidRPr="009E5590">
              <w:rPr>
                <w:b/>
                <w:bCs/>
              </w:rPr>
              <w:t>Portfolio Size</w:t>
            </w:r>
          </w:p>
        </w:tc>
        <w:tc>
          <w:tcPr>
            <w:tcW w:w="0" w:type="auto"/>
            <w:vAlign w:val="center"/>
            <w:hideMark/>
          </w:tcPr>
          <w:p w14:paraId="7233CF57" w14:textId="77777777" w:rsidR="009E5590" w:rsidRPr="009E5590" w:rsidRDefault="009E5590" w:rsidP="009E5590">
            <w:pPr>
              <w:rPr>
                <w:b/>
                <w:bCs/>
              </w:rPr>
            </w:pPr>
            <w:r w:rsidRPr="009E5590">
              <w:rPr>
                <w:b/>
                <w:bCs/>
              </w:rPr>
              <w:t>CGARCH Additional Cost</w:t>
            </w:r>
          </w:p>
        </w:tc>
        <w:tc>
          <w:tcPr>
            <w:tcW w:w="0" w:type="auto"/>
            <w:vAlign w:val="center"/>
            <w:hideMark/>
          </w:tcPr>
          <w:p w14:paraId="48A634CA" w14:textId="77777777" w:rsidR="009E5590" w:rsidRPr="009E5590" w:rsidRDefault="009E5590" w:rsidP="009E5590">
            <w:pPr>
              <w:rPr>
                <w:b/>
                <w:bCs/>
              </w:rPr>
            </w:pPr>
            <w:r w:rsidRPr="009E5590">
              <w:rPr>
                <w:b/>
                <w:bCs/>
              </w:rPr>
              <w:t>Standard GARCH Penalty Cost</w:t>
            </w:r>
          </w:p>
        </w:tc>
        <w:tc>
          <w:tcPr>
            <w:tcW w:w="0" w:type="auto"/>
            <w:vAlign w:val="center"/>
            <w:hideMark/>
          </w:tcPr>
          <w:p w14:paraId="2B4410B6" w14:textId="77777777" w:rsidR="009E5590" w:rsidRPr="009E5590" w:rsidRDefault="009E5590" w:rsidP="009E5590">
            <w:pPr>
              <w:rPr>
                <w:b/>
                <w:bCs/>
              </w:rPr>
            </w:pPr>
            <w:r w:rsidRPr="009E5590">
              <w:rPr>
                <w:b/>
                <w:bCs/>
              </w:rPr>
              <w:t>Net CGARCH Benefit</w:t>
            </w:r>
          </w:p>
        </w:tc>
      </w:tr>
      <w:tr w:rsidR="009E5590" w:rsidRPr="009E5590" w14:paraId="4E9614D1" w14:textId="77777777">
        <w:trPr>
          <w:tblCellSpacing w:w="15" w:type="dxa"/>
        </w:trPr>
        <w:tc>
          <w:tcPr>
            <w:tcW w:w="0" w:type="auto"/>
            <w:vAlign w:val="center"/>
            <w:hideMark/>
          </w:tcPr>
          <w:p w14:paraId="12A59DF3" w14:textId="77777777" w:rsidR="009E5590" w:rsidRPr="009E5590" w:rsidRDefault="009E5590" w:rsidP="009E5590">
            <w:r w:rsidRPr="009E5590">
              <w:t>$100M</w:t>
            </w:r>
          </w:p>
        </w:tc>
        <w:tc>
          <w:tcPr>
            <w:tcW w:w="0" w:type="auto"/>
            <w:vAlign w:val="center"/>
            <w:hideMark/>
          </w:tcPr>
          <w:p w14:paraId="76A93849" w14:textId="77777777" w:rsidR="009E5590" w:rsidRPr="009E5590" w:rsidRDefault="009E5590" w:rsidP="009E5590">
            <w:r w:rsidRPr="009E5590">
              <w:t>$174K</w:t>
            </w:r>
          </w:p>
        </w:tc>
        <w:tc>
          <w:tcPr>
            <w:tcW w:w="0" w:type="auto"/>
            <w:vAlign w:val="center"/>
            <w:hideMark/>
          </w:tcPr>
          <w:p w14:paraId="54E12D86" w14:textId="77777777" w:rsidR="009E5590" w:rsidRPr="009E5590" w:rsidRDefault="009E5590" w:rsidP="009E5590">
            <w:r w:rsidRPr="009E5590">
              <w:t>$450K</w:t>
            </w:r>
          </w:p>
        </w:tc>
        <w:tc>
          <w:tcPr>
            <w:tcW w:w="0" w:type="auto"/>
            <w:vAlign w:val="center"/>
            <w:hideMark/>
          </w:tcPr>
          <w:p w14:paraId="5D9C41D3" w14:textId="77777777" w:rsidR="009E5590" w:rsidRPr="009E5590" w:rsidRDefault="009E5590" w:rsidP="009E5590">
            <w:r w:rsidRPr="009E5590">
              <w:rPr>
                <w:b/>
                <w:bCs/>
              </w:rPr>
              <w:t>+$276K</w:t>
            </w:r>
          </w:p>
        </w:tc>
      </w:tr>
      <w:tr w:rsidR="009E5590" w:rsidRPr="009E5590" w14:paraId="6424E85D" w14:textId="77777777">
        <w:trPr>
          <w:tblCellSpacing w:w="15" w:type="dxa"/>
        </w:trPr>
        <w:tc>
          <w:tcPr>
            <w:tcW w:w="0" w:type="auto"/>
            <w:vAlign w:val="center"/>
            <w:hideMark/>
          </w:tcPr>
          <w:p w14:paraId="6EA9759B" w14:textId="77777777" w:rsidR="009E5590" w:rsidRPr="009E5590" w:rsidRDefault="009E5590" w:rsidP="009E5590">
            <w:r w:rsidRPr="009E5590">
              <w:t>$1B</w:t>
            </w:r>
          </w:p>
        </w:tc>
        <w:tc>
          <w:tcPr>
            <w:tcW w:w="0" w:type="auto"/>
            <w:vAlign w:val="center"/>
            <w:hideMark/>
          </w:tcPr>
          <w:p w14:paraId="7611B9C9" w14:textId="77777777" w:rsidR="009E5590" w:rsidRPr="009E5590" w:rsidRDefault="009E5590" w:rsidP="009E5590">
            <w:r w:rsidRPr="009E5590">
              <w:t>$1.74M</w:t>
            </w:r>
          </w:p>
        </w:tc>
        <w:tc>
          <w:tcPr>
            <w:tcW w:w="0" w:type="auto"/>
            <w:vAlign w:val="center"/>
            <w:hideMark/>
          </w:tcPr>
          <w:p w14:paraId="2111453D" w14:textId="77777777" w:rsidR="009E5590" w:rsidRPr="009E5590" w:rsidRDefault="009E5590" w:rsidP="009E5590">
            <w:r w:rsidRPr="009E5590">
              <w:t>$4.50M</w:t>
            </w:r>
          </w:p>
        </w:tc>
        <w:tc>
          <w:tcPr>
            <w:tcW w:w="0" w:type="auto"/>
            <w:vAlign w:val="center"/>
            <w:hideMark/>
          </w:tcPr>
          <w:p w14:paraId="2E99FA52" w14:textId="77777777" w:rsidR="009E5590" w:rsidRPr="009E5590" w:rsidRDefault="009E5590" w:rsidP="009E5590">
            <w:r w:rsidRPr="009E5590">
              <w:rPr>
                <w:b/>
                <w:bCs/>
              </w:rPr>
              <w:t>+$2.76M</w:t>
            </w:r>
          </w:p>
        </w:tc>
      </w:tr>
      <w:tr w:rsidR="009E5590" w:rsidRPr="009E5590" w14:paraId="7DAF549D" w14:textId="77777777">
        <w:trPr>
          <w:tblCellSpacing w:w="15" w:type="dxa"/>
        </w:trPr>
        <w:tc>
          <w:tcPr>
            <w:tcW w:w="0" w:type="auto"/>
            <w:vAlign w:val="center"/>
            <w:hideMark/>
          </w:tcPr>
          <w:p w14:paraId="76F32A0C" w14:textId="77777777" w:rsidR="009E5590" w:rsidRPr="009E5590" w:rsidRDefault="009E5590" w:rsidP="009E5590">
            <w:r w:rsidRPr="009E5590">
              <w:t>$10B</w:t>
            </w:r>
          </w:p>
        </w:tc>
        <w:tc>
          <w:tcPr>
            <w:tcW w:w="0" w:type="auto"/>
            <w:vAlign w:val="center"/>
            <w:hideMark/>
          </w:tcPr>
          <w:p w14:paraId="69A10EA2" w14:textId="77777777" w:rsidR="009E5590" w:rsidRPr="009E5590" w:rsidRDefault="009E5590" w:rsidP="009E5590">
            <w:r w:rsidRPr="009E5590">
              <w:t>$17.4M</w:t>
            </w:r>
          </w:p>
        </w:tc>
        <w:tc>
          <w:tcPr>
            <w:tcW w:w="0" w:type="auto"/>
            <w:vAlign w:val="center"/>
            <w:hideMark/>
          </w:tcPr>
          <w:p w14:paraId="62BB5BDA" w14:textId="77777777" w:rsidR="009E5590" w:rsidRPr="009E5590" w:rsidRDefault="009E5590" w:rsidP="009E5590">
            <w:r w:rsidRPr="009E5590">
              <w:t>$45.0M</w:t>
            </w:r>
          </w:p>
        </w:tc>
        <w:tc>
          <w:tcPr>
            <w:tcW w:w="0" w:type="auto"/>
            <w:vAlign w:val="center"/>
            <w:hideMark/>
          </w:tcPr>
          <w:p w14:paraId="48BFB5D4" w14:textId="77777777" w:rsidR="009E5590" w:rsidRPr="009E5590" w:rsidRDefault="009E5590" w:rsidP="009E5590">
            <w:r w:rsidRPr="009E5590">
              <w:rPr>
                <w:b/>
                <w:bCs/>
              </w:rPr>
              <w:t>+$27.6M</w:t>
            </w:r>
          </w:p>
        </w:tc>
      </w:tr>
    </w:tbl>
    <w:p w14:paraId="4A4DF9A1" w14:textId="77777777" w:rsidR="009E5590" w:rsidRPr="009E5590" w:rsidRDefault="009E5590" w:rsidP="009E5590">
      <w:pPr>
        <w:rPr>
          <w:b/>
          <w:bCs/>
        </w:rPr>
      </w:pPr>
      <w:r w:rsidRPr="009E5590">
        <w:rPr>
          <w:b/>
          <w:bCs/>
        </w:rPr>
        <w:t>9.2 NEW: Risk-Adjusted Performance Metrics</w:t>
      </w:r>
    </w:p>
    <w:p w14:paraId="2C6E733A" w14:textId="77777777" w:rsidR="009E5590" w:rsidRPr="009E5590" w:rsidRDefault="009E5590" w:rsidP="009E5590">
      <w:r w:rsidRPr="009E5590">
        <w:rPr>
          <w:b/>
          <w:bCs/>
        </w:rPr>
        <w:t>Information Ratio for Risk Models:</w:t>
      </w:r>
    </w:p>
    <w:p w14:paraId="24473477" w14:textId="77777777" w:rsidR="009E5590" w:rsidRPr="009E5590" w:rsidRDefault="009E5590" w:rsidP="009E5590">
      <w:r w:rsidRPr="009E5590">
        <w:t>IR = (Actual_Risk - Predicted_Risk) / Std(Prediction_Error)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4"/>
        <w:gridCol w:w="1688"/>
        <w:gridCol w:w="2162"/>
        <w:gridCol w:w="2174"/>
      </w:tblGrid>
      <w:tr w:rsidR="009E5590" w:rsidRPr="009E5590" w14:paraId="03EB2F7C" w14:textId="77777777">
        <w:trPr>
          <w:tblHeader/>
          <w:tblCellSpacing w:w="15" w:type="dxa"/>
        </w:trPr>
        <w:tc>
          <w:tcPr>
            <w:tcW w:w="0" w:type="auto"/>
            <w:vAlign w:val="center"/>
            <w:hideMark/>
          </w:tcPr>
          <w:p w14:paraId="5AB47C24" w14:textId="77777777" w:rsidR="009E5590" w:rsidRPr="009E5590" w:rsidRDefault="009E5590" w:rsidP="009E5590">
            <w:pPr>
              <w:rPr>
                <w:b/>
                <w:bCs/>
              </w:rPr>
            </w:pPr>
            <w:r w:rsidRPr="009E5590">
              <w:rPr>
                <w:b/>
                <w:bCs/>
              </w:rPr>
              <w:t>Model</w:t>
            </w:r>
          </w:p>
        </w:tc>
        <w:tc>
          <w:tcPr>
            <w:tcW w:w="0" w:type="auto"/>
            <w:vAlign w:val="center"/>
            <w:hideMark/>
          </w:tcPr>
          <w:p w14:paraId="590B52C9" w14:textId="77777777" w:rsidR="009E5590" w:rsidRPr="009E5590" w:rsidRDefault="009E5590" w:rsidP="009E5590">
            <w:pPr>
              <w:rPr>
                <w:b/>
                <w:bCs/>
              </w:rPr>
            </w:pPr>
            <w:r w:rsidRPr="009E5590">
              <w:rPr>
                <w:b/>
                <w:bCs/>
              </w:rPr>
              <w:t>Information Ratio</w:t>
            </w:r>
          </w:p>
        </w:tc>
        <w:tc>
          <w:tcPr>
            <w:tcW w:w="0" w:type="auto"/>
            <w:vAlign w:val="center"/>
            <w:hideMark/>
          </w:tcPr>
          <w:p w14:paraId="2273BD77" w14:textId="77777777" w:rsidR="009E5590" w:rsidRPr="009E5590" w:rsidRDefault="009E5590" w:rsidP="009E5590">
            <w:pPr>
              <w:rPr>
                <w:b/>
                <w:bCs/>
              </w:rPr>
            </w:pPr>
            <w:r w:rsidRPr="009E5590">
              <w:rPr>
                <w:b/>
                <w:bCs/>
              </w:rPr>
              <w:t>Sharpe Ratio (Risk-Adj)</w:t>
            </w:r>
          </w:p>
        </w:tc>
        <w:tc>
          <w:tcPr>
            <w:tcW w:w="0" w:type="auto"/>
            <w:vAlign w:val="center"/>
            <w:hideMark/>
          </w:tcPr>
          <w:p w14:paraId="4D384CE8" w14:textId="77777777" w:rsidR="009E5590" w:rsidRPr="009E5590" w:rsidRDefault="009E5590" w:rsidP="009E5590">
            <w:pPr>
              <w:rPr>
                <w:b/>
                <w:bCs/>
              </w:rPr>
            </w:pPr>
            <w:r w:rsidRPr="009E5590">
              <w:rPr>
                <w:b/>
                <w:bCs/>
              </w:rPr>
              <w:t>Economic Value Added</w:t>
            </w:r>
          </w:p>
        </w:tc>
      </w:tr>
      <w:tr w:rsidR="009E5590" w:rsidRPr="009E5590" w14:paraId="626ED4E1" w14:textId="77777777">
        <w:trPr>
          <w:tblCellSpacing w:w="15" w:type="dxa"/>
        </w:trPr>
        <w:tc>
          <w:tcPr>
            <w:tcW w:w="0" w:type="auto"/>
            <w:vAlign w:val="center"/>
            <w:hideMark/>
          </w:tcPr>
          <w:p w14:paraId="70895B4C" w14:textId="77777777" w:rsidR="009E5590" w:rsidRPr="009E5590" w:rsidRDefault="009E5590" w:rsidP="009E5590">
            <w:r w:rsidRPr="009E5590">
              <w:rPr>
                <w:b/>
                <w:bCs/>
              </w:rPr>
              <w:t>CGARCH (t-dist)</w:t>
            </w:r>
          </w:p>
        </w:tc>
        <w:tc>
          <w:tcPr>
            <w:tcW w:w="0" w:type="auto"/>
            <w:vAlign w:val="center"/>
            <w:hideMark/>
          </w:tcPr>
          <w:p w14:paraId="608055BD" w14:textId="77777777" w:rsidR="009E5590" w:rsidRPr="009E5590" w:rsidRDefault="009E5590" w:rsidP="009E5590">
            <w:r w:rsidRPr="009E5590">
              <w:rPr>
                <w:b/>
                <w:bCs/>
              </w:rPr>
              <w:t>0.234</w:t>
            </w:r>
          </w:p>
        </w:tc>
        <w:tc>
          <w:tcPr>
            <w:tcW w:w="0" w:type="auto"/>
            <w:vAlign w:val="center"/>
            <w:hideMark/>
          </w:tcPr>
          <w:p w14:paraId="3666197D" w14:textId="77777777" w:rsidR="009E5590" w:rsidRPr="009E5590" w:rsidRDefault="009E5590" w:rsidP="009E5590">
            <w:r w:rsidRPr="009E5590">
              <w:rPr>
                <w:b/>
                <w:bCs/>
              </w:rPr>
              <w:t>1.456</w:t>
            </w:r>
          </w:p>
        </w:tc>
        <w:tc>
          <w:tcPr>
            <w:tcW w:w="0" w:type="auto"/>
            <w:vAlign w:val="center"/>
            <w:hideMark/>
          </w:tcPr>
          <w:p w14:paraId="05ECA47C" w14:textId="77777777" w:rsidR="009E5590" w:rsidRPr="009E5590" w:rsidRDefault="009E5590" w:rsidP="009E5590">
            <w:r w:rsidRPr="009E5590">
              <w:rPr>
                <w:b/>
                <w:bCs/>
              </w:rPr>
              <w:t>$2.3M</w:t>
            </w:r>
            <w:r w:rsidRPr="009E5590">
              <w:t xml:space="preserve"> (annual, $1B)</w:t>
            </w:r>
          </w:p>
        </w:tc>
      </w:tr>
      <w:tr w:rsidR="009E5590" w:rsidRPr="009E5590" w14:paraId="7845DC99" w14:textId="77777777">
        <w:trPr>
          <w:tblCellSpacing w:w="15" w:type="dxa"/>
        </w:trPr>
        <w:tc>
          <w:tcPr>
            <w:tcW w:w="0" w:type="auto"/>
            <w:vAlign w:val="center"/>
            <w:hideMark/>
          </w:tcPr>
          <w:p w14:paraId="50E99F8B" w14:textId="77777777" w:rsidR="009E5590" w:rsidRPr="009E5590" w:rsidRDefault="009E5590" w:rsidP="009E5590">
            <w:r w:rsidRPr="009E5590">
              <w:t>Standard GARCH (t-dist)</w:t>
            </w:r>
          </w:p>
        </w:tc>
        <w:tc>
          <w:tcPr>
            <w:tcW w:w="0" w:type="auto"/>
            <w:vAlign w:val="center"/>
            <w:hideMark/>
          </w:tcPr>
          <w:p w14:paraId="2D9A6F3D" w14:textId="77777777" w:rsidR="009E5590" w:rsidRPr="009E5590" w:rsidRDefault="009E5590" w:rsidP="009E5590">
            <w:r w:rsidRPr="009E5590">
              <w:t>-0.145</w:t>
            </w:r>
          </w:p>
        </w:tc>
        <w:tc>
          <w:tcPr>
            <w:tcW w:w="0" w:type="auto"/>
            <w:vAlign w:val="center"/>
            <w:hideMark/>
          </w:tcPr>
          <w:p w14:paraId="18AA458A" w14:textId="77777777" w:rsidR="009E5590" w:rsidRPr="009E5590" w:rsidRDefault="009E5590" w:rsidP="009E5590">
            <w:r w:rsidRPr="009E5590">
              <w:t>1.123</w:t>
            </w:r>
          </w:p>
        </w:tc>
        <w:tc>
          <w:tcPr>
            <w:tcW w:w="0" w:type="auto"/>
            <w:vAlign w:val="center"/>
            <w:hideMark/>
          </w:tcPr>
          <w:p w14:paraId="573A7275" w14:textId="77777777" w:rsidR="009E5590" w:rsidRPr="009E5590" w:rsidRDefault="009E5590" w:rsidP="009E5590">
            <w:r w:rsidRPr="009E5590">
              <w:t>-$1.2M</w:t>
            </w:r>
          </w:p>
        </w:tc>
      </w:tr>
    </w:tbl>
    <w:p w14:paraId="2B2CE194" w14:textId="77777777" w:rsidR="009E5590" w:rsidRPr="009E5590" w:rsidRDefault="009E5590" w:rsidP="009E5590">
      <w:r w:rsidRPr="009E5590">
        <w:pict w14:anchorId="688B5F64">
          <v:rect id="_x0000_i1134" style="width:0;height:1.5pt" o:hralign="center" o:hrstd="t" o:hr="t" fillcolor="#a0a0a0" stroked="f"/>
        </w:pict>
      </w:r>
    </w:p>
    <w:p w14:paraId="73D6B850" w14:textId="77777777" w:rsidR="009E5590" w:rsidRPr="009E5590" w:rsidRDefault="009E5590" w:rsidP="009E5590">
      <w:pPr>
        <w:rPr>
          <w:b/>
          <w:bCs/>
        </w:rPr>
      </w:pPr>
      <w:r w:rsidRPr="009E5590">
        <w:rPr>
          <w:b/>
          <w:bCs/>
        </w:rPr>
        <w:t>10. NEW: Advanced Model Comparison Framework</w:t>
      </w:r>
    </w:p>
    <w:p w14:paraId="0F69D531" w14:textId="77777777" w:rsidR="009E5590" w:rsidRPr="009E5590" w:rsidRDefault="009E5590" w:rsidP="009E5590">
      <w:pPr>
        <w:rPr>
          <w:b/>
          <w:bCs/>
        </w:rPr>
      </w:pPr>
      <w:r w:rsidRPr="009E5590">
        <w:rPr>
          <w:b/>
          <w:bCs/>
        </w:rPr>
        <w:t>10.1 Comprehensive Model Ranking</w:t>
      </w:r>
    </w:p>
    <w:p w14:paraId="6A2483A7" w14:textId="77777777" w:rsidR="009E5590" w:rsidRPr="009E5590" w:rsidRDefault="009E5590" w:rsidP="009E5590">
      <w:r w:rsidRPr="009E5590">
        <w:rPr>
          <w:b/>
          <w:bCs/>
        </w:rPr>
        <w:t>Multi-Criteria Decision Analysis (MCDA) Scoring: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1"/>
        <w:gridCol w:w="723"/>
        <w:gridCol w:w="1383"/>
        <w:gridCol w:w="2161"/>
      </w:tblGrid>
      <w:tr w:rsidR="009E5590" w:rsidRPr="009E5590" w14:paraId="3C7BE19F" w14:textId="77777777">
        <w:trPr>
          <w:tblHeader/>
          <w:tblCellSpacing w:w="15" w:type="dxa"/>
        </w:trPr>
        <w:tc>
          <w:tcPr>
            <w:tcW w:w="0" w:type="auto"/>
            <w:vAlign w:val="center"/>
            <w:hideMark/>
          </w:tcPr>
          <w:p w14:paraId="15DB891E" w14:textId="77777777" w:rsidR="009E5590" w:rsidRPr="009E5590" w:rsidRDefault="009E5590" w:rsidP="009E5590">
            <w:pPr>
              <w:rPr>
                <w:b/>
                <w:bCs/>
              </w:rPr>
            </w:pPr>
            <w:r w:rsidRPr="009E5590">
              <w:rPr>
                <w:b/>
                <w:bCs/>
              </w:rPr>
              <w:t>Criterion</w:t>
            </w:r>
          </w:p>
        </w:tc>
        <w:tc>
          <w:tcPr>
            <w:tcW w:w="0" w:type="auto"/>
            <w:vAlign w:val="center"/>
            <w:hideMark/>
          </w:tcPr>
          <w:p w14:paraId="22280982" w14:textId="77777777" w:rsidR="009E5590" w:rsidRPr="009E5590" w:rsidRDefault="009E5590" w:rsidP="009E5590">
            <w:pPr>
              <w:rPr>
                <w:b/>
                <w:bCs/>
              </w:rPr>
            </w:pPr>
            <w:r w:rsidRPr="009E5590">
              <w:rPr>
                <w:b/>
                <w:bCs/>
              </w:rPr>
              <w:t>Weight</w:t>
            </w:r>
          </w:p>
        </w:tc>
        <w:tc>
          <w:tcPr>
            <w:tcW w:w="0" w:type="auto"/>
            <w:vAlign w:val="center"/>
            <w:hideMark/>
          </w:tcPr>
          <w:p w14:paraId="7501903F" w14:textId="77777777" w:rsidR="009E5590" w:rsidRPr="009E5590" w:rsidRDefault="009E5590" w:rsidP="009E5590">
            <w:pPr>
              <w:rPr>
                <w:b/>
                <w:bCs/>
              </w:rPr>
            </w:pPr>
            <w:r w:rsidRPr="009E5590">
              <w:rPr>
                <w:b/>
                <w:bCs/>
              </w:rPr>
              <w:t>CGARCH Score</w:t>
            </w:r>
          </w:p>
        </w:tc>
        <w:tc>
          <w:tcPr>
            <w:tcW w:w="0" w:type="auto"/>
            <w:vAlign w:val="center"/>
            <w:hideMark/>
          </w:tcPr>
          <w:p w14:paraId="5807C0CA" w14:textId="77777777" w:rsidR="009E5590" w:rsidRPr="009E5590" w:rsidRDefault="009E5590" w:rsidP="009E5590">
            <w:pPr>
              <w:rPr>
                <w:b/>
                <w:bCs/>
              </w:rPr>
            </w:pPr>
            <w:r w:rsidRPr="009E5590">
              <w:rPr>
                <w:b/>
                <w:bCs/>
              </w:rPr>
              <w:t>Standard GARCH Score</w:t>
            </w:r>
          </w:p>
        </w:tc>
      </w:tr>
      <w:tr w:rsidR="009E5590" w:rsidRPr="009E5590" w14:paraId="00C43FAD" w14:textId="77777777">
        <w:trPr>
          <w:tblCellSpacing w:w="15" w:type="dxa"/>
        </w:trPr>
        <w:tc>
          <w:tcPr>
            <w:tcW w:w="0" w:type="auto"/>
            <w:vAlign w:val="center"/>
            <w:hideMark/>
          </w:tcPr>
          <w:p w14:paraId="778B5B3D" w14:textId="77777777" w:rsidR="009E5590" w:rsidRPr="009E5590" w:rsidRDefault="009E5590" w:rsidP="009E5590">
            <w:r w:rsidRPr="009E5590">
              <w:t>Statistical Validity</w:t>
            </w:r>
          </w:p>
        </w:tc>
        <w:tc>
          <w:tcPr>
            <w:tcW w:w="0" w:type="auto"/>
            <w:vAlign w:val="center"/>
            <w:hideMark/>
          </w:tcPr>
          <w:p w14:paraId="38382221" w14:textId="77777777" w:rsidR="009E5590" w:rsidRPr="009E5590" w:rsidRDefault="009E5590" w:rsidP="009E5590">
            <w:r w:rsidRPr="009E5590">
              <w:t>30%</w:t>
            </w:r>
          </w:p>
        </w:tc>
        <w:tc>
          <w:tcPr>
            <w:tcW w:w="0" w:type="auto"/>
            <w:vAlign w:val="center"/>
            <w:hideMark/>
          </w:tcPr>
          <w:p w14:paraId="5C822647" w14:textId="77777777" w:rsidR="009E5590" w:rsidRPr="009E5590" w:rsidRDefault="009E5590" w:rsidP="009E5590">
            <w:r w:rsidRPr="009E5590">
              <w:t>95/100</w:t>
            </w:r>
          </w:p>
        </w:tc>
        <w:tc>
          <w:tcPr>
            <w:tcW w:w="0" w:type="auto"/>
            <w:vAlign w:val="center"/>
            <w:hideMark/>
          </w:tcPr>
          <w:p w14:paraId="080346EA" w14:textId="77777777" w:rsidR="009E5590" w:rsidRPr="009E5590" w:rsidRDefault="009E5590" w:rsidP="009E5590">
            <w:r w:rsidRPr="009E5590">
              <w:t>45/100</w:t>
            </w:r>
          </w:p>
        </w:tc>
      </w:tr>
      <w:tr w:rsidR="009E5590" w:rsidRPr="009E5590" w14:paraId="52FB4EFF" w14:textId="77777777">
        <w:trPr>
          <w:tblCellSpacing w:w="15" w:type="dxa"/>
        </w:trPr>
        <w:tc>
          <w:tcPr>
            <w:tcW w:w="0" w:type="auto"/>
            <w:vAlign w:val="center"/>
            <w:hideMark/>
          </w:tcPr>
          <w:p w14:paraId="03CB79F6" w14:textId="77777777" w:rsidR="009E5590" w:rsidRPr="009E5590" w:rsidRDefault="009E5590" w:rsidP="009E5590">
            <w:r w:rsidRPr="009E5590">
              <w:t>Economic Significance</w:t>
            </w:r>
          </w:p>
        </w:tc>
        <w:tc>
          <w:tcPr>
            <w:tcW w:w="0" w:type="auto"/>
            <w:vAlign w:val="center"/>
            <w:hideMark/>
          </w:tcPr>
          <w:p w14:paraId="301288FE" w14:textId="77777777" w:rsidR="009E5590" w:rsidRPr="009E5590" w:rsidRDefault="009E5590" w:rsidP="009E5590">
            <w:r w:rsidRPr="009E5590">
              <w:t>25%</w:t>
            </w:r>
          </w:p>
        </w:tc>
        <w:tc>
          <w:tcPr>
            <w:tcW w:w="0" w:type="auto"/>
            <w:vAlign w:val="center"/>
            <w:hideMark/>
          </w:tcPr>
          <w:p w14:paraId="521E4734" w14:textId="77777777" w:rsidR="009E5590" w:rsidRPr="009E5590" w:rsidRDefault="009E5590" w:rsidP="009E5590">
            <w:r w:rsidRPr="009E5590">
              <w:t>90/100</w:t>
            </w:r>
          </w:p>
        </w:tc>
        <w:tc>
          <w:tcPr>
            <w:tcW w:w="0" w:type="auto"/>
            <w:vAlign w:val="center"/>
            <w:hideMark/>
          </w:tcPr>
          <w:p w14:paraId="6E9E8904" w14:textId="77777777" w:rsidR="009E5590" w:rsidRPr="009E5590" w:rsidRDefault="009E5590" w:rsidP="009E5590">
            <w:r w:rsidRPr="009E5590">
              <w:t>60/100</w:t>
            </w:r>
          </w:p>
        </w:tc>
      </w:tr>
      <w:tr w:rsidR="009E5590" w:rsidRPr="009E5590" w14:paraId="398DE5B3" w14:textId="77777777">
        <w:trPr>
          <w:tblCellSpacing w:w="15" w:type="dxa"/>
        </w:trPr>
        <w:tc>
          <w:tcPr>
            <w:tcW w:w="0" w:type="auto"/>
            <w:vAlign w:val="center"/>
            <w:hideMark/>
          </w:tcPr>
          <w:p w14:paraId="0E125FE3" w14:textId="77777777" w:rsidR="009E5590" w:rsidRPr="009E5590" w:rsidRDefault="009E5590" w:rsidP="009E5590">
            <w:r w:rsidRPr="009E5590">
              <w:t>Regulatory Compliance</w:t>
            </w:r>
          </w:p>
        </w:tc>
        <w:tc>
          <w:tcPr>
            <w:tcW w:w="0" w:type="auto"/>
            <w:vAlign w:val="center"/>
            <w:hideMark/>
          </w:tcPr>
          <w:p w14:paraId="71F5335F" w14:textId="77777777" w:rsidR="009E5590" w:rsidRPr="009E5590" w:rsidRDefault="009E5590" w:rsidP="009E5590">
            <w:r w:rsidRPr="009E5590">
              <w:t>20%</w:t>
            </w:r>
          </w:p>
        </w:tc>
        <w:tc>
          <w:tcPr>
            <w:tcW w:w="0" w:type="auto"/>
            <w:vAlign w:val="center"/>
            <w:hideMark/>
          </w:tcPr>
          <w:p w14:paraId="66C0AE48" w14:textId="77777777" w:rsidR="009E5590" w:rsidRPr="009E5590" w:rsidRDefault="009E5590" w:rsidP="009E5590">
            <w:r w:rsidRPr="009E5590">
              <w:t>100/100</w:t>
            </w:r>
          </w:p>
        </w:tc>
        <w:tc>
          <w:tcPr>
            <w:tcW w:w="0" w:type="auto"/>
            <w:vAlign w:val="center"/>
            <w:hideMark/>
          </w:tcPr>
          <w:p w14:paraId="08EAFA38" w14:textId="77777777" w:rsidR="009E5590" w:rsidRPr="009E5590" w:rsidRDefault="009E5590" w:rsidP="009E5590">
            <w:r w:rsidRPr="009E5590">
              <w:t>40/100</w:t>
            </w:r>
          </w:p>
        </w:tc>
      </w:tr>
      <w:tr w:rsidR="009E5590" w:rsidRPr="009E5590" w14:paraId="0E374491" w14:textId="77777777">
        <w:trPr>
          <w:tblCellSpacing w:w="15" w:type="dxa"/>
        </w:trPr>
        <w:tc>
          <w:tcPr>
            <w:tcW w:w="0" w:type="auto"/>
            <w:vAlign w:val="center"/>
            <w:hideMark/>
          </w:tcPr>
          <w:p w14:paraId="13B1D614" w14:textId="77777777" w:rsidR="009E5590" w:rsidRPr="009E5590" w:rsidRDefault="009E5590" w:rsidP="009E5590">
            <w:r w:rsidRPr="009E5590">
              <w:t>Implementation Complexity</w:t>
            </w:r>
          </w:p>
        </w:tc>
        <w:tc>
          <w:tcPr>
            <w:tcW w:w="0" w:type="auto"/>
            <w:vAlign w:val="center"/>
            <w:hideMark/>
          </w:tcPr>
          <w:p w14:paraId="286E6CC6" w14:textId="77777777" w:rsidR="009E5590" w:rsidRPr="009E5590" w:rsidRDefault="009E5590" w:rsidP="009E5590">
            <w:r w:rsidRPr="009E5590">
              <w:t>15%</w:t>
            </w:r>
          </w:p>
        </w:tc>
        <w:tc>
          <w:tcPr>
            <w:tcW w:w="0" w:type="auto"/>
            <w:vAlign w:val="center"/>
            <w:hideMark/>
          </w:tcPr>
          <w:p w14:paraId="2F4FA18D" w14:textId="77777777" w:rsidR="009E5590" w:rsidRPr="009E5590" w:rsidRDefault="009E5590" w:rsidP="009E5590">
            <w:r w:rsidRPr="009E5590">
              <w:t>70/100</w:t>
            </w:r>
          </w:p>
        </w:tc>
        <w:tc>
          <w:tcPr>
            <w:tcW w:w="0" w:type="auto"/>
            <w:vAlign w:val="center"/>
            <w:hideMark/>
          </w:tcPr>
          <w:p w14:paraId="1CF56BDA" w14:textId="77777777" w:rsidR="009E5590" w:rsidRPr="009E5590" w:rsidRDefault="009E5590" w:rsidP="009E5590">
            <w:r w:rsidRPr="009E5590">
              <w:t>90/100</w:t>
            </w:r>
          </w:p>
        </w:tc>
      </w:tr>
      <w:tr w:rsidR="009E5590" w:rsidRPr="009E5590" w14:paraId="21B8D286" w14:textId="77777777">
        <w:trPr>
          <w:tblCellSpacing w:w="15" w:type="dxa"/>
        </w:trPr>
        <w:tc>
          <w:tcPr>
            <w:tcW w:w="0" w:type="auto"/>
            <w:vAlign w:val="center"/>
            <w:hideMark/>
          </w:tcPr>
          <w:p w14:paraId="794E3541" w14:textId="77777777" w:rsidR="009E5590" w:rsidRPr="009E5590" w:rsidRDefault="009E5590" w:rsidP="009E5590">
            <w:r w:rsidRPr="009E5590">
              <w:t>Computational Efficiency</w:t>
            </w:r>
          </w:p>
        </w:tc>
        <w:tc>
          <w:tcPr>
            <w:tcW w:w="0" w:type="auto"/>
            <w:vAlign w:val="center"/>
            <w:hideMark/>
          </w:tcPr>
          <w:p w14:paraId="485E02DD" w14:textId="77777777" w:rsidR="009E5590" w:rsidRPr="009E5590" w:rsidRDefault="009E5590" w:rsidP="009E5590">
            <w:r w:rsidRPr="009E5590">
              <w:t>10%</w:t>
            </w:r>
          </w:p>
        </w:tc>
        <w:tc>
          <w:tcPr>
            <w:tcW w:w="0" w:type="auto"/>
            <w:vAlign w:val="center"/>
            <w:hideMark/>
          </w:tcPr>
          <w:p w14:paraId="59A0A2B0" w14:textId="77777777" w:rsidR="009E5590" w:rsidRPr="009E5590" w:rsidRDefault="009E5590" w:rsidP="009E5590">
            <w:r w:rsidRPr="009E5590">
              <w:t>80/100</w:t>
            </w:r>
          </w:p>
        </w:tc>
        <w:tc>
          <w:tcPr>
            <w:tcW w:w="0" w:type="auto"/>
            <w:vAlign w:val="center"/>
            <w:hideMark/>
          </w:tcPr>
          <w:p w14:paraId="028E21F1" w14:textId="77777777" w:rsidR="009E5590" w:rsidRPr="009E5590" w:rsidRDefault="009E5590" w:rsidP="009E5590">
            <w:r w:rsidRPr="009E5590">
              <w:t>95/100</w:t>
            </w:r>
          </w:p>
        </w:tc>
      </w:tr>
      <w:tr w:rsidR="009E5590" w:rsidRPr="009E5590" w14:paraId="090091FF" w14:textId="77777777">
        <w:trPr>
          <w:tblCellSpacing w:w="15" w:type="dxa"/>
        </w:trPr>
        <w:tc>
          <w:tcPr>
            <w:tcW w:w="0" w:type="auto"/>
            <w:vAlign w:val="center"/>
            <w:hideMark/>
          </w:tcPr>
          <w:p w14:paraId="4A712C75" w14:textId="77777777" w:rsidR="009E5590" w:rsidRPr="009E5590" w:rsidRDefault="009E5590" w:rsidP="009E5590">
            <w:r w:rsidRPr="009E5590">
              <w:rPr>
                <w:b/>
                <w:bCs/>
              </w:rPr>
              <w:t>Overall Score</w:t>
            </w:r>
          </w:p>
        </w:tc>
        <w:tc>
          <w:tcPr>
            <w:tcW w:w="0" w:type="auto"/>
            <w:vAlign w:val="center"/>
            <w:hideMark/>
          </w:tcPr>
          <w:p w14:paraId="72C363CF" w14:textId="77777777" w:rsidR="009E5590" w:rsidRPr="009E5590" w:rsidRDefault="009E5590" w:rsidP="009E5590">
            <w:r w:rsidRPr="009E5590">
              <w:rPr>
                <w:b/>
                <w:bCs/>
              </w:rPr>
              <w:t>100%</w:t>
            </w:r>
          </w:p>
        </w:tc>
        <w:tc>
          <w:tcPr>
            <w:tcW w:w="0" w:type="auto"/>
            <w:vAlign w:val="center"/>
            <w:hideMark/>
          </w:tcPr>
          <w:p w14:paraId="4CD8FE33" w14:textId="77777777" w:rsidR="009E5590" w:rsidRPr="009E5590" w:rsidRDefault="009E5590" w:rsidP="009E5590">
            <w:r w:rsidRPr="009E5590">
              <w:rPr>
                <w:b/>
                <w:bCs/>
              </w:rPr>
              <w:t>88.5/100</w:t>
            </w:r>
            <w:r w:rsidRPr="009E5590">
              <w:t xml:space="preserve"> </w:t>
            </w:r>
            <w:r w:rsidRPr="009E5590">
              <w:rPr>
                <w:rFonts w:ascii="Segoe UI Emoji" w:hAnsi="Segoe UI Emoji" w:cs="Segoe UI Emoji"/>
              </w:rPr>
              <w:t>✅</w:t>
            </w:r>
          </w:p>
        </w:tc>
        <w:tc>
          <w:tcPr>
            <w:tcW w:w="0" w:type="auto"/>
            <w:vAlign w:val="center"/>
            <w:hideMark/>
          </w:tcPr>
          <w:p w14:paraId="3B9CCA10" w14:textId="77777777" w:rsidR="009E5590" w:rsidRPr="009E5590" w:rsidRDefault="009E5590" w:rsidP="009E5590">
            <w:r w:rsidRPr="009E5590">
              <w:rPr>
                <w:b/>
                <w:bCs/>
              </w:rPr>
              <w:t>59.0/100</w:t>
            </w:r>
          </w:p>
        </w:tc>
      </w:tr>
    </w:tbl>
    <w:p w14:paraId="75ED905E" w14:textId="77777777" w:rsidR="009E5590" w:rsidRPr="009E5590" w:rsidRDefault="009E5590" w:rsidP="009E5590">
      <w:pPr>
        <w:rPr>
          <w:b/>
          <w:bCs/>
        </w:rPr>
      </w:pPr>
      <w:r w:rsidRPr="009E5590">
        <w:rPr>
          <w:b/>
          <w:bCs/>
        </w:rPr>
        <w:t>10.2 NEW: Implementation Recommendations</w:t>
      </w:r>
    </w:p>
    <w:p w14:paraId="35C850D9" w14:textId="77777777" w:rsidR="009E5590" w:rsidRPr="009E5590" w:rsidRDefault="009E5590" w:rsidP="009E5590">
      <w:r w:rsidRPr="009E5590">
        <w:rPr>
          <w:b/>
          <w:bCs/>
        </w:rPr>
        <w:t>Risk Management Decision Tree:</w:t>
      </w:r>
    </w:p>
    <w:p w14:paraId="60D2617B" w14:textId="77777777" w:rsidR="009E5590" w:rsidRPr="009E5590" w:rsidRDefault="009E5590" w:rsidP="009E5590">
      <w:r w:rsidRPr="009E5590">
        <w:t>Model Selection Framework:</w:t>
      </w:r>
    </w:p>
    <w:p w14:paraId="01F2A4EC" w14:textId="77777777" w:rsidR="009E5590" w:rsidRPr="009E5590" w:rsidRDefault="009E5590" w:rsidP="009E5590">
      <w:r w:rsidRPr="009E5590">
        <w:rPr>
          <w:rFonts w:ascii="MS Gothic" w:eastAsia="MS Gothic" w:hAnsi="MS Gothic" w:cs="MS Gothic" w:hint="eastAsia"/>
        </w:rPr>
        <w:t>├</w:t>
      </w:r>
      <w:r w:rsidRPr="009E5590">
        <w:rPr>
          <w:rFonts w:ascii="Calibri" w:hAnsi="Calibri" w:cs="Calibri"/>
        </w:rPr>
        <w:t>──</w:t>
      </w:r>
      <w:r w:rsidRPr="009E5590">
        <w:t xml:space="preserve"> Regulatory Environment?</w:t>
      </w:r>
    </w:p>
    <w:p w14:paraId="54ADA12A" w14:textId="77777777" w:rsidR="009E5590" w:rsidRPr="009E5590" w:rsidRDefault="009E5590" w:rsidP="009E5590">
      <w:r w:rsidRPr="009E5590">
        <w:t xml:space="preserve">│   </w:t>
      </w:r>
      <w:r w:rsidRPr="009E5590">
        <w:rPr>
          <w:rFonts w:ascii="MS Gothic" w:eastAsia="MS Gothic" w:hAnsi="MS Gothic" w:cs="MS Gothic" w:hint="eastAsia"/>
        </w:rPr>
        <w:t>├</w:t>
      </w:r>
      <w:r w:rsidRPr="009E5590">
        <w:rPr>
          <w:rFonts w:ascii="Calibri" w:hAnsi="Calibri" w:cs="Calibri"/>
        </w:rPr>
        <w:t>──</w:t>
      </w:r>
      <w:r w:rsidRPr="009E5590">
        <w:t xml:space="preserve"> Basel III Required </w:t>
      </w:r>
      <w:r w:rsidRPr="009E5590">
        <w:rPr>
          <w:rFonts w:ascii="Calibri" w:hAnsi="Calibri" w:cs="Calibri"/>
        </w:rPr>
        <w:t>→</w:t>
      </w:r>
      <w:r w:rsidRPr="009E5590">
        <w:t xml:space="preserve"> CGARCH (Student's t) </w:t>
      </w:r>
      <w:r w:rsidRPr="009E5590">
        <w:rPr>
          <w:rFonts w:ascii="Segoe UI Emoji" w:hAnsi="Segoe UI Emoji" w:cs="Segoe UI Emoji"/>
        </w:rPr>
        <w:t>✅</w:t>
      </w:r>
    </w:p>
    <w:p w14:paraId="240CA147" w14:textId="77777777" w:rsidR="009E5590" w:rsidRPr="009E5590" w:rsidRDefault="009E5590" w:rsidP="009E5590">
      <w:r w:rsidRPr="009E5590">
        <w:t>│   └── Internal Models → Consider computational trade-offs</w:t>
      </w:r>
    </w:p>
    <w:p w14:paraId="1393E32F" w14:textId="77777777" w:rsidR="009E5590" w:rsidRPr="009E5590" w:rsidRDefault="009E5590" w:rsidP="009E5590">
      <w:r w:rsidRPr="009E5590">
        <w:rPr>
          <w:rFonts w:ascii="MS Gothic" w:eastAsia="MS Gothic" w:hAnsi="MS Gothic" w:cs="MS Gothic" w:hint="eastAsia"/>
        </w:rPr>
        <w:t>├</w:t>
      </w:r>
      <w:r w:rsidRPr="009E5590">
        <w:rPr>
          <w:rFonts w:ascii="Calibri" w:hAnsi="Calibri" w:cs="Calibri"/>
        </w:rPr>
        <w:t>──</w:t>
      </w:r>
      <w:r w:rsidRPr="009E5590">
        <w:t xml:space="preserve"> Portfolio Complexity?</w:t>
      </w:r>
    </w:p>
    <w:p w14:paraId="2B7F3301" w14:textId="77777777" w:rsidR="009E5590" w:rsidRPr="009E5590" w:rsidRDefault="009E5590" w:rsidP="009E5590">
      <w:r w:rsidRPr="009E5590">
        <w:t xml:space="preserve">│   </w:t>
      </w:r>
      <w:r w:rsidRPr="009E5590">
        <w:rPr>
          <w:rFonts w:ascii="MS Gothic" w:eastAsia="MS Gothic" w:hAnsi="MS Gothic" w:cs="MS Gothic" w:hint="eastAsia"/>
        </w:rPr>
        <w:t>├</w:t>
      </w:r>
      <w:r w:rsidRPr="009E5590">
        <w:rPr>
          <w:rFonts w:ascii="Calibri" w:hAnsi="Calibri" w:cs="Calibri"/>
        </w:rPr>
        <w:t>──</w:t>
      </w:r>
      <w:r w:rsidRPr="009E5590">
        <w:t xml:space="preserve"> Multi-Asset </w:t>
      </w:r>
      <w:r w:rsidRPr="009E5590">
        <w:rPr>
          <w:rFonts w:ascii="Calibri" w:hAnsi="Calibri" w:cs="Calibri"/>
        </w:rPr>
        <w:t>→</w:t>
      </w:r>
      <w:r w:rsidRPr="009E5590">
        <w:t xml:space="preserve"> CGARCH-DCC </w:t>
      </w:r>
      <w:r w:rsidRPr="009E5590">
        <w:rPr>
          <w:rFonts w:ascii="Segoe UI Emoji" w:hAnsi="Segoe UI Emoji" w:cs="Segoe UI Emoji"/>
        </w:rPr>
        <w:t>✅</w:t>
      </w:r>
    </w:p>
    <w:p w14:paraId="49D4784B" w14:textId="77777777" w:rsidR="009E5590" w:rsidRPr="009E5590" w:rsidRDefault="009E5590" w:rsidP="009E5590">
      <w:r w:rsidRPr="009E5590">
        <w:t>│   └── Single Asset → CGARCH sufficient</w:t>
      </w:r>
    </w:p>
    <w:p w14:paraId="7717A14C" w14:textId="77777777" w:rsidR="009E5590" w:rsidRPr="009E5590" w:rsidRDefault="009E5590" w:rsidP="009E5590">
      <w:r w:rsidRPr="009E5590">
        <w:t>└── Risk Tolerance?</w:t>
      </w:r>
    </w:p>
    <w:p w14:paraId="6093C875" w14:textId="77777777" w:rsidR="009E5590" w:rsidRPr="009E5590" w:rsidRDefault="009E5590" w:rsidP="009E5590">
      <w:r w:rsidRPr="009E5590">
        <w:t xml:space="preserve">    </w:t>
      </w:r>
      <w:r w:rsidRPr="009E5590">
        <w:rPr>
          <w:rFonts w:ascii="MS Gothic" w:eastAsia="MS Gothic" w:hAnsi="MS Gothic" w:cs="MS Gothic" w:hint="eastAsia"/>
        </w:rPr>
        <w:t>├</w:t>
      </w:r>
      <w:r w:rsidRPr="009E5590">
        <w:rPr>
          <w:rFonts w:ascii="Calibri" w:hAnsi="Calibri" w:cs="Calibri"/>
        </w:rPr>
        <w:t>──</w:t>
      </w:r>
      <w:r w:rsidRPr="009E5590">
        <w:t xml:space="preserve"> Conservative </w:t>
      </w:r>
      <w:r w:rsidRPr="009E5590">
        <w:rPr>
          <w:rFonts w:ascii="Calibri" w:hAnsi="Calibri" w:cs="Calibri"/>
        </w:rPr>
        <w:t>→</w:t>
      </w:r>
      <w:r w:rsidRPr="009E5590">
        <w:t xml:space="preserve"> CGARCH (Skewed-t) </w:t>
      </w:r>
      <w:r w:rsidRPr="009E5590">
        <w:rPr>
          <w:rFonts w:ascii="Segoe UI Emoji" w:hAnsi="Segoe UI Emoji" w:cs="Segoe UI Emoji"/>
        </w:rPr>
        <w:t>✅</w:t>
      </w:r>
    </w:p>
    <w:p w14:paraId="207E276B" w14:textId="77777777" w:rsidR="009E5590" w:rsidRPr="009E5590" w:rsidRDefault="009E5590" w:rsidP="009E5590">
      <w:r w:rsidRPr="009E5590">
        <w:t xml:space="preserve">    └── Aggressive → Standard GARCH (not recommended)</w:t>
      </w:r>
    </w:p>
    <w:p w14:paraId="22BAF177" w14:textId="77777777" w:rsidR="009E5590" w:rsidRPr="009E5590" w:rsidRDefault="009E5590" w:rsidP="009E5590">
      <w:r w:rsidRPr="009E5590">
        <w:pict w14:anchorId="45D767B4">
          <v:rect id="_x0000_i1135" style="width:0;height:1.5pt" o:hralign="center" o:hrstd="t" o:hr="t" fillcolor="#a0a0a0" stroked="f"/>
        </w:pict>
      </w:r>
    </w:p>
    <w:p w14:paraId="78CE218B" w14:textId="77777777" w:rsidR="009E5590" w:rsidRPr="009E5590" w:rsidRDefault="009E5590" w:rsidP="009E5590">
      <w:pPr>
        <w:rPr>
          <w:b/>
          <w:bCs/>
        </w:rPr>
      </w:pPr>
      <w:r w:rsidRPr="009E5590">
        <w:rPr>
          <w:b/>
          <w:bCs/>
        </w:rPr>
        <w:t>11. Enhanced Conclusions and Strategic Implications</w:t>
      </w:r>
    </w:p>
    <w:p w14:paraId="16E9BDFF" w14:textId="77777777" w:rsidR="009E5590" w:rsidRPr="009E5590" w:rsidRDefault="009E5590" w:rsidP="009E5590">
      <w:pPr>
        <w:rPr>
          <w:b/>
          <w:bCs/>
        </w:rPr>
      </w:pPr>
      <w:r w:rsidRPr="009E5590">
        <w:rPr>
          <w:b/>
          <w:bCs/>
        </w:rPr>
        <w:t>11.1 Definitive Research Conclusions</w:t>
      </w:r>
    </w:p>
    <w:p w14:paraId="202A93B7" w14:textId="77777777" w:rsidR="009E5590" w:rsidRPr="009E5590" w:rsidRDefault="009E5590" w:rsidP="009E5590">
      <w:pPr>
        <w:numPr>
          <w:ilvl w:val="0"/>
          <w:numId w:val="18"/>
        </w:numPr>
      </w:pPr>
      <w:r w:rsidRPr="009E5590">
        <w:rPr>
          <w:b/>
          <w:bCs/>
        </w:rPr>
        <w:t>Distributional Assumptions Are Foundational</w:t>
      </w:r>
    </w:p>
    <w:p w14:paraId="1C71902D" w14:textId="77777777" w:rsidR="009E5590" w:rsidRPr="009E5590" w:rsidRDefault="009E5590" w:rsidP="009E5590">
      <w:pPr>
        <w:numPr>
          <w:ilvl w:val="1"/>
          <w:numId w:val="18"/>
        </w:numPr>
      </w:pPr>
      <w:r w:rsidRPr="009E5590">
        <w:t>Normal distributions fail catastrophically across all models and confidence levels</w:t>
      </w:r>
    </w:p>
    <w:p w14:paraId="4BB4C6C5" w14:textId="77777777" w:rsidR="009E5590" w:rsidRPr="009E5590" w:rsidRDefault="009E5590" w:rsidP="009E5590">
      <w:pPr>
        <w:numPr>
          <w:ilvl w:val="1"/>
          <w:numId w:val="18"/>
        </w:numPr>
      </w:pPr>
      <w:r w:rsidRPr="009E5590">
        <w:t>Student's t-distribution is minimum requirement for financial risk modeling</w:t>
      </w:r>
    </w:p>
    <w:p w14:paraId="713A44C9" w14:textId="77777777" w:rsidR="009E5590" w:rsidRPr="009E5590" w:rsidRDefault="009E5590" w:rsidP="009E5590">
      <w:pPr>
        <w:numPr>
          <w:ilvl w:val="1"/>
          <w:numId w:val="18"/>
        </w:numPr>
      </w:pPr>
      <w:r w:rsidRPr="009E5590">
        <w:t>Tail risk underestimation has direct regulatory capital implications</w:t>
      </w:r>
    </w:p>
    <w:p w14:paraId="636DCF53" w14:textId="77777777" w:rsidR="009E5590" w:rsidRPr="009E5590" w:rsidRDefault="009E5590" w:rsidP="009E5590">
      <w:pPr>
        <w:numPr>
          <w:ilvl w:val="0"/>
          <w:numId w:val="18"/>
        </w:numPr>
      </w:pPr>
      <w:r w:rsidRPr="009E5590">
        <w:rPr>
          <w:b/>
          <w:bCs/>
        </w:rPr>
        <w:t>Model Structure Dominates Distribution Choice</w:t>
      </w:r>
    </w:p>
    <w:p w14:paraId="06B78A2F" w14:textId="77777777" w:rsidR="009E5590" w:rsidRPr="009E5590" w:rsidRDefault="009E5590" w:rsidP="009E5590">
      <w:pPr>
        <w:numPr>
          <w:ilvl w:val="1"/>
          <w:numId w:val="18"/>
        </w:numPr>
      </w:pPr>
      <w:r w:rsidRPr="009E5590">
        <w:t>CGARCH superiority persists across all statistical tests and economic metrics</w:t>
      </w:r>
    </w:p>
    <w:p w14:paraId="4A3CD72F" w14:textId="77777777" w:rsidR="009E5590" w:rsidRPr="009E5590" w:rsidRDefault="009E5590" w:rsidP="009E5590">
      <w:pPr>
        <w:numPr>
          <w:ilvl w:val="1"/>
          <w:numId w:val="18"/>
        </w:numPr>
      </w:pPr>
      <w:r w:rsidRPr="009E5590">
        <w:t>Component separation of volatility frequencies provides fundamental advantage</w:t>
      </w:r>
    </w:p>
    <w:p w14:paraId="1B180310" w14:textId="77777777" w:rsidR="009E5590" w:rsidRPr="009E5590" w:rsidRDefault="009E5590" w:rsidP="009E5590">
      <w:pPr>
        <w:numPr>
          <w:ilvl w:val="1"/>
          <w:numId w:val="18"/>
        </w:numPr>
      </w:pPr>
      <w:r w:rsidRPr="009E5590">
        <w:t>Standard GARCH structural limitations cannot be overcome by distributional improvements alone</w:t>
      </w:r>
    </w:p>
    <w:p w14:paraId="033A4041" w14:textId="77777777" w:rsidR="009E5590" w:rsidRPr="009E5590" w:rsidRDefault="009E5590" w:rsidP="009E5590">
      <w:pPr>
        <w:numPr>
          <w:ilvl w:val="0"/>
          <w:numId w:val="18"/>
        </w:numPr>
      </w:pPr>
      <w:r w:rsidRPr="009E5590">
        <w:rPr>
          <w:b/>
          <w:bCs/>
        </w:rPr>
        <w:t>Economic Significance Validates Statistical Findings</w:t>
      </w:r>
    </w:p>
    <w:p w14:paraId="6CBF9D01" w14:textId="77777777" w:rsidR="009E5590" w:rsidRPr="009E5590" w:rsidRDefault="009E5590" w:rsidP="009E5590">
      <w:pPr>
        <w:numPr>
          <w:ilvl w:val="1"/>
          <w:numId w:val="18"/>
        </w:numPr>
      </w:pPr>
      <w:r w:rsidRPr="009E5590">
        <w:t>Model choice difference: $2.76M annual impact per $1B in assets</w:t>
      </w:r>
    </w:p>
    <w:p w14:paraId="0DF733B1" w14:textId="77777777" w:rsidR="009E5590" w:rsidRPr="009E5590" w:rsidRDefault="009E5590" w:rsidP="009E5590">
      <w:pPr>
        <w:numPr>
          <w:ilvl w:val="1"/>
          <w:numId w:val="18"/>
        </w:numPr>
      </w:pPr>
      <w:r w:rsidRPr="009E5590">
        <w:t>Regulatory compliance: Only CGARCH meets Basel III standards consistently</w:t>
      </w:r>
    </w:p>
    <w:p w14:paraId="5F86CF50" w14:textId="77777777" w:rsidR="009E5590" w:rsidRPr="009E5590" w:rsidRDefault="009E5590" w:rsidP="009E5590">
      <w:pPr>
        <w:numPr>
          <w:ilvl w:val="1"/>
          <w:numId w:val="18"/>
        </w:numPr>
      </w:pPr>
      <w:r w:rsidRPr="009E5590">
        <w:t>Crisis resilience: CGARCH maintains accuracy when Standard GARCH fails</w:t>
      </w:r>
    </w:p>
    <w:p w14:paraId="51CC0AE0" w14:textId="77777777" w:rsidR="009E5590" w:rsidRPr="009E5590" w:rsidRDefault="009E5590" w:rsidP="009E5590">
      <w:pPr>
        <w:numPr>
          <w:ilvl w:val="0"/>
          <w:numId w:val="18"/>
        </w:numPr>
      </w:pPr>
      <w:r w:rsidRPr="009E5590">
        <w:rPr>
          <w:b/>
          <w:bCs/>
        </w:rPr>
        <w:t>Robustness Across Market Conditions</w:t>
      </w:r>
    </w:p>
    <w:p w14:paraId="1BCA12E9" w14:textId="77777777" w:rsidR="009E5590" w:rsidRPr="009E5590" w:rsidRDefault="009E5590" w:rsidP="009E5590">
      <w:pPr>
        <w:numPr>
          <w:ilvl w:val="1"/>
          <w:numId w:val="18"/>
        </w:numPr>
      </w:pPr>
      <w:r w:rsidRPr="009E5590">
        <w:t>Consistent superiority across confidence levels (95%, 97.5%, 99%)</w:t>
      </w:r>
    </w:p>
    <w:p w14:paraId="32443ED3" w14:textId="77777777" w:rsidR="009E5590" w:rsidRPr="009E5590" w:rsidRDefault="009E5590" w:rsidP="009E5590">
      <w:pPr>
        <w:numPr>
          <w:ilvl w:val="1"/>
          <w:numId w:val="18"/>
        </w:numPr>
      </w:pPr>
      <w:r w:rsidRPr="009E5590">
        <w:t>Maintained performance through COVID crisis and subsequent periods</w:t>
      </w:r>
    </w:p>
    <w:p w14:paraId="7F2AF7BF" w14:textId="77777777" w:rsidR="009E5590" w:rsidRPr="009E5590" w:rsidRDefault="009E5590" w:rsidP="009E5590">
      <w:pPr>
        <w:numPr>
          <w:ilvl w:val="1"/>
          <w:numId w:val="18"/>
        </w:numPr>
      </w:pPr>
      <w:r w:rsidRPr="009E5590">
        <w:t>Parameter stability supports long-term model reliability</w:t>
      </w:r>
    </w:p>
    <w:p w14:paraId="2E6F4516" w14:textId="77777777" w:rsidR="009E5590" w:rsidRPr="009E5590" w:rsidRDefault="009E5590" w:rsidP="009E5590">
      <w:pPr>
        <w:rPr>
          <w:b/>
          <w:bCs/>
        </w:rPr>
      </w:pPr>
      <w:r w:rsidRPr="009E5590">
        <w:rPr>
          <w:b/>
          <w:bCs/>
        </w:rPr>
        <w:t>11.2 NEW: Strategic Implementation Framework</w:t>
      </w:r>
    </w:p>
    <w:p w14:paraId="7DBA29A4" w14:textId="77777777" w:rsidR="009E5590" w:rsidRPr="009E5590" w:rsidRDefault="009E5590" w:rsidP="009E5590">
      <w:r w:rsidRPr="009E5590">
        <w:rPr>
          <w:b/>
          <w:bCs/>
        </w:rPr>
        <w:t>Phase 1: Immediate Implementation (Months 1-3)</w:t>
      </w:r>
    </w:p>
    <w:p w14:paraId="69DC71CF" w14:textId="77777777" w:rsidR="009E5590" w:rsidRPr="009E5590" w:rsidRDefault="009E5590" w:rsidP="009E5590">
      <w:pPr>
        <w:numPr>
          <w:ilvl w:val="0"/>
          <w:numId w:val="19"/>
        </w:numPr>
      </w:pPr>
      <w:r w:rsidRPr="009E5590">
        <w:t>Replace existing VaR models with CGARCH-t specification</w:t>
      </w:r>
    </w:p>
    <w:p w14:paraId="49070E81" w14:textId="77777777" w:rsidR="009E5590" w:rsidRPr="009E5590" w:rsidRDefault="009E5590" w:rsidP="009E5590">
      <w:pPr>
        <w:numPr>
          <w:ilvl w:val="0"/>
          <w:numId w:val="19"/>
        </w:numPr>
      </w:pPr>
      <w:r w:rsidRPr="009E5590">
        <w:t>Implement enhanced backtesting framework with DQ and MCS tests</w:t>
      </w:r>
    </w:p>
    <w:p w14:paraId="2EC451D1" w14:textId="77777777" w:rsidR="009E5590" w:rsidRPr="009E5590" w:rsidRDefault="009E5590" w:rsidP="009E5590">
      <w:pPr>
        <w:numPr>
          <w:ilvl w:val="0"/>
          <w:numId w:val="19"/>
        </w:numPr>
      </w:pPr>
      <w:r w:rsidRPr="009E5590">
        <w:t>Establish economic loss monitoring system</w:t>
      </w:r>
    </w:p>
    <w:p w14:paraId="3C83886E" w14:textId="77777777" w:rsidR="009E5590" w:rsidRPr="009E5590" w:rsidRDefault="009E5590" w:rsidP="009E5590">
      <w:r w:rsidRPr="009E5590">
        <w:rPr>
          <w:b/>
          <w:bCs/>
        </w:rPr>
        <w:t>Phase 2: Advanced Integration (Months 4-6)</w:t>
      </w:r>
    </w:p>
    <w:p w14:paraId="1D15C512" w14:textId="77777777" w:rsidR="009E5590" w:rsidRPr="009E5590" w:rsidRDefault="009E5590" w:rsidP="009E5590">
      <w:pPr>
        <w:numPr>
          <w:ilvl w:val="0"/>
          <w:numId w:val="20"/>
        </w:numPr>
      </w:pPr>
      <w:r w:rsidRPr="009E5590">
        <w:t>Deploy multi-asset CGARCH-DCC for portfolio applications</w:t>
      </w:r>
    </w:p>
    <w:p w14:paraId="67360699" w14:textId="77777777" w:rsidR="009E5590" w:rsidRPr="009E5590" w:rsidRDefault="009E5590" w:rsidP="009E5590">
      <w:pPr>
        <w:numPr>
          <w:ilvl w:val="0"/>
          <w:numId w:val="20"/>
        </w:numPr>
      </w:pPr>
      <w:r w:rsidRPr="009E5590">
        <w:t>Integrate high-frequency realized volatility feeds</w:t>
      </w:r>
    </w:p>
    <w:p w14:paraId="1EA80B3A" w14:textId="77777777" w:rsidR="009E5590" w:rsidRPr="009E5590" w:rsidRDefault="009E5590" w:rsidP="009E5590">
      <w:pPr>
        <w:numPr>
          <w:ilvl w:val="0"/>
          <w:numId w:val="20"/>
        </w:numPr>
      </w:pPr>
      <w:r w:rsidRPr="009E5590">
        <w:t>Develop regime-switching extensions for crisis detection</w:t>
      </w:r>
    </w:p>
    <w:p w14:paraId="2FC37C46" w14:textId="77777777" w:rsidR="009E5590" w:rsidRPr="009E5590" w:rsidRDefault="009E5590" w:rsidP="009E5590">
      <w:r w:rsidRPr="009E5590">
        <w:rPr>
          <w:b/>
          <w:bCs/>
        </w:rPr>
        <w:t>Phase 3: Optimization and Enhancement (Months 7-12)</w:t>
      </w:r>
    </w:p>
    <w:p w14:paraId="798358DA" w14:textId="77777777" w:rsidR="009E5590" w:rsidRPr="009E5590" w:rsidRDefault="009E5590" w:rsidP="009E5590">
      <w:pPr>
        <w:numPr>
          <w:ilvl w:val="0"/>
          <w:numId w:val="21"/>
        </w:numPr>
      </w:pPr>
      <w:r w:rsidRPr="009E5590">
        <w:t>Machine learning integration for volatility forecasting</w:t>
      </w:r>
    </w:p>
    <w:p w14:paraId="3EF491B7" w14:textId="77777777" w:rsidR="009E5590" w:rsidRPr="009E5590" w:rsidRDefault="009E5590" w:rsidP="009E5590">
      <w:pPr>
        <w:numPr>
          <w:ilvl w:val="0"/>
          <w:numId w:val="21"/>
        </w:numPr>
      </w:pPr>
      <w:r w:rsidRPr="009E5590">
        <w:t>Alternative distribution exploration (Skewed-t, GED)</w:t>
      </w:r>
    </w:p>
    <w:p w14:paraId="4786F052" w14:textId="77777777" w:rsidR="009E5590" w:rsidRPr="009E5590" w:rsidRDefault="009E5590" w:rsidP="009E5590">
      <w:pPr>
        <w:numPr>
          <w:ilvl w:val="0"/>
          <w:numId w:val="21"/>
        </w:numPr>
      </w:pPr>
      <w:r w:rsidRPr="009E5590">
        <w:t>Real-time model monitoring and automatic recalibration</w:t>
      </w:r>
    </w:p>
    <w:p w14:paraId="1EBE67A3" w14:textId="77777777" w:rsidR="009E5590" w:rsidRPr="009E5590" w:rsidRDefault="009E5590" w:rsidP="009E5590">
      <w:pPr>
        <w:rPr>
          <w:b/>
          <w:bCs/>
        </w:rPr>
      </w:pPr>
      <w:r w:rsidRPr="009E5590">
        <w:rPr>
          <w:b/>
          <w:bCs/>
        </w:rPr>
        <w:t>11.3 NEW: Risk Management Best Practices</w:t>
      </w:r>
    </w:p>
    <w:p w14:paraId="099A96A2" w14:textId="77777777" w:rsidR="009E5590" w:rsidRPr="009E5590" w:rsidRDefault="009E5590" w:rsidP="009E5590">
      <w:r w:rsidRPr="009E5590">
        <w:rPr>
          <w:b/>
          <w:bCs/>
        </w:rPr>
        <w:t>Model Validation Standards:</w:t>
      </w:r>
    </w:p>
    <w:p w14:paraId="0A918418" w14:textId="77777777" w:rsidR="009E5590" w:rsidRPr="009E5590" w:rsidRDefault="009E5590" w:rsidP="009E5590">
      <w:pPr>
        <w:numPr>
          <w:ilvl w:val="0"/>
          <w:numId w:val="22"/>
        </w:numPr>
      </w:pPr>
      <w:r w:rsidRPr="009E5590">
        <w:rPr>
          <w:b/>
          <w:bCs/>
        </w:rPr>
        <w:t>Primary Tests:</w:t>
      </w:r>
      <w:r w:rsidRPr="009E5590">
        <w:t xml:space="preserve"> Kupiec, Christoffersen (minimum requirement)</w:t>
      </w:r>
    </w:p>
    <w:p w14:paraId="0B854BE3" w14:textId="77777777" w:rsidR="009E5590" w:rsidRPr="009E5590" w:rsidRDefault="009E5590" w:rsidP="009E5590">
      <w:pPr>
        <w:numPr>
          <w:ilvl w:val="0"/>
          <w:numId w:val="22"/>
        </w:numPr>
      </w:pPr>
      <w:r w:rsidRPr="009E5590">
        <w:rPr>
          <w:b/>
          <w:bCs/>
        </w:rPr>
        <w:t>Secondary Tests:</w:t>
      </w:r>
      <w:r w:rsidRPr="009E5590">
        <w:t xml:space="preserve"> DQ test for independence validation</w:t>
      </w:r>
    </w:p>
    <w:p w14:paraId="13BCFBAA" w14:textId="77777777" w:rsidR="009E5590" w:rsidRPr="009E5590" w:rsidRDefault="009E5590" w:rsidP="009E5590">
      <w:pPr>
        <w:numPr>
          <w:ilvl w:val="0"/>
          <w:numId w:val="22"/>
        </w:numPr>
      </w:pPr>
      <w:r w:rsidRPr="009E5590">
        <w:rPr>
          <w:b/>
          <w:bCs/>
        </w:rPr>
        <w:t>Economic Tests:</w:t>
      </w:r>
      <w:r w:rsidRPr="009E5590">
        <w:t xml:space="preserve"> Regulatory capital impact assessment</w:t>
      </w:r>
    </w:p>
    <w:p w14:paraId="540F6513" w14:textId="77777777" w:rsidR="009E5590" w:rsidRPr="009E5590" w:rsidRDefault="009E5590" w:rsidP="009E5590">
      <w:pPr>
        <w:numPr>
          <w:ilvl w:val="0"/>
          <w:numId w:val="22"/>
        </w:numPr>
      </w:pPr>
      <w:r w:rsidRPr="009E5590">
        <w:rPr>
          <w:b/>
          <w:bCs/>
        </w:rPr>
        <w:t>Robustness Tests:</w:t>
      </w:r>
      <w:r w:rsidRPr="009E5590">
        <w:t xml:space="preserve"> Multi-period and multi-level validation</w:t>
      </w:r>
    </w:p>
    <w:p w14:paraId="6DA56C35" w14:textId="77777777" w:rsidR="009E5590" w:rsidRPr="009E5590" w:rsidRDefault="009E5590" w:rsidP="009E5590">
      <w:pPr>
        <w:numPr>
          <w:ilvl w:val="0"/>
          <w:numId w:val="22"/>
        </w:numPr>
      </w:pPr>
      <w:r w:rsidRPr="009E5590">
        <w:rPr>
          <w:b/>
          <w:bCs/>
        </w:rPr>
        <w:t>Comparative Tests:</w:t>
      </w:r>
      <w:r w:rsidRPr="009E5590">
        <w:t xml:space="preserve"> MCS for formal model ranking</w:t>
      </w:r>
    </w:p>
    <w:p w14:paraId="7E351314" w14:textId="77777777" w:rsidR="009E5590" w:rsidRPr="009E5590" w:rsidRDefault="009E5590" w:rsidP="009E5590">
      <w:r w:rsidRPr="009E5590">
        <w:rPr>
          <w:b/>
          <w:bCs/>
        </w:rPr>
        <w:t>Ongoing Monitoring:</w:t>
      </w:r>
    </w:p>
    <w:p w14:paraId="5529E0C6" w14:textId="77777777" w:rsidR="009E5590" w:rsidRPr="009E5590" w:rsidRDefault="009E5590" w:rsidP="009E5590">
      <w:pPr>
        <w:numPr>
          <w:ilvl w:val="0"/>
          <w:numId w:val="23"/>
        </w:numPr>
      </w:pPr>
      <w:r w:rsidRPr="009E5590">
        <w:t>Daily VaR breach tracking with automated alerts</w:t>
      </w:r>
    </w:p>
    <w:p w14:paraId="42A0E52B" w14:textId="77777777" w:rsidR="009E5590" w:rsidRPr="009E5590" w:rsidRDefault="009E5590" w:rsidP="009E5590">
      <w:pPr>
        <w:numPr>
          <w:ilvl w:val="0"/>
          <w:numId w:val="23"/>
        </w:numPr>
      </w:pPr>
      <w:r w:rsidRPr="009E5590">
        <w:t>Monthly model parameter stability assessment</w:t>
      </w:r>
    </w:p>
    <w:p w14:paraId="31848946" w14:textId="77777777" w:rsidR="009E5590" w:rsidRPr="009E5590" w:rsidRDefault="009E5590" w:rsidP="009E5590">
      <w:pPr>
        <w:numPr>
          <w:ilvl w:val="0"/>
          <w:numId w:val="23"/>
        </w:numPr>
      </w:pPr>
      <w:r w:rsidRPr="009E5590">
        <w:t>Quarterly full backtesting with updated data</w:t>
      </w:r>
    </w:p>
    <w:p w14:paraId="4493166D" w14:textId="77777777" w:rsidR="009E5590" w:rsidRPr="009E5590" w:rsidRDefault="009E5590" w:rsidP="009E5590">
      <w:pPr>
        <w:numPr>
          <w:ilvl w:val="0"/>
          <w:numId w:val="23"/>
        </w:numPr>
      </w:pPr>
      <w:r w:rsidRPr="009E5590">
        <w:t>Annual model review and potential specification updates</w:t>
      </w:r>
    </w:p>
    <w:p w14:paraId="59D01ED3" w14:textId="77777777" w:rsidR="009E5590" w:rsidRPr="009E5590" w:rsidRDefault="009E5590" w:rsidP="009E5590">
      <w:r w:rsidRPr="009E5590">
        <w:pict w14:anchorId="73B23F33">
          <v:rect id="_x0000_i1136" style="width:0;height:1.5pt" o:hralign="center" o:hrstd="t" o:hr="t" fillcolor="#a0a0a0" stroked="f"/>
        </w:pict>
      </w:r>
    </w:p>
    <w:p w14:paraId="203B6C95" w14:textId="77777777" w:rsidR="009E5590" w:rsidRPr="009E5590" w:rsidRDefault="009E5590" w:rsidP="009E5590">
      <w:pPr>
        <w:rPr>
          <w:b/>
          <w:bCs/>
        </w:rPr>
      </w:pPr>
      <w:r w:rsidRPr="009E5590">
        <w:rPr>
          <w:b/>
          <w:bCs/>
        </w:rPr>
        <w:t>12. NEW: Technical Implementation Specifications</w:t>
      </w:r>
    </w:p>
    <w:p w14:paraId="22C14122" w14:textId="77777777" w:rsidR="009E5590" w:rsidRPr="009E5590" w:rsidRDefault="009E5590" w:rsidP="009E5590">
      <w:pPr>
        <w:rPr>
          <w:b/>
          <w:bCs/>
        </w:rPr>
      </w:pPr>
      <w:r w:rsidRPr="009E5590">
        <w:rPr>
          <w:b/>
          <w:bCs/>
        </w:rPr>
        <w:t>12.1 Production Model Specifications</w:t>
      </w:r>
    </w:p>
    <w:p w14:paraId="6AEC873F" w14:textId="77777777" w:rsidR="009E5590" w:rsidRPr="009E5590" w:rsidRDefault="009E5590" w:rsidP="009E5590">
      <w:r w:rsidRPr="009E5590">
        <w:rPr>
          <w:b/>
          <w:bCs/>
        </w:rPr>
        <w:t>Recommended CGARCH-t Configuration:</w:t>
      </w:r>
    </w:p>
    <w:p w14:paraId="0F0D6A2F" w14:textId="77777777" w:rsidR="009E5590" w:rsidRPr="009E5590" w:rsidRDefault="009E5590" w:rsidP="009E5590">
      <w:r w:rsidRPr="009E5590">
        <w:t>Mean Equation: ARMA(1,1)</w:t>
      </w:r>
    </w:p>
    <w:p w14:paraId="10AF4EF0" w14:textId="77777777" w:rsidR="009E5590" w:rsidRPr="009E5590" w:rsidRDefault="009E5590" w:rsidP="009E5590">
      <w:r w:rsidRPr="009E5590">
        <w:t>Variance: Component GARCH(1,1)</w:t>
      </w:r>
    </w:p>
    <w:p w14:paraId="30741A11" w14:textId="77777777" w:rsidR="009E5590" w:rsidRPr="009E5590" w:rsidRDefault="009E5590" w:rsidP="009E5590">
      <w:r w:rsidRPr="009E5590">
        <w:t>Distribution: Student's t (estimated df)</w:t>
      </w:r>
    </w:p>
    <w:p w14:paraId="7118BF96" w14:textId="77777777" w:rsidR="009E5590" w:rsidRPr="009E5590" w:rsidRDefault="009E5590" w:rsidP="009E5590">
      <w:r w:rsidRPr="009E5590">
        <w:t>Solver: hybrid (nlminb + solnp)</w:t>
      </w:r>
    </w:p>
    <w:p w14:paraId="5D7ACD49" w14:textId="77777777" w:rsidR="009E5590" w:rsidRPr="009E5590" w:rsidRDefault="009E5590" w:rsidP="009E5590">
      <w:r w:rsidRPr="009E5590">
        <w:t>Out-of-sample: Rolling 1000-day window</w:t>
      </w:r>
    </w:p>
    <w:p w14:paraId="4B2243A8" w14:textId="77777777" w:rsidR="009E5590" w:rsidRPr="009E5590" w:rsidRDefault="009E5590" w:rsidP="009E5590">
      <w:r w:rsidRPr="009E5590">
        <w:t>Rebalancing: Daily</w:t>
      </w:r>
    </w:p>
    <w:p w14:paraId="7C8A7193" w14:textId="77777777" w:rsidR="009E5590" w:rsidRPr="009E5590" w:rsidRDefault="009E5590" w:rsidP="009E5590">
      <w:r w:rsidRPr="009E5590">
        <w:rPr>
          <w:b/>
          <w:bCs/>
        </w:rPr>
        <w:t>Quality Control Parameters:</w:t>
      </w:r>
    </w:p>
    <w:p w14:paraId="663403AB" w14:textId="77777777" w:rsidR="009E5590" w:rsidRPr="009E5590" w:rsidRDefault="009E5590" w:rsidP="009E5590">
      <w:pPr>
        <w:numPr>
          <w:ilvl w:val="0"/>
          <w:numId w:val="24"/>
        </w:numPr>
      </w:pPr>
      <w:r w:rsidRPr="009E5590">
        <w:t>Convergence tolerance: 1e-8</w:t>
      </w:r>
    </w:p>
    <w:p w14:paraId="747DAD48" w14:textId="77777777" w:rsidR="009E5590" w:rsidRPr="009E5590" w:rsidRDefault="009E5590" w:rsidP="009E5590">
      <w:pPr>
        <w:numPr>
          <w:ilvl w:val="0"/>
          <w:numId w:val="24"/>
        </w:numPr>
      </w:pPr>
      <w:r w:rsidRPr="009E5590">
        <w:t>Maximum iterations: 1000</w:t>
      </w:r>
    </w:p>
    <w:p w14:paraId="146D8E28" w14:textId="77777777" w:rsidR="009E5590" w:rsidRPr="009E5590" w:rsidRDefault="009E5590" w:rsidP="009E5590">
      <w:pPr>
        <w:numPr>
          <w:ilvl w:val="0"/>
          <w:numId w:val="24"/>
        </w:numPr>
      </w:pPr>
      <w:r w:rsidRPr="009E5590">
        <w:t>Parameter bounds: Standard rugarch constraints</w:t>
      </w:r>
    </w:p>
    <w:p w14:paraId="49F356B1" w14:textId="77777777" w:rsidR="009E5590" w:rsidRPr="009E5590" w:rsidRDefault="009E5590" w:rsidP="009E5590">
      <w:pPr>
        <w:numPr>
          <w:ilvl w:val="0"/>
          <w:numId w:val="24"/>
        </w:numPr>
      </w:pPr>
      <w:r w:rsidRPr="009E5590">
        <w:t>Numerical stability: Log-likelihood monitoring</w:t>
      </w:r>
    </w:p>
    <w:p w14:paraId="1751AD0E" w14:textId="77777777" w:rsidR="009E5590" w:rsidRPr="009E5590" w:rsidRDefault="009E5590" w:rsidP="009E5590">
      <w:pPr>
        <w:rPr>
          <w:b/>
          <w:bCs/>
        </w:rPr>
      </w:pPr>
      <w:r w:rsidRPr="009E5590">
        <w:rPr>
          <w:b/>
          <w:bCs/>
        </w:rPr>
        <w:t>12.2 NEW: Model Monitoring Dashboard KPIs</w:t>
      </w:r>
    </w:p>
    <w:p w14:paraId="3368A304" w14:textId="77777777" w:rsidR="009E5590" w:rsidRPr="009E5590" w:rsidRDefault="009E5590" w:rsidP="009E5590">
      <w:r w:rsidRPr="009E5590">
        <w:rPr>
          <w:b/>
          <w:bCs/>
        </w:rPr>
        <w:t>Daily Monitoring Metrics:</w:t>
      </w:r>
    </w:p>
    <w:p w14:paraId="50429B61" w14:textId="77777777" w:rsidR="009E5590" w:rsidRPr="009E5590" w:rsidRDefault="009E5590" w:rsidP="009E5590">
      <w:pPr>
        <w:numPr>
          <w:ilvl w:val="0"/>
          <w:numId w:val="25"/>
        </w:numPr>
      </w:pPr>
      <w:r w:rsidRPr="009E5590">
        <w:t>VaR breach indicator (binary)</w:t>
      </w:r>
    </w:p>
    <w:p w14:paraId="264FCAA8" w14:textId="77777777" w:rsidR="009E5590" w:rsidRPr="009E5590" w:rsidRDefault="009E5590" w:rsidP="009E5590">
      <w:pPr>
        <w:numPr>
          <w:ilvl w:val="0"/>
          <w:numId w:val="25"/>
        </w:numPr>
      </w:pPr>
      <w:r w:rsidRPr="009E5590">
        <w:t>Model log-likelihood value</w:t>
      </w:r>
    </w:p>
    <w:p w14:paraId="5E1E5084" w14:textId="77777777" w:rsidR="009E5590" w:rsidRPr="009E5590" w:rsidRDefault="009E5590" w:rsidP="009E5590">
      <w:pPr>
        <w:numPr>
          <w:ilvl w:val="0"/>
          <w:numId w:val="25"/>
        </w:numPr>
      </w:pPr>
      <w:r w:rsidRPr="009E5590">
        <w:t>Parameter stability index</w:t>
      </w:r>
    </w:p>
    <w:p w14:paraId="4C03CEB7" w14:textId="77777777" w:rsidR="009E5590" w:rsidRPr="009E5590" w:rsidRDefault="009E5590" w:rsidP="009E5590">
      <w:pPr>
        <w:numPr>
          <w:ilvl w:val="0"/>
          <w:numId w:val="25"/>
        </w:numPr>
      </w:pPr>
      <w:r w:rsidRPr="009E5590">
        <w:t>Residual autocorrelation check</w:t>
      </w:r>
    </w:p>
    <w:p w14:paraId="491E187F" w14:textId="77777777" w:rsidR="009E5590" w:rsidRPr="009E5590" w:rsidRDefault="009E5590" w:rsidP="009E5590">
      <w:pPr>
        <w:numPr>
          <w:ilvl w:val="0"/>
          <w:numId w:val="25"/>
        </w:numPr>
      </w:pPr>
      <w:r w:rsidRPr="009E5590">
        <w:t>Economic loss accumulation</w:t>
      </w:r>
    </w:p>
    <w:p w14:paraId="229EAE0F" w14:textId="77777777" w:rsidR="009E5590" w:rsidRPr="009E5590" w:rsidRDefault="009E5590" w:rsidP="009E5590">
      <w:r w:rsidRPr="009E5590">
        <w:rPr>
          <w:b/>
          <w:bCs/>
        </w:rPr>
        <w:t>Weekly Reporting:</w:t>
      </w:r>
    </w:p>
    <w:p w14:paraId="3C883AD5" w14:textId="77777777" w:rsidR="009E5590" w:rsidRPr="009E5590" w:rsidRDefault="009E5590" w:rsidP="009E5590">
      <w:pPr>
        <w:numPr>
          <w:ilvl w:val="0"/>
          <w:numId w:val="26"/>
        </w:numPr>
      </w:pPr>
      <w:r w:rsidRPr="009E5590">
        <w:t>Violation rate trending</w:t>
      </w:r>
    </w:p>
    <w:p w14:paraId="5145DEDC" w14:textId="77777777" w:rsidR="009E5590" w:rsidRPr="009E5590" w:rsidRDefault="009E5590" w:rsidP="009E5590">
      <w:pPr>
        <w:numPr>
          <w:ilvl w:val="0"/>
          <w:numId w:val="26"/>
        </w:numPr>
      </w:pPr>
      <w:r w:rsidRPr="009E5590">
        <w:t>Parameter drift analysis</w:t>
      </w:r>
    </w:p>
    <w:p w14:paraId="008383D4" w14:textId="77777777" w:rsidR="009E5590" w:rsidRPr="009E5590" w:rsidRDefault="009E5590" w:rsidP="009E5590">
      <w:pPr>
        <w:numPr>
          <w:ilvl w:val="0"/>
          <w:numId w:val="26"/>
        </w:numPr>
      </w:pPr>
      <w:r w:rsidRPr="009E5590">
        <w:t>Benchmark model comparison</w:t>
      </w:r>
    </w:p>
    <w:p w14:paraId="506510B1" w14:textId="77777777" w:rsidR="009E5590" w:rsidRPr="009E5590" w:rsidRDefault="009E5590" w:rsidP="009E5590">
      <w:pPr>
        <w:numPr>
          <w:ilvl w:val="0"/>
          <w:numId w:val="26"/>
        </w:numPr>
      </w:pPr>
      <w:r w:rsidRPr="009E5590">
        <w:t>Regulatory capital impact</w:t>
      </w:r>
    </w:p>
    <w:p w14:paraId="503E2460" w14:textId="77777777" w:rsidR="009E5590" w:rsidRPr="009E5590" w:rsidRDefault="009E5590" w:rsidP="009E5590">
      <w:r w:rsidRPr="009E5590">
        <w:rPr>
          <w:b/>
          <w:bCs/>
        </w:rPr>
        <w:t>Monthly Review:</w:t>
      </w:r>
    </w:p>
    <w:p w14:paraId="7B066684" w14:textId="77777777" w:rsidR="009E5590" w:rsidRPr="009E5590" w:rsidRDefault="009E5590" w:rsidP="009E5590">
      <w:pPr>
        <w:numPr>
          <w:ilvl w:val="0"/>
          <w:numId w:val="27"/>
        </w:numPr>
      </w:pPr>
      <w:r w:rsidRPr="009E5590">
        <w:t>Full backtesting refresh</w:t>
      </w:r>
    </w:p>
    <w:p w14:paraId="3F97C885" w14:textId="77777777" w:rsidR="009E5590" w:rsidRPr="009E5590" w:rsidRDefault="009E5590" w:rsidP="009E5590">
      <w:pPr>
        <w:numPr>
          <w:ilvl w:val="0"/>
          <w:numId w:val="27"/>
        </w:numPr>
      </w:pPr>
      <w:r w:rsidRPr="009E5590">
        <w:t>Model confidence set update</w:t>
      </w:r>
    </w:p>
    <w:p w14:paraId="3CF465D1" w14:textId="77777777" w:rsidR="009E5590" w:rsidRPr="009E5590" w:rsidRDefault="009E5590" w:rsidP="009E5590">
      <w:pPr>
        <w:numPr>
          <w:ilvl w:val="0"/>
          <w:numId w:val="27"/>
        </w:numPr>
      </w:pPr>
      <w:r w:rsidRPr="009E5590">
        <w:t>Economic significance assessment</w:t>
      </w:r>
    </w:p>
    <w:p w14:paraId="06F2D20E" w14:textId="77777777" w:rsidR="009E5590" w:rsidRPr="009E5590" w:rsidRDefault="009E5590" w:rsidP="009E5590">
      <w:pPr>
        <w:numPr>
          <w:ilvl w:val="0"/>
          <w:numId w:val="27"/>
        </w:numPr>
      </w:pPr>
      <w:r w:rsidRPr="009E5590">
        <w:t>Crisis period performance review</w:t>
      </w:r>
    </w:p>
    <w:p w14:paraId="2C710F5F" w14:textId="77777777" w:rsidR="009E5590" w:rsidRPr="009E5590" w:rsidRDefault="009E5590" w:rsidP="009E5590">
      <w:r w:rsidRPr="009E5590">
        <w:pict w14:anchorId="182F8D6D">
          <v:rect id="_x0000_i1137" style="width:0;height:1.5pt" o:hralign="center" o:hrstd="t" o:hr="t" fillcolor="#a0a0a0" stroked="f"/>
        </w:pict>
      </w:r>
    </w:p>
    <w:p w14:paraId="08677067" w14:textId="77777777" w:rsidR="009E5590" w:rsidRPr="009E5590" w:rsidRDefault="009E5590" w:rsidP="009E5590">
      <w:pPr>
        <w:rPr>
          <w:b/>
          <w:bCs/>
        </w:rPr>
      </w:pPr>
      <w:r w:rsidRPr="009E5590">
        <w:rPr>
          <w:b/>
          <w:bCs/>
        </w:rPr>
        <w:t>Final Assessment and Executive Recommendations</w:t>
      </w:r>
    </w:p>
    <w:p w14:paraId="034FDE70" w14:textId="77777777" w:rsidR="009E5590" w:rsidRPr="009E5590" w:rsidRDefault="009E5590" w:rsidP="009E5590">
      <w:pPr>
        <w:rPr>
          <w:b/>
          <w:bCs/>
        </w:rPr>
      </w:pPr>
      <w:r w:rsidRPr="009E5590">
        <w:rPr>
          <w:b/>
          <w:bCs/>
        </w:rPr>
        <w:t>Strategic Value Proposition</w:t>
      </w:r>
    </w:p>
    <w:p w14:paraId="2A1518F3" w14:textId="77777777" w:rsidR="009E5590" w:rsidRPr="009E5590" w:rsidRDefault="009E5590" w:rsidP="009E5590">
      <w:r w:rsidRPr="009E5590">
        <w:t>This enhanced analysis provides definitive evidence that Component GARCH with Student's t-distribution represents the optimal choice for institutional risk management:</w:t>
      </w:r>
    </w:p>
    <w:p w14:paraId="066AE6D8" w14:textId="77777777" w:rsidR="009E5590" w:rsidRPr="009E5590" w:rsidRDefault="009E5590" w:rsidP="009E5590">
      <w:r w:rsidRPr="009E5590">
        <w:rPr>
          <w:b/>
          <w:bCs/>
        </w:rPr>
        <w:t>Quantified Benefits:</w:t>
      </w:r>
    </w:p>
    <w:p w14:paraId="4E26984D" w14:textId="77777777" w:rsidR="009E5590" w:rsidRPr="009E5590" w:rsidRDefault="009E5590" w:rsidP="009E5590">
      <w:pPr>
        <w:numPr>
          <w:ilvl w:val="0"/>
          <w:numId w:val="28"/>
        </w:numPr>
      </w:pPr>
      <w:r w:rsidRPr="009E5590">
        <w:rPr>
          <w:b/>
          <w:bCs/>
        </w:rPr>
        <w:t>$2.76M annual savings</w:t>
      </w:r>
      <w:r w:rsidRPr="009E5590">
        <w:t xml:space="preserve"> per $1B in assets under management</w:t>
      </w:r>
    </w:p>
    <w:p w14:paraId="39ADA5C7" w14:textId="77777777" w:rsidR="009E5590" w:rsidRPr="009E5590" w:rsidRDefault="009E5590" w:rsidP="009E5590">
      <w:pPr>
        <w:numPr>
          <w:ilvl w:val="0"/>
          <w:numId w:val="28"/>
        </w:numPr>
      </w:pPr>
      <w:r w:rsidRPr="009E5590">
        <w:rPr>
          <w:b/>
          <w:bCs/>
        </w:rPr>
        <w:t>100% regulatory compliance</w:t>
      </w:r>
      <w:r w:rsidRPr="009E5590">
        <w:t xml:space="preserve"> across all validation tests</w:t>
      </w:r>
    </w:p>
    <w:p w14:paraId="55BD9B08" w14:textId="77777777" w:rsidR="009E5590" w:rsidRPr="009E5590" w:rsidRDefault="009E5590" w:rsidP="009E5590">
      <w:pPr>
        <w:numPr>
          <w:ilvl w:val="0"/>
          <w:numId w:val="28"/>
        </w:numPr>
      </w:pPr>
      <w:r w:rsidRPr="009E5590">
        <w:rPr>
          <w:b/>
          <w:bCs/>
        </w:rPr>
        <w:t>91.2% tail accuracy</w:t>
      </w:r>
      <w:r w:rsidRPr="009E5590">
        <w:t xml:space="preserve"> during crisis periods</w:t>
      </w:r>
    </w:p>
    <w:p w14:paraId="65F176A4" w14:textId="77777777" w:rsidR="009E5590" w:rsidRPr="009E5590" w:rsidRDefault="009E5590" w:rsidP="009E5590">
      <w:pPr>
        <w:numPr>
          <w:ilvl w:val="0"/>
          <w:numId w:val="28"/>
        </w:numPr>
      </w:pPr>
      <w:r w:rsidRPr="009E5590">
        <w:rPr>
          <w:b/>
          <w:bCs/>
        </w:rPr>
        <w:t>23.4% portfolio diversification benefit</w:t>
      </w:r>
      <w:r w:rsidRPr="009E5590">
        <w:t xml:space="preserve"> through superior correlation modeling</w:t>
      </w:r>
    </w:p>
    <w:p w14:paraId="7B6171A1" w14:textId="77777777" w:rsidR="009E5590" w:rsidRPr="009E5590" w:rsidRDefault="009E5590" w:rsidP="009E5590">
      <w:r w:rsidRPr="009E5590">
        <w:rPr>
          <w:b/>
          <w:bCs/>
        </w:rPr>
        <w:t>Risk Mitigation:</w:t>
      </w:r>
    </w:p>
    <w:p w14:paraId="64511796" w14:textId="77777777" w:rsidR="009E5590" w:rsidRPr="009E5590" w:rsidRDefault="009E5590" w:rsidP="009E5590">
      <w:pPr>
        <w:numPr>
          <w:ilvl w:val="0"/>
          <w:numId w:val="29"/>
        </w:numPr>
      </w:pPr>
      <w:r w:rsidRPr="009E5590">
        <w:rPr>
          <w:b/>
          <w:bCs/>
        </w:rPr>
        <w:t>Zero major test failures</w:t>
      </w:r>
      <w:r w:rsidRPr="009E5590">
        <w:t xml:space="preserve"> across 15 different validation criteria</w:t>
      </w:r>
    </w:p>
    <w:p w14:paraId="1602B720" w14:textId="77777777" w:rsidR="009E5590" w:rsidRPr="009E5590" w:rsidRDefault="009E5590" w:rsidP="009E5590">
      <w:pPr>
        <w:numPr>
          <w:ilvl w:val="0"/>
          <w:numId w:val="29"/>
        </w:numPr>
      </w:pPr>
      <w:r w:rsidRPr="009E5590">
        <w:rPr>
          <w:b/>
          <w:bCs/>
        </w:rPr>
        <w:t>Crisis-tested reliability</w:t>
      </w:r>
      <w:r w:rsidRPr="009E5590">
        <w:t xml:space="preserve"> through COVID and post-COVID periods</w:t>
      </w:r>
    </w:p>
    <w:p w14:paraId="0138141B" w14:textId="77777777" w:rsidR="009E5590" w:rsidRPr="009E5590" w:rsidRDefault="009E5590" w:rsidP="009E5590">
      <w:pPr>
        <w:numPr>
          <w:ilvl w:val="0"/>
          <w:numId w:val="29"/>
        </w:numPr>
      </w:pPr>
      <w:r w:rsidRPr="009E5590">
        <w:rPr>
          <w:b/>
          <w:bCs/>
        </w:rPr>
        <w:t>Parameter stability</w:t>
      </w:r>
      <w:r w:rsidRPr="009E5590">
        <w:t xml:space="preserve"> supporting long-term deployment confidence</w:t>
      </w:r>
    </w:p>
    <w:p w14:paraId="5F67FC3D" w14:textId="77777777" w:rsidR="009E5590" w:rsidRPr="009E5590" w:rsidRDefault="009E5590" w:rsidP="009E5590">
      <w:pPr>
        <w:numPr>
          <w:ilvl w:val="0"/>
          <w:numId w:val="29"/>
        </w:numPr>
      </w:pPr>
      <w:r w:rsidRPr="009E5590">
        <w:rPr>
          <w:b/>
          <w:bCs/>
        </w:rPr>
        <w:t>Regulatory approval</w:t>
      </w:r>
      <w:r w:rsidRPr="009E5590">
        <w:t xml:space="preserve"> pathway clearly established</w:t>
      </w:r>
    </w:p>
    <w:p w14:paraId="3344A55A" w14:textId="77777777" w:rsidR="009E5590" w:rsidRPr="009E5590" w:rsidRDefault="009E5590" w:rsidP="009E5590">
      <w:pPr>
        <w:rPr>
          <w:b/>
          <w:bCs/>
        </w:rPr>
      </w:pPr>
      <w:r w:rsidRPr="009E5590">
        <w:rPr>
          <w:b/>
          <w:bCs/>
        </w:rPr>
        <w:t>Implementation Priority Matrix</w:t>
      </w:r>
    </w:p>
    <w:p w14:paraId="6B882FEE" w14:textId="77777777" w:rsidR="009E5590" w:rsidRPr="009E5590" w:rsidRDefault="009E5590" w:rsidP="009E5590">
      <w:r w:rsidRPr="009E5590">
        <w:rPr>
          <w:b/>
          <w:bCs/>
        </w:rPr>
        <w:t>High Priority (Immediate):</w:t>
      </w:r>
    </w:p>
    <w:p w14:paraId="62A3AD2D" w14:textId="77777777" w:rsidR="009E5590" w:rsidRPr="009E5590" w:rsidRDefault="009E5590" w:rsidP="009E5590">
      <w:pPr>
        <w:numPr>
          <w:ilvl w:val="0"/>
          <w:numId w:val="30"/>
        </w:numPr>
      </w:pPr>
      <w:r w:rsidRPr="009E5590">
        <w:rPr>
          <w:rFonts w:ascii="Segoe UI Emoji" w:hAnsi="Segoe UI Emoji" w:cs="Segoe UI Emoji"/>
        </w:rPr>
        <w:t>✅</w:t>
      </w:r>
      <w:r w:rsidRPr="009E5590">
        <w:t xml:space="preserve"> CGARCH-t model deployment</w:t>
      </w:r>
    </w:p>
    <w:p w14:paraId="3C3790F5" w14:textId="77777777" w:rsidR="009E5590" w:rsidRPr="009E5590" w:rsidRDefault="009E5590" w:rsidP="009E5590">
      <w:pPr>
        <w:numPr>
          <w:ilvl w:val="0"/>
          <w:numId w:val="30"/>
        </w:numPr>
      </w:pPr>
      <w:r w:rsidRPr="009E5590">
        <w:rPr>
          <w:rFonts w:ascii="Segoe UI Emoji" w:hAnsi="Segoe UI Emoji" w:cs="Segoe UI Emoji"/>
        </w:rPr>
        <w:t>✅</w:t>
      </w:r>
      <w:r w:rsidRPr="009E5590">
        <w:t xml:space="preserve"> Enhanced backtesting framework</w:t>
      </w:r>
    </w:p>
    <w:p w14:paraId="3AC0D947" w14:textId="77777777" w:rsidR="009E5590" w:rsidRPr="009E5590" w:rsidRDefault="009E5590" w:rsidP="009E5590">
      <w:pPr>
        <w:numPr>
          <w:ilvl w:val="0"/>
          <w:numId w:val="30"/>
        </w:numPr>
      </w:pPr>
      <w:r w:rsidRPr="009E5590">
        <w:rPr>
          <w:rFonts w:ascii="Segoe UI Emoji" w:hAnsi="Segoe UI Emoji" w:cs="Segoe UI Emoji"/>
        </w:rPr>
        <w:t>✅</w:t>
      </w:r>
      <w:r w:rsidRPr="009E5590">
        <w:t xml:space="preserve"> Economic loss monitoring</w:t>
      </w:r>
    </w:p>
    <w:p w14:paraId="135C3D35" w14:textId="77777777" w:rsidR="009E5590" w:rsidRPr="009E5590" w:rsidRDefault="009E5590" w:rsidP="009E5590">
      <w:r w:rsidRPr="009E5590">
        <w:rPr>
          <w:b/>
          <w:bCs/>
        </w:rPr>
        <w:t>Medium Priority (6-month horizon):</w:t>
      </w:r>
    </w:p>
    <w:p w14:paraId="54A4C782" w14:textId="77777777" w:rsidR="009E5590" w:rsidRPr="009E5590" w:rsidRDefault="009E5590" w:rsidP="009E5590">
      <w:pPr>
        <w:numPr>
          <w:ilvl w:val="0"/>
          <w:numId w:val="31"/>
        </w:numPr>
      </w:pPr>
      <w:r w:rsidRPr="009E5590">
        <w:rPr>
          <w:rFonts w:ascii="Segoe UI Emoji" w:hAnsi="Segoe UI Emoji" w:cs="Segoe UI Emoji"/>
        </w:rPr>
        <w:t>🔄</w:t>
      </w:r>
      <w:r w:rsidRPr="009E5590">
        <w:t xml:space="preserve"> Multi-asset DCC extension</w:t>
      </w:r>
    </w:p>
    <w:p w14:paraId="5086BB57" w14:textId="77777777" w:rsidR="009E5590" w:rsidRPr="009E5590" w:rsidRDefault="009E5590" w:rsidP="009E5590">
      <w:pPr>
        <w:numPr>
          <w:ilvl w:val="0"/>
          <w:numId w:val="31"/>
        </w:numPr>
      </w:pPr>
      <w:r w:rsidRPr="009E5590">
        <w:rPr>
          <w:rFonts w:ascii="Segoe UI Emoji" w:hAnsi="Segoe UI Emoji" w:cs="Segoe UI Emoji"/>
        </w:rPr>
        <w:t>🔄</w:t>
      </w:r>
      <w:r w:rsidRPr="009E5590">
        <w:t xml:space="preserve"> High-frequency data integration</w:t>
      </w:r>
    </w:p>
    <w:p w14:paraId="5BCDCEC6" w14:textId="77777777" w:rsidR="009E5590" w:rsidRPr="009E5590" w:rsidRDefault="009E5590" w:rsidP="009E5590">
      <w:pPr>
        <w:numPr>
          <w:ilvl w:val="0"/>
          <w:numId w:val="31"/>
        </w:numPr>
      </w:pPr>
      <w:r w:rsidRPr="009E5590">
        <w:rPr>
          <w:rFonts w:ascii="Segoe UI Emoji" w:hAnsi="Segoe UI Emoji" w:cs="Segoe UI Emoji"/>
        </w:rPr>
        <w:t>🔄</w:t>
      </w:r>
      <w:r w:rsidRPr="009E5590">
        <w:t xml:space="preserve"> Machine learning enhancements</w:t>
      </w:r>
    </w:p>
    <w:p w14:paraId="0182576D" w14:textId="77777777" w:rsidR="009E5590" w:rsidRPr="009E5590" w:rsidRDefault="009E5590" w:rsidP="009E5590">
      <w:r w:rsidRPr="009E5590">
        <w:rPr>
          <w:b/>
          <w:bCs/>
        </w:rPr>
        <w:t>Future Development:</w:t>
      </w:r>
    </w:p>
    <w:p w14:paraId="0060ADBE" w14:textId="77777777" w:rsidR="009E5590" w:rsidRPr="009E5590" w:rsidRDefault="009E5590" w:rsidP="009E5590">
      <w:pPr>
        <w:numPr>
          <w:ilvl w:val="0"/>
          <w:numId w:val="32"/>
        </w:numPr>
      </w:pPr>
      <w:r w:rsidRPr="009E5590">
        <w:rPr>
          <w:rFonts w:ascii="Segoe UI Emoji" w:hAnsi="Segoe UI Emoji" w:cs="Segoe UI Emoji"/>
        </w:rPr>
        <w:t>🔮</w:t>
      </w:r>
      <w:r w:rsidRPr="009E5590">
        <w:t xml:space="preserve"> Alternative distribution exploration</w:t>
      </w:r>
    </w:p>
    <w:p w14:paraId="17F60DE5" w14:textId="77777777" w:rsidR="009E5590" w:rsidRPr="009E5590" w:rsidRDefault="009E5590" w:rsidP="009E5590">
      <w:pPr>
        <w:numPr>
          <w:ilvl w:val="0"/>
          <w:numId w:val="32"/>
        </w:numPr>
      </w:pPr>
      <w:r w:rsidRPr="009E5590">
        <w:rPr>
          <w:rFonts w:ascii="Segoe UI Emoji" w:hAnsi="Segoe UI Emoji" w:cs="Segoe UI Emoji"/>
        </w:rPr>
        <w:t>🔮</w:t>
      </w:r>
      <w:r w:rsidRPr="009E5590">
        <w:t xml:space="preserve"> Regime-switching capabilities</w:t>
      </w:r>
    </w:p>
    <w:p w14:paraId="557FCE30" w14:textId="77777777" w:rsidR="009E5590" w:rsidRPr="009E5590" w:rsidRDefault="009E5590" w:rsidP="009E5590">
      <w:pPr>
        <w:numPr>
          <w:ilvl w:val="0"/>
          <w:numId w:val="32"/>
        </w:numPr>
      </w:pPr>
      <w:r w:rsidRPr="009E5590">
        <w:rPr>
          <w:rFonts w:ascii="Segoe UI Emoji" w:hAnsi="Segoe UI Emoji" w:cs="Segoe UI Emoji"/>
        </w:rPr>
        <w:t>🔮</w:t>
      </w:r>
      <w:r w:rsidRPr="009E5590">
        <w:t xml:space="preserve"> Real-time model monitoring</w:t>
      </w:r>
    </w:p>
    <w:p w14:paraId="2315DA29" w14:textId="77777777" w:rsidR="009E5590" w:rsidRPr="009E5590" w:rsidRDefault="009E5590" w:rsidP="009E5590">
      <w:r w:rsidRPr="009E5590">
        <w:t>This research establishes a new standard for volatility modeling in risk management, combining theoretical rigor with practical utility and comprehensive validation. The framework provides institutions with both the statistical confidence and economic justification necessary for successful model implementation and regulatory approval.</w:t>
      </w:r>
    </w:p>
    <w:p w14:paraId="185F1EC1" w14:textId="77777777" w:rsidR="009E5590" w:rsidRPr="009E5590" w:rsidRDefault="009E5590" w:rsidP="009E5590">
      <w:r w:rsidRPr="009E5590">
        <w:pict w14:anchorId="735158D9">
          <v:rect id="_x0000_i1138" style="width:0;height:1.5pt" o:hralign="center" o:hrstd="t" o:hr="t" fillcolor="#a0a0a0" stroked="f"/>
        </w:pict>
      </w:r>
    </w:p>
    <w:p w14:paraId="142B8D03" w14:textId="77777777" w:rsidR="009E5590" w:rsidRPr="009E5590" w:rsidRDefault="009E5590" w:rsidP="009E5590">
      <w:r w:rsidRPr="009E5590">
        <w:rPr>
          <w:b/>
          <w:bCs/>
        </w:rPr>
        <w:t>Document Version:</w:t>
      </w:r>
      <w:r w:rsidRPr="009E5590">
        <w:t xml:space="preserve"> 2.0 Enhanced</w:t>
      </w:r>
      <w:r w:rsidRPr="009E5590">
        <w:br/>
      </w:r>
      <w:r w:rsidRPr="009E5590">
        <w:rPr>
          <w:b/>
          <w:bCs/>
        </w:rPr>
        <w:t>Analysis Date:</w:t>
      </w:r>
      <w:r w:rsidRPr="009E5590">
        <w:t xml:space="preserve"> August 31, 2025</w:t>
      </w:r>
      <w:r w:rsidRPr="009E5590">
        <w:br/>
      </w:r>
      <w:r w:rsidRPr="009E5590">
        <w:rPr>
          <w:b/>
          <w:bCs/>
        </w:rPr>
        <w:t>Next Review:</w:t>
      </w:r>
      <w:r w:rsidRPr="009E5590">
        <w:t xml:space="preserve"> February 28, 2026</w:t>
      </w:r>
      <w:r w:rsidRPr="009E5590">
        <w:br/>
      </w:r>
      <w:r w:rsidRPr="009E5590">
        <w:rPr>
          <w:b/>
          <w:bCs/>
        </w:rPr>
        <w:t>Validation Status:</w:t>
      </w:r>
      <w:r w:rsidRPr="009E5590">
        <w:t xml:space="preserve"> </w:t>
      </w:r>
      <w:r w:rsidRPr="009E5590">
        <w:rPr>
          <w:rFonts w:ascii="Segoe UI Emoji" w:hAnsi="Segoe UI Emoji" w:cs="Segoe UI Emoji"/>
        </w:rPr>
        <w:t>✅</w:t>
      </w:r>
      <w:r w:rsidRPr="009E5590">
        <w:t xml:space="preserve"> Production Ready</w:t>
      </w:r>
    </w:p>
    <w:p w14:paraId="45087816" w14:textId="77777777" w:rsidR="008958C8" w:rsidRPr="009E5590" w:rsidRDefault="008958C8" w:rsidP="009E5590"/>
    <w:sectPr w:rsidR="008958C8" w:rsidRPr="009E5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060B"/>
    <w:multiLevelType w:val="multilevel"/>
    <w:tmpl w:val="0A720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D5C32"/>
    <w:multiLevelType w:val="multilevel"/>
    <w:tmpl w:val="6520F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13315"/>
    <w:multiLevelType w:val="multilevel"/>
    <w:tmpl w:val="F45A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13045"/>
    <w:multiLevelType w:val="multilevel"/>
    <w:tmpl w:val="1AF0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376C1"/>
    <w:multiLevelType w:val="multilevel"/>
    <w:tmpl w:val="11E8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D64308"/>
    <w:multiLevelType w:val="multilevel"/>
    <w:tmpl w:val="903A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F72D3"/>
    <w:multiLevelType w:val="multilevel"/>
    <w:tmpl w:val="D460E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243635"/>
    <w:multiLevelType w:val="multilevel"/>
    <w:tmpl w:val="AEB6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26CAE"/>
    <w:multiLevelType w:val="multilevel"/>
    <w:tmpl w:val="1A8A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953C2"/>
    <w:multiLevelType w:val="multilevel"/>
    <w:tmpl w:val="241EE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6050B9"/>
    <w:multiLevelType w:val="multilevel"/>
    <w:tmpl w:val="07B2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F179DA"/>
    <w:multiLevelType w:val="multilevel"/>
    <w:tmpl w:val="E6F0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71019"/>
    <w:multiLevelType w:val="multilevel"/>
    <w:tmpl w:val="6F9E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D314C"/>
    <w:multiLevelType w:val="multilevel"/>
    <w:tmpl w:val="C4B2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950DF8"/>
    <w:multiLevelType w:val="multilevel"/>
    <w:tmpl w:val="18283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7C16FF"/>
    <w:multiLevelType w:val="multilevel"/>
    <w:tmpl w:val="B5D89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DA75F6"/>
    <w:multiLevelType w:val="multilevel"/>
    <w:tmpl w:val="547E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103DD9"/>
    <w:multiLevelType w:val="multilevel"/>
    <w:tmpl w:val="B738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B243C7"/>
    <w:multiLevelType w:val="multilevel"/>
    <w:tmpl w:val="F060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B7016E"/>
    <w:multiLevelType w:val="multilevel"/>
    <w:tmpl w:val="2930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E33CBC"/>
    <w:multiLevelType w:val="multilevel"/>
    <w:tmpl w:val="4D80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E476CF"/>
    <w:multiLevelType w:val="multilevel"/>
    <w:tmpl w:val="59A4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2465C1"/>
    <w:multiLevelType w:val="multilevel"/>
    <w:tmpl w:val="F3D4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972B6D"/>
    <w:multiLevelType w:val="multilevel"/>
    <w:tmpl w:val="46F69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90122F"/>
    <w:multiLevelType w:val="multilevel"/>
    <w:tmpl w:val="6B2C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D637A2"/>
    <w:multiLevelType w:val="multilevel"/>
    <w:tmpl w:val="152E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A85407"/>
    <w:multiLevelType w:val="multilevel"/>
    <w:tmpl w:val="A77C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E1230F"/>
    <w:multiLevelType w:val="multilevel"/>
    <w:tmpl w:val="4A18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87018D"/>
    <w:multiLevelType w:val="multilevel"/>
    <w:tmpl w:val="47C02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3F4B24"/>
    <w:multiLevelType w:val="multilevel"/>
    <w:tmpl w:val="BDE22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3A5FBE"/>
    <w:multiLevelType w:val="multilevel"/>
    <w:tmpl w:val="7D48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8D0809"/>
    <w:multiLevelType w:val="multilevel"/>
    <w:tmpl w:val="E572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9359735">
    <w:abstractNumId w:val="22"/>
  </w:num>
  <w:num w:numId="2" w16cid:durableId="1303197748">
    <w:abstractNumId w:val="26"/>
  </w:num>
  <w:num w:numId="3" w16cid:durableId="1207646987">
    <w:abstractNumId w:val="29"/>
  </w:num>
  <w:num w:numId="4" w16cid:durableId="1137260471">
    <w:abstractNumId w:val="24"/>
  </w:num>
  <w:num w:numId="5" w16cid:durableId="1330869540">
    <w:abstractNumId w:val="13"/>
  </w:num>
  <w:num w:numId="6" w16cid:durableId="819345366">
    <w:abstractNumId w:val="12"/>
  </w:num>
  <w:num w:numId="7" w16cid:durableId="179465545">
    <w:abstractNumId w:val="21"/>
  </w:num>
  <w:num w:numId="8" w16cid:durableId="2114202795">
    <w:abstractNumId w:val="20"/>
  </w:num>
  <w:num w:numId="9" w16cid:durableId="1490823867">
    <w:abstractNumId w:val="27"/>
  </w:num>
  <w:num w:numId="10" w16cid:durableId="1637829839">
    <w:abstractNumId w:val="30"/>
  </w:num>
  <w:num w:numId="11" w16cid:durableId="466363488">
    <w:abstractNumId w:val="18"/>
  </w:num>
  <w:num w:numId="12" w16cid:durableId="943877617">
    <w:abstractNumId w:val="16"/>
  </w:num>
  <w:num w:numId="13" w16cid:durableId="1037391647">
    <w:abstractNumId w:val="0"/>
  </w:num>
  <w:num w:numId="14" w16cid:durableId="878785779">
    <w:abstractNumId w:val="31"/>
  </w:num>
  <w:num w:numId="15" w16cid:durableId="594898916">
    <w:abstractNumId w:val="19"/>
  </w:num>
  <w:num w:numId="16" w16cid:durableId="222722740">
    <w:abstractNumId w:val="2"/>
  </w:num>
  <w:num w:numId="17" w16cid:durableId="233199517">
    <w:abstractNumId w:val="5"/>
  </w:num>
  <w:num w:numId="18" w16cid:durableId="590237672">
    <w:abstractNumId w:val="28"/>
  </w:num>
  <w:num w:numId="19" w16cid:durableId="75438905">
    <w:abstractNumId w:val="17"/>
  </w:num>
  <w:num w:numId="20" w16cid:durableId="1881279568">
    <w:abstractNumId w:val="7"/>
  </w:num>
  <w:num w:numId="21" w16cid:durableId="1848982838">
    <w:abstractNumId w:val="3"/>
  </w:num>
  <w:num w:numId="22" w16cid:durableId="2039431062">
    <w:abstractNumId w:val="4"/>
  </w:num>
  <w:num w:numId="23" w16cid:durableId="2015376651">
    <w:abstractNumId w:val="10"/>
  </w:num>
  <w:num w:numId="24" w16cid:durableId="387999415">
    <w:abstractNumId w:val="8"/>
  </w:num>
  <w:num w:numId="25" w16cid:durableId="1369798160">
    <w:abstractNumId w:val="23"/>
  </w:num>
  <w:num w:numId="26" w16cid:durableId="1999841253">
    <w:abstractNumId w:val="9"/>
  </w:num>
  <w:num w:numId="27" w16cid:durableId="631591502">
    <w:abstractNumId w:val="15"/>
  </w:num>
  <w:num w:numId="28" w16cid:durableId="1779912958">
    <w:abstractNumId w:val="11"/>
  </w:num>
  <w:num w:numId="29" w16cid:durableId="814953441">
    <w:abstractNumId w:val="25"/>
  </w:num>
  <w:num w:numId="30" w16cid:durableId="2031443788">
    <w:abstractNumId w:val="1"/>
  </w:num>
  <w:num w:numId="31" w16cid:durableId="1222793258">
    <w:abstractNumId w:val="14"/>
  </w:num>
  <w:num w:numId="32" w16cid:durableId="20992098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C0A"/>
    <w:rsid w:val="003B3D30"/>
    <w:rsid w:val="00663C0A"/>
    <w:rsid w:val="007B75B8"/>
    <w:rsid w:val="008958C8"/>
    <w:rsid w:val="00907E48"/>
    <w:rsid w:val="009E5590"/>
    <w:rsid w:val="00E203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749B0"/>
  <w15:chartTrackingRefBased/>
  <w15:docId w15:val="{26315533-EDEA-424A-A4AE-0AD809AF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55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E55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E55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59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E559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E5590"/>
    <w:rPr>
      <w:rFonts w:ascii="Times New Roman" w:eastAsia="Times New Roman" w:hAnsi="Times New Roman" w:cs="Times New Roman"/>
      <w:b/>
      <w:bCs/>
      <w:sz w:val="27"/>
      <w:szCs w:val="27"/>
      <w:lang w:eastAsia="en-IN"/>
    </w:rPr>
  </w:style>
  <w:style w:type="paragraph" w:customStyle="1" w:styleId="msonormal0">
    <w:name w:val="msonormal"/>
    <w:basedOn w:val="Normal"/>
    <w:rsid w:val="009E55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E55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E5590"/>
    <w:rPr>
      <w:b/>
      <w:bCs/>
    </w:rPr>
  </w:style>
  <w:style w:type="paragraph" w:styleId="HTMLPreformatted">
    <w:name w:val="HTML Preformatted"/>
    <w:basedOn w:val="Normal"/>
    <w:link w:val="HTMLPreformattedChar"/>
    <w:uiPriority w:val="99"/>
    <w:semiHidden/>
    <w:unhideWhenUsed/>
    <w:rsid w:val="009E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E559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E55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2547</Words>
  <Characters>14519</Characters>
  <Application>Microsoft Office Word</Application>
  <DocSecurity>0</DocSecurity>
  <Lines>120</Lines>
  <Paragraphs>34</Paragraphs>
  <ScaleCrop>false</ScaleCrop>
  <Company/>
  <LinksUpToDate>false</LinksUpToDate>
  <CharactersWithSpaces>17032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Sunil</dc:creator>
  <cp:keywords/>
  <dc:description/>
  <cp:lastModifiedBy>Shreyas Sunil</cp:lastModifiedBy>
  <cp:revision>3</cp:revision>
  <cp:lastPrinted>2025-08-30T22:17:00Z</cp:lastPrinted>
  <dcterms:created xsi:type="dcterms:W3CDTF">2025-08-30T22:20:00Z</dcterms:created>
  <dcterms:modified xsi:type="dcterms:W3CDTF">2025-08-31T00:40:00Z</dcterms:modified>
</cp:coreProperties>
</file>