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pPr>
      <w:r>
        <w:rPr>
          <w:b/>
          <w:bCs/>
          <w:caps/>
          <w:color w:val="31437C"/>
          <w:sz w:val="20"/>
          <w:szCs w:val="20"/>
        </w:rPr>
        <w:t xml:space="preserve">FinSight — NBFC Lending Platform</w:t>
      </w:r>
    </w:p>
    <w:p>
      <w:pPr>
        <w:spacing w:after="120"/>
      </w:pPr>
      <w:r>
        <w:rPr>
          <w:b/>
          <w:bCs/>
          <w:color w:val="1B2438"/>
          <w:sz w:val="52"/>
          <w:szCs w:val="52"/>
        </w:rPr>
        <w:t xml:space="preserve">Document PII Masking — In-Depth Workflow</w:t>
      </w:r>
    </w:p>
    <w:p>
      <w:pPr>
        <w:spacing w:after="60"/>
      </w:pPr>
      <w:r>
        <w:rPr>
          <w:color w:val="5A6172"/>
          <w:sz w:val="23"/>
          <w:szCs w:val="23"/>
        </w:rPr>
        <w:t xml:space="preserve">How the hover preview redacts Aadhaar, PAN and account numbers to their last 4 digits: OCR word boxes, pattern detection, rotation mapping, and the secure-preview frontend.</w:t>
      </w:r>
    </w:p>
    <w:p>
      <w:pPr>
        <w:pBdr>
          <w:bottom w:val="single" w:color="C9CEDD" w:sz="8"/>
        </w:pBdr>
        <w:spacing w:after="320"/>
      </w:pPr>
      <w:r>
        <w:rPr>
          <w:color w:val="5A6172"/>
          <w:sz w:val="18"/>
          <w:szCs w:val="18"/>
        </w:rPr>
        <w:t xml:space="preserve">Engineering workflow report  ·  13 July 2026  ·  generated from the implemented codebase</w:t>
      </w:r>
    </w:p>
    <w:p>
      <w:pPr>
        <w:pStyle w:val="Heading1"/>
        <w:spacing w:after="170" w:before="340"/>
      </w:pPr>
      <w:r>
        <w:t xml:space="preserve">1. What this module does</w:t>
      </w:r>
    </w:p>
    <w:p>
      <w:pPr>
        <w:spacing w:after="140" w:line="288"/>
      </w:pPr>
      <w:r>
        <w:t xml:space="preserve">On the Review &amp; Submit page, hovering a document thumbnail enlarges it. Without protection, that enlarged preview shows the borrower's full Aadhaar number, PAN and bank account number to whoever is looking at the screen. This module produces a privacy-masked render of the document — the sensitive numbers covered by solid redaction bars, with only their last 4 digits left visible — and the hover preview shows ONLY that masked render, never the raw image.</w:t>
      </w:r>
    </w:p>
    <w:p>
      <w:pPr>
        <w:spacing w:after="140" w:line="288"/>
      </w:pPr>
      <w:r>
        <w:rPr>
          <w:b/>
          <w:bCs/>
        </w:rPr>
        <w:t xml:space="preserve">Regulatory grounding: </w:t>
      </w:r>
      <w:r>
        <w:t xml:space="preserve">UIDAI/RBI norms require that a displayed Aadhaar shows at most its last 4 digits; the same last-4 convention is the industry standard for account numbers and cards. Keeping the last 4 visible is deliberate: it lets a reviewing officer still cross-reference the document (“…ends in 6203, matches the statement”) without exposing the full identifier.</w:t>
      </w:r>
    </w:p>
    <w:p>
      <w:pPr>
        <w:pStyle w:val="Heading3"/>
        <w:spacing w:after="110" w:before="220"/>
      </w:pPr>
      <w:r>
        <w:t xml:space="preserve">Where it lives</w:t>
      </w:r>
    </w:p>
    <w:p>
      <w:pPr>
        <w:pStyle w:val="ListParagraph"/>
        <w:numPr>
          <w:ilvl w:val="0"/>
          <w:numId w:val="2"/>
        </w:numPr>
        <w:spacing w:after="90" w:line="276"/>
      </w:pPr>
      <w:r>
        <w:rPr>
          <w:rFonts w:ascii="Consolas" w:cs="Consolas" w:eastAsia="Consolas" w:hAnsi="Consolas"/>
          <w:color w:val="31437C"/>
          <w:sz w:val="19"/>
          <w:szCs w:val="19"/>
        </w:rPr>
        <w:t xml:space="preserve">api/app/mask.py</w:t>
      </w:r>
      <w:r>
        <w:t xml:space="preserve">  —  detection + drawing logic</w:t>
      </w:r>
    </w:p>
    <w:p>
      <w:pPr>
        <w:pStyle w:val="ListParagraph"/>
        <w:numPr>
          <w:ilvl w:val="0"/>
          <w:numId w:val="2"/>
        </w:numPr>
        <w:spacing w:after="90" w:line="276"/>
      </w:pPr>
      <w:r>
        <w:rPr>
          <w:rFonts w:ascii="Consolas" w:cs="Consolas" w:eastAsia="Consolas" w:hAnsi="Consolas"/>
          <w:color w:val="31437C"/>
          <w:sz w:val="19"/>
          <w:szCs w:val="19"/>
        </w:rPr>
        <w:t xml:space="preserve">POST /document/mask</w:t>
      </w:r>
      <w:r>
        <w:t xml:space="preserve">  —  endpoint in </w:t>
      </w:r>
      <w:r>
        <w:rPr>
          <w:rFonts w:ascii="Consolas" w:cs="Consolas" w:eastAsia="Consolas" w:hAnsi="Consolas"/>
          <w:color w:val="31437C"/>
          <w:sz w:val="19"/>
          <w:szCs w:val="19"/>
        </w:rPr>
        <w:t xml:space="preserve">api/app/main.py</w:t>
      </w:r>
      <w:r>
        <w:t xml:space="preserve"> (multipart: file + parsed_json)</w:t>
      </w:r>
    </w:p>
    <w:p>
      <w:pPr>
        <w:pStyle w:val="ListParagraph"/>
        <w:numPr>
          <w:ilvl w:val="0"/>
          <w:numId w:val="2"/>
        </w:numPr>
        <w:spacing w:after="90" w:line="276"/>
      </w:pPr>
      <w:r>
        <w:rPr>
          <w:rFonts w:ascii="Consolas" w:cs="Consolas" w:eastAsia="Consolas" w:hAnsi="Consolas"/>
          <w:color w:val="31437C"/>
          <w:sz w:val="19"/>
          <w:szCs w:val="19"/>
        </w:rPr>
        <w:t xml:space="preserve">src/utils/ocr.js → maskDocument()</w:t>
      </w:r>
      <w:r>
        <w:t xml:space="preserve">  —  frontend client</w:t>
      </w:r>
    </w:p>
    <w:p>
      <w:pPr>
        <w:pStyle w:val="ListParagraph"/>
        <w:numPr>
          <w:ilvl w:val="0"/>
          <w:numId w:val="2"/>
        </w:numPr>
        <w:spacing w:after="90" w:line="276"/>
      </w:pPr>
      <w:r>
        <w:rPr>
          <w:rFonts w:ascii="Consolas" w:cs="Consolas" w:eastAsia="Consolas" w:hAnsi="Consolas"/>
          <w:color w:val="31437C"/>
          <w:sz w:val="19"/>
          <w:szCs w:val="19"/>
        </w:rPr>
        <w:t xml:space="preserve">FileThumb (UserNewApplication.jsx)</w:t>
      </w:r>
      <w:r>
        <w:t xml:space="preserve">  —  “secure mode” hover preview that fetches lazily and never flashes the raw image</w:t>
      </w:r>
    </w:p>
    <w:p>
      <w:pPr>
        <w:pStyle w:val="Heading1"/>
        <w:spacing w:after="170" w:before="340"/>
      </w:pPr>
      <w:r>
        <w:t xml:space="preserve">2. The core design decision: pattern-first, not extraction-first</w:t>
      </w:r>
    </w:p>
    <w:p>
      <w:pPr>
        <w:spacing w:after="140" w:line="288"/>
      </w:pPr>
      <w:r>
        <w:t xml:space="preserve">The obvious approach — “we already OCR-extracted the Aadhaar number, just find that string on the image” — fails for the most important field. The extraction prompt deliberately tells the model NEVER to invent masked digits, so for many uploads the extracted field is already “XXXX-XXXX-1234”… while the image itself still shows all 12 digits. If masking trusted the extracted value, exactly the document that most needs masking would get none.</w:t>
      </w:r>
    </w:p>
    <w:p>
      <w:pPr>
        <w:spacing w:after="140" w:line="288"/>
      </w:pPr>
      <w:r>
        <w:t xml:space="preserve">So detection works directly on the page: the image is OCR'd into word boxes, and sensitive values are found by PATTERN — what an Aadhaar/PAN/account number looks like — regardless of what extraction returned. The extracted account number is used only as a supplementary anchor.</w:t>
      </w:r>
    </w:p>
    <w:p>
      <w:pPr>
        <w:pStyle w:val="Heading1"/>
        <w:spacing w:after="170" w:before="340"/>
      </w:pPr>
      <w:r>
        <w:t xml:space="preserve">3. Step-by-step walkthrough</w:t>
      </w:r>
    </w:p>
    <w:p>
      <w:pPr>
        <w:pStyle w:val="Heading2"/>
        <w:spacing w:after="140" w:before="280"/>
      </w:pPr>
      <w:r>
        <w:t xml:space="preserve">Step 1 — Lazy trigger (frontend)</w:t>
      </w:r>
    </w:p>
    <w:p>
      <w:pPr>
        <w:spacing w:after="110" w:line="282"/>
        <w:ind w:left="240"/>
      </w:pPr>
      <w:r>
        <w:rPr>
          <w:b/>
          <w:bCs/>
          <w:color w:val="31437C"/>
        </w:rPr>
        <w:t xml:space="preserve">What happens:  </w:t>
      </w:r>
      <w:r>
        <w:t xml:space="preserve">Nothing is masked at upload time. The first time a user hovers a document thumbnail on the review step, the frontend fires one POST /document/mask for that document and caches the result per document.</w:t>
      </w:r>
    </w:p>
    <w:p>
      <w:pPr>
        <w:spacing w:after="110" w:line="282"/>
        <w:ind w:left="240"/>
      </w:pPr>
      <w:r>
        <w:rPr>
          <w:b/>
          <w:bCs/>
          <w:color w:val="31437C"/>
        </w:rPr>
        <w:t xml:space="preserve">Why lazy:  </w:t>
      </w:r>
      <w:r>
        <w:t xml:space="preserve">Masking costs an OCR pass (~2–4 s). Most documents are never hovered; paying only on first hover keeps the review page fast. While the mask is being built the enlarged preview shows a “Securing preview… hiding ID &amp; account numbers” placeholder — the raw image is never flashed, not even for a frame.</w:t>
      </w:r>
    </w:p>
    <w:p>
      <w:pPr>
        <w:pStyle w:val="Heading2"/>
        <w:spacing w:after="140" w:before="280"/>
      </w:pPr>
      <w:r>
        <w:t xml:space="preserve">Step 2 — Load the document as an image</w:t>
      </w:r>
    </w:p>
    <w:p>
      <w:pPr>
        <w:spacing w:after="110" w:line="282"/>
        <w:ind w:left="240"/>
      </w:pPr>
      <w:r>
        <w:rPr>
          <w:b/>
          <w:bCs/>
          <w:color w:val="31437C"/>
        </w:rPr>
        <w:t xml:space="preserve">How:  </w:t>
      </w:r>
      <w:r>
        <w:t xml:space="preserve">Reuses </w:t>
      </w:r>
      <w:r>
        <w:rPr>
          <w:rFonts w:ascii="Consolas" w:cs="Consolas" w:eastAsia="Consolas" w:hAnsi="Consolas"/>
          <w:color w:val="31437C"/>
          <w:sz w:val="19"/>
          <w:szCs w:val="19"/>
        </w:rPr>
        <w:t xml:space="preserve">tampering.locate._load_image()</w:t>
      </w:r>
      <w:r>
        <w:t xml:space="preserve">: a raw image is decoded directly; a PDF first has its embedded scan extracted (a scan wrapped in a PDF keeps its native orientation that way), falling back to rendering page 1 via pypdfium2. Long edge capped at 1600 px — enough for OCR to read every digit, small enough to keep the pass fast.</w:t>
      </w:r>
    </w:p>
    <w:p>
      <w:pPr>
        <w:pStyle w:val="Heading2"/>
        <w:spacing w:after="140" w:before="280"/>
      </w:pPr>
      <w:r>
        <w:t xml:space="preserve">Step 3 — OCR into word boxes</w:t>
      </w:r>
    </w:p>
    <w:p>
      <w:pPr>
        <w:spacing w:after="110" w:line="282"/>
        <w:ind w:left="240"/>
      </w:pPr>
      <w:r>
        <w:rPr>
          <w:b/>
          <w:bCs/>
          <w:color w:val="31437C"/>
        </w:rPr>
        <w:t xml:space="preserve">How:  </w:t>
      </w:r>
      <w:r>
        <w:t xml:space="preserve">RapidOCR (</w:t>
      </w:r>
      <w:r>
        <w:rPr>
          <w:rFonts w:ascii="Consolas" w:cs="Consolas" w:eastAsia="Consolas" w:hAnsi="Consolas"/>
          <w:color w:val="31437C"/>
          <w:sz w:val="19"/>
          <w:szCs w:val="19"/>
        </w:rPr>
        <w:t xml:space="preserve">locate._ocr_tokens</w:t>
      </w:r>
      <w:r>
        <w:t xml:space="preserve">) returns, for every piece of text it can see: the text, its numeric value if it parses as a number, a normalised alphanumeric form, and an axis-aligned bounding box (x0, y0, x1, y1) in pixels. These boxes are the whole game — masking is just deciding WHICH boxes and painting over them.</w:t>
      </w:r>
    </w:p>
    <w:p>
      <w:pPr>
        <w:pStyle w:val="Heading2"/>
        <w:spacing w:after="140" w:before="280"/>
      </w:pPr>
      <w:r>
        <w:t xml:space="preserve">Step 4 — Find the sensitive regions (the detection rules)</w:t>
      </w:r>
    </w:p>
    <w:tbl>
      <w:tblPr>
        <w:tblW w:type="dxa" w:w="10080"/>
        <w:tblBorders>
          <w:top w:val="single" w:color="C9CEDD" w:sz="4"/>
          <w:left w:val="single" w:color="C9CEDD" w:sz="4"/>
          <w:bottom w:val="single" w:color="C9CEDD" w:sz="4"/>
          <w:right w:val="single" w:color="C9CEDD" w:sz="4"/>
          <w:insideH w:val="single" w:color="C9CEDD" w:sz="4"/>
          <w:insideV w:val="single" w:color="C9CEDD" w:sz="4"/>
        </w:tblBorders>
      </w:tblPr>
      <w:tblGrid>
        <w:gridCol w:w="1613"/>
        <w:gridCol w:w="5040"/>
        <w:gridCol w:w="3427"/>
      </w:tblGrid>
      <w:tr>
        <w:trPr>
          <w:tblHeader/>
        </w:trPr>
        <w:tc>
          <w:tcPr>
            <w:tcW w:type="dxa" w:w="1613"/>
            <w:shd w:fill="31437C" w:val="clear"/>
            <w:tcMar>
              <w:top w:type="dxa" w:w="70"/>
              <w:left w:type="dxa" w:w="110"/>
              <w:bottom w:type="dxa" w:w="70"/>
              <w:right w:type="dxa" w:w="110"/>
            </w:tcMar>
          </w:tcPr>
          <w:p>
            <w:pPr>
              <w:spacing w:line="252"/>
            </w:pPr>
            <w:r>
              <w:rPr>
                <w:b/>
                <w:bCs/>
                <w:color w:val="FFFFFF"/>
                <w:sz w:val="19"/>
                <w:szCs w:val="19"/>
              </w:rPr>
              <w:t xml:space="preserve">Target</w:t>
            </w:r>
          </w:p>
        </w:tc>
        <w:tc>
          <w:tcPr>
            <w:tcW w:type="dxa" w:w="5040"/>
            <w:shd w:fill="31437C" w:val="clear"/>
            <w:tcMar>
              <w:top w:type="dxa" w:w="70"/>
              <w:left w:type="dxa" w:w="110"/>
              <w:bottom w:type="dxa" w:w="70"/>
              <w:right w:type="dxa" w:w="110"/>
            </w:tcMar>
          </w:tcPr>
          <w:p>
            <w:pPr>
              <w:spacing w:line="252"/>
            </w:pPr>
            <w:r>
              <w:rPr>
                <w:b/>
                <w:bCs/>
                <w:color w:val="FFFFFF"/>
                <w:sz w:val="19"/>
                <w:szCs w:val="19"/>
              </w:rPr>
              <w:t xml:space="preserve">Pattern on the OCR tokens</w:t>
            </w:r>
          </w:p>
        </w:tc>
        <w:tc>
          <w:tcPr>
            <w:tcW w:type="dxa" w:w="3427"/>
            <w:shd w:fill="31437C" w:val="clear"/>
            <w:tcMar>
              <w:top w:type="dxa" w:w="70"/>
              <w:left w:type="dxa" w:w="110"/>
              <w:bottom w:type="dxa" w:w="70"/>
              <w:right w:type="dxa" w:w="110"/>
            </w:tcMar>
          </w:tcPr>
          <w:p>
            <w:pPr>
              <w:spacing w:line="252"/>
            </w:pPr>
            <w:r>
              <w:rPr>
                <w:b/>
                <w:bCs/>
                <w:color w:val="FFFFFF"/>
                <w:sz w:val="19"/>
                <w:szCs w:val="19"/>
              </w:rPr>
              <w:t xml:space="preserve">What is covered</w:t>
            </w:r>
          </w:p>
        </w:tc>
      </w:tr>
      <w:tr>
        <w:tc>
          <w:tcPr>
            <w:tcW w:type="dxa" w:w="1613"/>
            <w:shd w:fill="FFFFFF" w:val="clear"/>
            <w:tcMar>
              <w:top w:type="dxa" w:w="70"/>
              <w:left w:type="dxa" w:w="110"/>
              <w:bottom w:type="dxa" w:w="70"/>
              <w:right w:type="dxa" w:w="110"/>
            </w:tcMar>
          </w:tcPr>
          <w:p>
            <w:pPr>
              <w:spacing w:line="252"/>
            </w:pPr>
            <w:r>
              <w:rPr>
                <w:b w:val="false"/>
                <w:bCs w:val="false"/>
                <w:color w:val="1B2438"/>
                <w:sz w:val="19"/>
                <w:szCs w:val="19"/>
              </w:rPr>
              <w:t xml:space="preserve">PAN</w:t>
            </w:r>
          </w:p>
        </w:tc>
        <w:tc>
          <w:tcPr>
            <w:tcW w:type="dxa" w:w="5040"/>
            <w:shd w:fill="FFFFFF" w:val="clear"/>
            <w:tcMar>
              <w:top w:type="dxa" w:w="70"/>
              <w:left w:type="dxa" w:w="110"/>
              <w:bottom w:type="dxa" w:w="70"/>
              <w:right w:type="dxa" w:w="110"/>
            </w:tcMar>
          </w:tcPr>
          <w:p>
            <w:pPr>
              <w:spacing w:line="252"/>
            </w:pPr>
            <w:r>
              <w:rPr>
                <w:b w:val="false"/>
                <w:bCs w:val="false"/>
                <w:color w:val="1B2438"/>
                <w:sz w:val="19"/>
                <w:szCs w:val="19"/>
              </w:rPr>
              <w:t xml:space="preserve">normalised token matches [A-Z]{5}[0-9]{4}[A-Z] — unambiguous, letters+digits structure</w:t>
            </w:r>
          </w:p>
        </w:tc>
        <w:tc>
          <w:tcPr>
            <w:tcW w:type="dxa" w:w="3427"/>
            <w:shd w:fill="FFFFFF" w:val="clear"/>
            <w:tcMar>
              <w:top w:type="dxa" w:w="70"/>
              <w:left w:type="dxa" w:w="110"/>
              <w:bottom w:type="dxa" w:w="70"/>
              <w:right w:type="dxa" w:w="110"/>
            </w:tcMar>
          </w:tcPr>
          <w:p>
            <w:pPr>
              <w:spacing w:line="252"/>
            </w:pPr>
            <w:r>
              <w:rPr>
                <w:b w:val="false"/>
                <w:bCs w:val="false"/>
                <w:color w:val="1B2438"/>
                <w:sz w:val="19"/>
                <w:szCs w:val="19"/>
              </w:rPr>
              <w:t xml:space="preserve">first 6 characters; last 4 stay visible</w:t>
            </w:r>
          </w:p>
        </w:tc>
      </w:tr>
      <w:tr>
        <w:tc>
          <w:tcPr>
            <w:tcW w:type="dxa" w:w="1613"/>
            <w:shd w:fill="F5F6FB" w:val="clear"/>
            <w:tcMar>
              <w:top w:type="dxa" w:w="70"/>
              <w:left w:type="dxa" w:w="110"/>
              <w:bottom w:type="dxa" w:w="70"/>
              <w:right w:type="dxa" w:w="110"/>
            </w:tcMar>
          </w:tcPr>
          <w:p>
            <w:pPr>
              <w:spacing w:line="252"/>
            </w:pPr>
            <w:r>
              <w:rPr>
                <w:b w:val="false"/>
                <w:bCs w:val="false"/>
                <w:color w:val="1B2438"/>
                <w:sz w:val="19"/>
                <w:szCs w:val="19"/>
              </w:rPr>
              <w:t xml:space="preserve">Aadhaar (grouped)</w:t>
            </w:r>
          </w:p>
        </w:tc>
        <w:tc>
          <w:tcPr>
            <w:tcW w:type="dxa" w:w="5040"/>
            <w:shd w:fill="F5F6FB" w:val="clear"/>
            <w:tcMar>
              <w:top w:type="dxa" w:w="70"/>
              <w:left w:type="dxa" w:w="110"/>
              <w:bottom w:type="dxa" w:w="70"/>
              <w:right w:type="dxa" w:w="110"/>
            </w:tcMar>
          </w:tcPr>
          <w:p>
            <w:pPr>
              <w:spacing w:line="252"/>
            </w:pPr>
            <w:r>
              <w:rPr>
                <w:b w:val="false"/>
                <w:bCs w:val="false"/>
                <w:color w:val="1B2438"/>
                <w:sz w:val="19"/>
                <w:szCs w:val="19"/>
              </w:rPr>
              <w:t xml:space="preserve">three or more 4-digit pure-number tokens sitting on the same text line (boxes overlapping &gt;50% vertically), e.g. 3977 | 8800 | 0234</w:t>
            </w:r>
          </w:p>
        </w:tc>
        <w:tc>
          <w:tcPr>
            <w:tcW w:type="dxa" w:w="3427"/>
            <w:shd w:fill="F5F6FB" w:val="clear"/>
            <w:tcMar>
              <w:top w:type="dxa" w:w="70"/>
              <w:left w:type="dxa" w:w="110"/>
              <w:bottom w:type="dxa" w:w="70"/>
              <w:right w:type="dxa" w:w="110"/>
            </w:tcMar>
          </w:tcPr>
          <w:p>
            <w:pPr>
              <w:spacing w:line="252"/>
            </w:pPr>
            <w:r>
              <w:rPr>
                <w:b w:val="false"/>
                <w:bCs w:val="false"/>
                <w:color w:val="1B2438"/>
                <w:sz w:val="19"/>
                <w:szCs w:val="19"/>
              </w:rPr>
              <w:t xml:space="preserve">every group box except the LAST one — the last 4 digits stay visible</w:t>
            </w:r>
          </w:p>
        </w:tc>
      </w:tr>
      <w:tr>
        <w:tc>
          <w:tcPr>
            <w:tcW w:type="dxa" w:w="1613"/>
            <w:shd w:fill="FFFFFF" w:val="clear"/>
            <w:tcMar>
              <w:top w:type="dxa" w:w="70"/>
              <w:left w:type="dxa" w:w="110"/>
              <w:bottom w:type="dxa" w:w="70"/>
              <w:right w:type="dxa" w:w="110"/>
            </w:tcMar>
          </w:tcPr>
          <w:p>
            <w:pPr>
              <w:spacing w:line="252"/>
            </w:pPr>
            <w:r>
              <w:rPr>
                <w:b w:val="false"/>
                <w:bCs w:val="false"/>
                <w:color w:val="1B2438"/>
                <w:sz w:val="19"/>
                <w:szCs w:val="19"/>
              </w:rPr>
              <w:t xml:space="preserve">Aadhaar (single token)</w:t>
            </w:r>
          </w:p>
        </w:tc>
        <w:tc>
          <w:tcPr>
            <w:tcW w:type="dxa" w:w="5040"/>
            <w:shd w:fill="FFFFFF" w:val="clear"/>
            <w:tcMar>
              <w:top w:type="dxa" w:w="70"/>
              <w:left w:type="dxa" w:w="110"/>
              <w:bottom w:type="dxa" w:w="70"/>
              <w:right w:type="dxa" w:w="110"/>
            </w:tcMar>
          </w:tcPr>
          <w:p>
            <w:pPr>
              <w:spacing w:line="252"/>
            </w:pPr>
            <w:r>
              <w:rPr>
                <w:b w:val="false"/>
                <w:bCs w:val="false"/>
                <w:color w:val="1B2438"/>
                <w:sz w:val="19"/>
                <w:szCs w:val="19"/>
              </w:rPr>
              <w:t xml:space="preserve">one token whose digits count is exactly 12, with no decimal point</w:t>
            </w:r>
          </w:p>
        </w:tc>
        <w:tc>
          <w:tcPr>
            <w:tcW w:type="dxa" w:w="3427"/>
            <w:shd w:fill="FFFFFF" w:val="clear"/>
            <w:tcMar>
              <w:top w:type="dxa" w:w="70"/>
              <w:left w:type="dxa" w:w="110"/>
              <w:bottom w:type="dxa" w:w="70"/>
              <w:right w:type="dxa" w:w="110"/>
            </w:tcMar>
          </w:tcPr>
          <w:p>
            <w:pPr>
              <w:spacing w:line="252"/>
            </w:pPr>
            <w:r>
              <w:rPr>
                <w:b w:val="false"/>
                <w:bCs w:val="false"/>
                <w:color w:val="1B2438"/>
                <w:sz w:val="19"/>
                <w:szCs w:val="19"/>
              </w:rPr>
              <w:t xml:space="preserve">leading 8 digits, proportional split of the box</w:t>
            </w:r>
          </w:p>
        </w:tc>
      </w:tr>
      <w:tr>
        <w:tc>
          <w:tcPr>
            <w:tcW w:type="dxa" w:w="1613"/>
            <w:shd w:fill="F5F6FB" w:val="clear"/>
            <w:tcMar>
              <w:top w:type="dxa" w:w="70"/>
              <w:left w:type="dxa" w:w="110"/>
              <w:bottom w:type="dxa" w:w="70"/>
              <w:right w:type="dxa" w:w="110"/>
            </w:tcMar>
          </w:tcPr>
          <w:p>
            <w:pPr>
              <w:spacing w:line="252"/>
            </w:pPr>
            <w:r>
              <w:rPr>
                <w:b w:val="false"/>
                <w:bCs w:val="false"/>
                <w:color w:val="1B2438"/>
                <w:sz w:val="19"/>
                <w:szCs w:val="19"/>
              </w:rPr>
              <w:t xml:space="preserve">Account / card numbers</w:t>
            </w:r>
          </w:p>
        </w:tc>
        <w:tc>
          <w:tcPr>
            <w:tcW w:type="dxa" w:w="5040"/>
            <w:shd w:fill="F5F6FB" w:val="clear"/>
            <w:tcMar>
              <w:top w:type="dxa" w:w="70"/>
              <w:left w:type="dxa" w:w="110"/>
              <w:bottom w:type="dxa" w:w="70"/>
              <w:right w:type="dxa" w:w="110"/>
            </w:tcMar>
          </w:tcPr>
          <w:p>
            <w:pPr>
              <w:spacing w:line="252"/>
            </w:pPr>
            <w:r>
              <w:rPr>
                <w:b w:val="false"/>
                <w:bCs w:val="false"/>
                <w:color w:val="1B2438"/>
                <w:sz w:val="19"/>
                <w:szCs w:val="19"/>
              </w:rPr>
              <w:t xml:space="preserve">9–18 pure digits, not 12 (that is Aadhaar), no decimal point</w:t>
            </w:r>
          </w:p>
        </w:tc>
        <w:tc>
          <w:tcPr>
            <w:tcW w:type="dxa" w:w="3427"/>
            <w:shd w:fill="F5F6FB" w:val="clear"/>
            <w:tcMar>
              <w:top w:type="dxa" w:w="70"/>
              <w:left w:type="dxa" w:w="110"/>
              <w:bottom w:type="dxa" w:w="70"/>
              <w:right w:type="dxa" w:w="110"/>
            </w:tcMar>
          </w:tcPr>
          <w:p>
            <w:pPr>
              <w:spacing w:line="252"/>
            </w:pPr>
            <w:r>
              <w:rPr>
                <w:b w:val="false"/>
                <w:bCs w:val="false"/>
                <w:color w:val="1B2438"/>
                <w:sz w:val="19"/>
                <w:szCs w:val="19"/>
              </w:rPr>
              <w:t xml:space="preserve">all but last 4</w:t>
            </w:r>
          </w:p>
        </w:tc>
      </w:tr>
      <w:tr>
        <w:tc>
          <w:tcPr>
            <w:tcW w:type="dxa" w:w="1613"/>
            <w:shd w:fill="FFFFFF" w:val="clear"/>
            <w:tcMar>
              <w:top w:type="dxa" w:w="70"/>
              <w:left w:type="dxa" w:w="110"/>
              <w:bottom w:type="dxa" w:w="70"/>
              <w:right w:type="dxa" w:w="110"/>
            </w:tcMar>
          </w:tcPr>
          <w:p>
            <w:pPr>
              <w:spacing w:line="252"/>
            </w:pPr>
            <w:r>
              <w:rPr>
                <w:b w:val="false"/>
                <w:bCs w:val="false"/>
                <w:color w:val="1B2438"/>
                <w:sz w:val="19"/>
                <w:szCs w:val="19"/>
              </w:rPr>
              <w:t xml:space="preserve">Extracted account no.</w:t>
            </w:r>
          </w:p>
        </w:tc>
        <w:tc>
          <w:tcPr>
            <w:tcW w:type="dxa" w:w="5040"/>
            <w:shd w:fill="FFFFFF" w:val="clear"/>
            <w:tcMar>
              <w:top w:type="dxa" w:w="70"/>
              <w:left w:type="dxa" w:w="110"/>
              <w:bottom w:type="dxa" w:w="70"/>
              <w:right w:type="dxa" w:w="110"/>
            </w:tcMar>
          </w:tcPr>
          <w:p>
            <w:pPr>
              <w:spacing w:line="252"/>
            </w:pPr>
            <w:r>
              <w:rPr>
                <w:b w:val="false"/>
                <w:bCs w:val="false"/>
                <w:color w:val="1B2438"/>
                <w:sz w:val="19"/>
                <w:szCs w:val="19"/>
              </w:rPr>
              <w:t xml:space="preserve">the OCR-extracted account_number value matched against token text (containment both ways, 5+ chars)</w:t>
            </w:r>
          </w:p>
        </w:tc>
        <w:tc>
          <w:tcPr>
            <w:tcW w:type="dxa" w:w="3427"/>
            <w:shd w:fill="FFFFFF" w:val="clear"/>
            <w:tcMar>
              <w:top w:type="dxa" w:w="70"/>
              <w:left w:type="dxa" w:w="110"/>
              <w:bottom w:type="dxa" w:w="70"/>
              <w:right w:type="dxa" w:w="110"/>
            </w:tcMar>
          </w:tcPr>
          <w:p>
            <w:pPr>
              <w:spacing w:line="252"/>
            </w:pPr>
            <w:r>
              <w:rPr>
                <w:b w:val="false"/>
                <w:bCs w:val="false"/>
                <w:color w:val="1B2438"/>
                <w:sz w:val="19"/>
                <w:szCs w:val="19"/>
              </w:rPr>
              <w:t xml:space="preserve">all but last 4 — supplements the pattern when tokenisation is odd</w:t>
            </w:r>
          </w:p>
        </w:tc>
      </w:tr>
    </w:tbl>
    <w:p>
      <w:pPr>
        <w:spacing w:after="110" w:line="282"/>
        <w:ind w:left="240"/>
      </w:pPr>
      <w:r>
        <w:rPr>
          <w:b/>
          <w:bCs/>
          <w:color w:val="31437C"/>
        </w:rPr>
        <w:t xml:space="preserve">Why the “no decimal point” rule:  </w:t>
      </w:r>
      <w:r>
        <w:t xml:space="preserve">Money amounts on payslips and statements print as 1,56,400.00 — the decimal excludes them, so salaries are never mistaken for account numbers. Amount digit-counts (5–8) also sit below the 9-digit account threshold.</w:t>
      </w:r>
    </w:p>
    <w:p>
      <w:pPr>
        <w:spacing w:after="110" w:line="282"/>
        <w:ind w:left="240"/>
      </w:pPr>
      <w:r>
        <w:rPr>
          <w:b/>
          <w:bCs/>
          <w:color w:val="31437C"/>
        </w:rPr>
        <w:t xml:space="preserve">Bonus effect:  </w:t>
      </w:r>
      <w:r>
        <w:t xml:space="preserve">A 10-digit mobile number is ≥9 digits and gets masked too — desirable, it is PII on an Aadhaar letter.</w:t>
      </w:r>
    </w:p>
    <w:p>
      <w:pPr>
        <w:pStyle w:val="Heading2"/>
        <w:spacing w:after="140" w:before="280"/>
      </w:pPr>
      <w:r>
        <w:t xml:space="preserve">Step 5 — Partial masking geometry (keep last 4)</w:t>
      </w:r>
    </w:p>
    <w:p>
      <w:pPr>
        <w:spacing w:after="110" w:line="282"/>
        <w:ind w:left="240"/>
      </w:pPr>
      <w:r>
        <w:rPr>
          <w:b/>
          <w:bCs/>
          <w:color w:val="31437C"/>
        </w:rPr>
        <w:t xml:space="preserve">Concept:  </w:t>
      </w:r>
      <w:r>
        <w:t xml:space="preserve">OCR gives ONE box for a whole token — but we must cover only its leading characters.</w:t>
      </w:r>
    </w:p>
    <w:p>
      <w:pPr>
        <w:spacing w:after="110" w:line="282"/>
        <w:ind w:left="240"/>
      </w:pPr>
      <w:r>
        <w:rPr>
          <w:b/>
          <w:bCs/>
          <w:color w:val="31437C"/>
        </w:rPr>
        <w:t xml:space="preserve">How:  </w:t>
      </w:r>
      <w:r>
        <w:t xml:space="preserve">The box is split proportionally by character count: mask width = box width × (n − 4) / n. Printed ID digits are near-monospace, so uniform character width is accurate. For '3977 8800 0234' (14 chars) the bar covers the first 10 characters' width — exactly '3977 8800 ' — leaving '0234'.</w:t>
      </w:r>
    </w:p>
    <w:p>
      <w:pPr>
        <w:pStyle w:val="Heading2"/>
        <w:spacing w:after="140" w:before="280"/>
      </w:pPr>
      <w:r>
        <w:t xml:space="preserve">Step 6 — Mixed and sideways orientations</w:t>
      </w:r>
    </w:p>
    <w:p>
      <w:pPr>
        <w:spacing w:after="110" w:line="282"/>
        <w:ind w:left="240"/>
      </w:pPr>
      <w:r>
        <w:rPr>
          <w:b/>
          <w:bCs/>
          <w:color w:val="31437C"/>
        </w:rPr>
        <w:t xml:space="preserve">The problem found in testing:  </w:t>
      </w:r>
      <w:r>
        <w:t xml:space="preserve">A real Aadhaar card had its header horizontal but the Aadhaar number printed VERTICALLY along the card edge. Upright OCR read plenty of text (so “rotate to the best orientation” logic would think all is well) yet never saw the number.</w:t>
      </w:r>
    </w:p>
    <w:p>
      <w:pPr>
        <w:spacing w:after="110" w:line="282"/>
        <w:ind w:left="240"/>
      </w:pPr>
      <w:r>
        <w:rPr>
          <w:b/>
          <w:bCs/>
          <w:color w:val="31437C"/>
        </w:rPr>
        <w:t xml:space="preserve">How it is solved:  </w:t>
      </w:r>
      <w:r>
        <w:t xml:space="preserve">If the upright pass finds zero PII, the image is OCR'd again at 90°, 270° and 180°. Detection runs in each rotation (where that text is horizontal and legible), and every found box is mapped BACK to the original orientation with exact corner transforms:</w:t>
      </w:r>
    </w:p>
    <w:p>
      <w:pPr>
        <w:shd w:fill="F2F4FA" w:val="clear"/>
        <w:spacing w:after="0" w:line="240"/>
        <w:ind w:left="240" w:right="240"/>
      </w:pPr>
      <w:r>
        <w:rPr>
          <w:rFonts w:ascii="Consolas" w:cs="Consolas" w:eastAsia="Consolas" w:hAnsi="Consolas"/>
          <w:color w:val="1B2438"/>
          <w:sz w:val="18"/>
          <w:szCs w:val="18"/>
        </w:rPr>
        <w:t xml:space="preserve">ROTATE_90  (counter-clockwise):  (xr, yr)  →  (W − 1 − yr,  xr)</w:t>
      </w:r>
    </w:p>
    <w:p>
      <w:pPr>
        <w:shd w:fill="F2F4FA" w:val="clear"/>
        <w:spacing w:after="0" w:line="240"/>
        <w:ind w:left="240" w:right="240"/>
      </w:pPr>
      <w:r>
        <w:rPr>
          <w:rFonts w:ascii="Consolas" w:cs="Consolas" w:eastAsia="Consolas" w:hAnsi="Consolas"/>
          <w:color w:val="1B2438"/>
          <w:sz w:val="18"/>
          <w:szCs w:val="18"/>
        </w:rPr>
        <w:t xml:space="preserve">ROTATE_270 (clockwise):          (xr, yr)  →  (yr,  H − 1 − xr)</w:t>
      </w:r>
    </w:p>
    <w:p>
      <w:pPr>
        <w:shd w:fill="F2F4FA" w:val="clear"/>
        <w:spacing w:after="160" w:line="240"/>
        <w:ind w:left="240" w:right="240"/>
      </w:pPr>
      <w:r>
        <w:rPr>
          <w:rFonts w:ascii="Consolas" w:cs="Consolas" w:eastAsia="Consolas" w:hAnsi="Consolas"/>
          <w:color w:val="1B2438"/>
          <w:sz w:val="18"/>
          <w:szCs w:val="18"/>
        </w:rPr>
        <w:t xml:space="preserve">ROTATE_180:                      (xr, yr)  →  (W − 1 − xr,  H − 1 − yr)</w:t>
      </w:r>
    </w:p>
    <w:p>
      <w:pPr>
        <w:spacing w:after="140" w:line="288"/>
      </w:pPr>
      <w:r>
        <w:t xml:space="preserve">All four corners of each box are transformed and re-boxed (min/max), so every bar lands correctly on ONE canonical image. Because the last-4 split is computed in the rotation where the text is horizontal and only then mapped back, “keep the last 4” stays geometrically correct even for vertical numbers. An already-upright document with visible PII pays for a single OCR pass; only the odd cases pay for four.</w:t>
      </w:r>
    </w:p>
    <w:p>
      <w:pPr>
        <w:pStyle w:val="Heading2"/>
        <w:spacing w:after="140" w:before="280"/>
      </w:pPr>
      <w:r>
        <w:t xml:space="preserve">Step 7 — Draw and return</w:t>
      </w:r>
    </w:p>
    <w:p>
      <w:pPr>
        <w:spacing w:after="110" w:line="282"/>
        <w:ind w:left="240"/>
      </w:pPr>
      <w:r>
        <w:rPr>
          <w:b/>
          <w:bCs/>
          <w:color w:val="31437C"/>
        </w:rPr>
        <w:t xml:space="preserve">How:  </w:t>
      </w:r>
      <w:r>
        <w:rPr>
          <w:rFonts w:ascii="Consolas" w:cs="Consolas" w:eastAsia="Consolas" w:hAnsi="Consolas"/>
          <w:color w:val="31437C"/>
          <w:sz w:val="19"/>
          <w:szCs w:val="19"/>
        </w:rPr>
        <w:t xml:space="preserve">PIL.ImageDraw.rectangle(fill=(17,24,39))</w:t>
      </w:r>
      <w:r>
        <w:t xml:space="preserve"> paints each region with a small padding margin — a solid dark-slate bar that reads as an intentional redaction. The result is JPEG-encoded (quality 85, long edge ≤ 1000 px) and returned as a data URI with a count and the kinds found: { masked_image, masked_count, labels: ['Aadhaar','PAN','Account'] }.</w:t>
      </w:r>
    </w:p>
    <w:p>
      <w:pPr>
        <w:pStyle w:val="Heading2"/>
        <w:spacing w:after="140" w:before="280"/>
      </w:pPr>
      <w:r>
        <w:t xml:space="preserve">Step 8 — Secure hover preview (frontend)</w:t>
      </w:r>
    </w:p>
    <w:p>
      <w:pPr>
        <w:pStyle w:val="ListParagraph"/>
        <w:numPr>
          <w:ilvl w:val="0"/>
          <w:numId w:val="2"/>
        </w:numPr>
        <w:spacing w:after="90" w:line="276"/>
      </w:pPr>
      <w:r>
        <w:t xml:space="preserve">FileThumb in “secure mode” shows ONLY the masked render in the enlarged hover — the raw src is never used there</w:t>
      </w:r>
    </w:p>
    <w:p>
      <w:pPr>
        <w:pStyle w:val="ListParagraph"/>
        <w:numPr>
          <w:ilvl w:val="0"/>
          <w:numId w:val="2"/>
        </w:numPr>
        <w:spacing w:after="90" w:line="276"/>
      </w:pPr>
      <w:r>
        <w:t xml:space="preserve">Until the mask arrives: a placeholder with a spinner (“Securing preview…”), so nothing sensitive is flashed while loading</w:t>
      </w:r>
    </w:p>
    <w:p>
      <w:pPr>
        <w:pStyle w:val="ListParagraph"/>
        <w:numPr>
          <w:ilvl w:val="0"/>
          <w:numId w:val="2"/>
        </w:numPr>
        <w:spacing w:after="90" w:line="276"/>
      </w:pPr>
      <w:r>
        <w:t xml:space="preserve">Once loaded: a small caption with a lock icon — “ID &amp; account numbers masked — last 4 digits shown”</w:t>
      </w:r>
    </w:p>
    <w:p>
      <w:pPr>
        <w:pStyle w:val="ListParagraph"/>
        <w:numPr>
          <w:ilvl w:val="0"/>
          <w:numId w:val="2"/>
        </w:numPr>
        <w:spacing w:after="90" w:line="276"/>
      </w:pPr>
      <w:r>
        <w:t xml:space="preserve">The 40–46 px thumbnail itself remains the raw image: at that size an Aadhaar digit is ~2 px tall, physically illegible</w:t>
      </w:r>
    </w:p>
    <w:p>
      <w:pPr>
        <w:pStyle w:val="ListParagraph"/>
        <w:numPr>
          <w:ilvl w:val="0"/>
          <w:numId w:val="2"/>
        </w:numPr>
        <w:spacing w:after="90" w:line="276"/>
      </w:pPr>
      <w:r>
        <w:t xml:space="preserve">Results cache per document (state map keyed by docId), so re-hovering is instant</w:t>
      </w:r>
    </w:p>
    <w:p>
      <w:pPr>
        <w:pStyle w:val="Heading1"/>
        <w:spacing w:after="170" w:before="340"/>
      </w:pPr>
      <w:r>
        <w:t xml:space="preserve">4. Verified results on real documents</w:t>
      </w:r>
    </w:p>
    <w:tbl>
      <w:tblPr>
        <w:tblW w:type="dxa" w:w="10080"/>
        <w:tblBorders>
          <w:top w:val="single" w:color="C9CEDD" w:sz="4"/>
          <w:left w:val="single" w:color="C9CEDD" w:sz="4"/>
          <w:bottom w:val="single" w:color="C9CEDD" w:sz="4"/>
          <w:right w:val="single" w:color="C9CEDD" w:sz="4"/>
          <w:insideH w:val="single" w:color="C9CEDD" w:sz="4"/>
          <w:insideV w:val="single" w:color="C9CEDD" w:sz="4"/>
        </w:tblBorders>
      </w:tblPr>
      <w:tblGrid>
        <w:gridCol w:w="4032"/>
        <w:gridCol w:w="6048"/>
      </w:tblGrid>
      <w:tr>
        <w:trPr>
          <w:tblHeader/>
        </w:trPr>
        <w:tc>
          <w:tcPr>
            <w:tcW w:type="dxa" w:w="4032"/>
            <w:shd w:fill="31437C" w:val="clear"/>
            <w:tcMar>
              <w:top w:type="dxa" w:w="70"/>
              <w:left w:type="dxa" w:w="110"/>
              <w:bottom w:type="dxa" w:w="70"/>
              <w:right w:type="dxa" w:w="110"/>
            </w:tcMar>
          </w:tcPr>
          <w:p>
            <w:pPr>
              <w:spacing w:line="252"/>
            </w:pPr>
            <w:r>
              <w:rPr>
                <w:b/>
                <w:bCs/>
                <w:color w:val="FFFFFF"/>
                <w:sz w:val="19"/>
                <w:szCs w:val="19"/>
              </w:rPr>
              <w:t xml:space="preserve">Document</w:t>
            </w:r>
          </w:p>
        </w:tc>
        <w:tc>
          <w:tcPr>
            <w:tcW w:type="dxa" w:w="6048"/>
            <w:shd w:fill="31437C" w:val="clear"/>
            <w:tcMar>
              <w:top w:type="dxa" w:w="70"/>
              <w:left w:type="dxa" w:w="110"/>
              <w:bottom w:type="dxa" w:w="70"/>
              <w:right w:type="dxa" w:w="110"/>
            </w:tcMar>
          </w:tcPr>
          <w:p>
            <w:pPr>
              <w:spacing w:line="252"/>
            </w:pPr>
            <w:r>
              <w:rPr>
                <w:b/>
                <w:bCs/>
                <w:color w:val="FFFFFF"/>
                <w:sz w:val="19"/>
                <w:szCs w:val="19"/>
              </w:rPr>
              <w:t xml:space="preserve">Result</w:t>
            </w:r>
          </w:p>
        </w:tc>
      </w:tr>
      <w:tr>
        <w:tc>
          <w:tcPr>
            <w:tcW w:type="dxa" w:w="4032"/>
            <w:shd w:fill="FFFFFF" w:val="clear"/>
            <w:tcMar>
              <w:top w:type="dxa" w:w="70"/>
              <w:left w:type="dxa" w:w="110"/>
              <w:bottom w:type="dxa" w:w="70"/>
              <w:right w:type="dxa" w:w="110"/>
            </w:tcMar>
          </w:tcPr>
          <w:p>
            <w:pPr>
              <w:spacing w:line="252"/>
            </w:pPr>
            <w:r>
              <w:rPr>
                <w:b w:val="false"/>
                <w:bCs w:val="false"/>
                <w:color w:val="1B2438"/>
                <w:sz w:val="19"/>
                <w:szCs w:val="19"/>
              </w:rPr>
              <w:t xml:space="preserve">Aadhaar letter (Nikam)</w:t>
            </w:r>
          </w:p>
        </w:tc>
        <w:tc>
          <w:tcPr>
            <w:tcW w:type="dxa" w:w="6048"/>
            <w:shd w:fill="FFFFFF" w:val="clear"/>
            <w:tcMar>
              <w:top w:type="dxa" w:w="70"/>
              <w:left w:type="dxa" w:w="110"/>
              <w:bottom w:type="dxa" w:w="70"/>
              <w:right w:type="dxa" w:w="110"/>
            </w:tcMar>
          </w:tcPr>
          <w:p>
            <w:pPr>
              <w:spacing w:line="252"/>
            </w:pPr>
            <w:r>
              <w:rPr>
                <w:b w:val="false"/>
                <w:bCs w:val="false"/>
                <w:color w:val="1B2438"/>
                <w:sz w:val="19"/>
                <w:szCs w:val="19"/>
              </w:rPr>
              <w:t xml:space="preserve">6 regions: the Aadhaar number (both places it is printed), enrollment number and mobile — each keeping last digits visible</w:t>
            </w:r>
          </w:p>
        </w:tc>
      </w:tr>
      <w:tr>
        <w:tc>
          <w:tcPr>
            <w:tcW w:type="dxa" w:w="4032"/>
            <w:shd w:fill="F5F6FB" w:val="clear"/>
            <w:tcMar>
              <w:top w:type="dxa" w:w="70"/>
              <w:left w:type="dxa" w:w="110"/>
              <w:bottom w:type="dxa" w:w="70"/>
              <w:right w:type="dxa" w:w="110"/>
            </w:tcMar>
          </w:tcPr>
          <w:p>
            <w:pPr>
              <w:spacing w:line="252"/>
            </w:pPr>
            <w:r>
              <w:rPr>
                <w:b w:val="false"/>
                <w:bCs w:val="false"/>
                <w:color w:val="1B2438"/>
                <w:sz w:val="19"/>
                <w:szCs w:val="19"/>
              </w:rPr>
              <w:t xml:space="preserve">Aadhaar card, number printed vertically</w:t>
            </w:r>
          </w:p>
        </w:tc>
        <w:tc>
          <w:tcPr>
            <w:tcW w:type="dxa" w:w="6048"/>
            <w:shd w:fill="F5F6FB" w:val="clear"/>
            <w:tcMar>
              <w:top w:type="dxa" w:w="70"/>
              <w:left w:type="dxa" w:w="110"/>
              <w:bottom w:type="dxa" w:w="70"/>
              <w:right w:type="dxa" w:w="110"/>
            </w:tcMar>
          </w:tcPr>
          <w:p>
            <w:pPr>
              <w:spacing w:line="252"/>
            </w:pPr>
            <w:r>
              <w:rPr>
                <w:b w:val="false"/>
                <w:bCs w:val="false"/>
                <w:color w:val="1B2438"/>
                <w:sz w:val="19"/>
                <w:szCs w:val="19"/>
              </w:rPr>
              <w:t xml:space="preserve">0 regions upright → rotation sweep found it at 90° → bar correctly covers '1234 5678', leaves '9012'</w:t>
            </w:r>
          </w:p>
        </w:tc>
      </w:tr>
      <w:tr>
        <w:tc>
          <w:tcPr>
            <w:tcW w:type="dxa" w:w="4032"/>
            <w:shd w:fill="FFFFFF" w:val="clear"/>
            <w:tcMar>
              <w:top w:type="dxa" w:w="70"/>
              <w:left w:type="dxa" w:w="110"/>
              <w:bottom w:type="dxa" w:w="70"/>
              <w:right w:type="dxa" w:w="110"/>
            </w:tcMar>
          </w:tcPr>
          <w:p>
            <w:pPr>
              <w:spacing w:line="252"/>
            </w:pPr>
            <w:r>
              <w:rPr>
                <w:b w:val="false"/>
                <w:bCs w:val="false"/>
                <w:color w:val="1B2438"/>
                <w:sz w:val="19"/>
                <w:szCs w:val="19"/>
              </w:rPr>
              <w:t xml:space="preserve">PAN card (PDF scan)</w:t>
            </w:r>
          </w:p>
        </w:tc>
        <w:tc>
          <w:tcPr>
            <w:tcW w:type="dxa" w:w="6048"/>
            <w:shd w:fill="FFFFFF" w:val="clear"/>
            <w:tcMar>
              <w:top w:type="dxa" w:w="70"/>
              <w:left w:type="dxa" w:w="110"/>
              <w:bottom w:type="dxa" w:w="70"/>
              <w:right w:type="dxa" w:w="110"/>
            </w:tcMar>
          </w:tcPr>
          <w:p>
            <w:pPr>
              <w:spacing w:line="252"/>
            </w:pPr>
            <w:r>
              <w:rPr>
                <w:b w:val="false"/>
                <w:bCs w:val="false"/>
                <w:color w:val="1B2438"/>
                <w:sz w:val="19"/>
                <w:szCs w:val="19"/>
              </w:rPr>
              <w:t xml:space="preserve">1 region: PAN masked to '…234F'</w:t>
            </w:r>
          </w:p>
        </w:tc>
      </w:tr>
      <w:tr>
        <w:tc>
          <w:tcPr>
            <w:tcW w:type="dxa" w:w="4032"/>
            <w:shd w:fill="F5F6FB" w:val="clear"/>
            <w:tcMar>
              <w:top w:type="dxa" w:w="70"/>
              <w:left w:type="dxa" w:w="110"/>
              <w:bottom w:type="dxa" w:w="70"/>
              <w:right w:type="dxa" w:w="110"/>
            </w:tcMar>
          </w:tcPr>
          <w:p>
            <w:pPr>
              <w:spacing w:line="252"/>
            </w:pPr>
            <w:r>
              <w:rPr>
                <w:b w:val="false"/>
                <w:bCs w:val="false"/>
                <w:color w:val="1B2438"/>
                <w:sz w:val="19"/>
                <w:szCs w:val="19"/>
              </w:rPr>
              <w:t xml:space="preserve">Fake payslip</w:t>
            </w:r>
          </w:p>
        </w:tc>
        <w:tc>
          <w:tcPr>
            <w:tcW w:type="dxa" w:w="6048"/>
            <w:shd w:fill="F5F6FB" w:val="clear"/>
            <w:tcMar>
              <w:top w:type="dxa" w:w="70"/>
              <w:left w:type="dxa" w:w="110"/>
              <w:bottom w:type="dxa" w:w="70"/>
              <w:right w:type="dxa" w:w="110"/>
            </w:tcMar>
          </w:tcPr>
          <w:p>
            <w:pPr>
              <w:spacing w:line="252"/>
            </w:pPr>
            <w:r>
              <w:rPr>
                <w:b w:val="false"/>
                <w:bCs w:val="false"/>
                <w:color w:val="1B2438"/>
                <w:sz w:val="19"/>
                <w:szCs w:val="19"/>
              </w:rPr>
              <w:t xml:space="preserve">1 region: the placeholder account number '123456789'</w:t>
            </w:r>
          </w:p>
        </w:tc>
      </w:tr>
    </w:tbl>
    <w:p>
      <w:pPr>
        <w:pStyle w:val="Heading1"/>
        <w:spacing w:after="170" w:before="340"/>
      </w:pPr>
      <w:r>
        <w:t xml:space="preserve">5. Libraries used, and production alternatives</w:t>
      </w:r>
    </w:p>
    <w:tbl>
      <w:tblPr>
        <w:tblW w:type="dxa" w:w="10080"/>
        <w:tblBorders>
          <w:top w:val="single" w:color="C9CEDD" w:sz="4"/>
          <w:left w:val="single" w:color="C9CEDD" w:sz="4"/>
          <w:bottom w:val="single" w:color="C9CEDD" w:sz="4"/>
          <w:right w:val="single" w:color="C9CEDD" w:sz="4"/>
          <w:insideH w:val="single" w:color="C9CEDD" w:sz="4"/>
          <w:insideV w:val="single" w:color="C9CEDD" w:sz="4"/>
        </w:tblBorders>
      </w:tblPr>
      <w:tblGrid>
        <w:gridCol w:w="2419"/>
        <w:gridCol w:w="3427"/>
        <w:gridCol w:w="4234"/>
      </w:tblGrid>
      <w:tr>
        <w:trPr>
          <w:tblHeader/>
        </w:trPr>
        <w:tc>
          <w:tcPr>
            <w:tcW w:type="dxa" w:w="2419"/>
            <w:shd w:fill="31437C" w:val="clear"/>
            <w:tcMar>
              <w:top w:type="dxa" w:w="70"/>
              <w:left w:type="dxa" w:w="110"/>
              <w:bottom w:type="dxa" w:w="70"/>
              <w:right w:type="dxa" w:w="110"/>
            </w:tcMar>
          </w:tcPr>
          <w:p>
            <w:pPr>
              <w:spacing w:line="252"/>
            </w:pPr>
            <w:r>
              <w:rPr>
                <w:b/>
                <w:bCs/>
                <w:color w:val="FFFFFF"/>
                <w:sz w:val="19"/>
                <w:szCs w:val="19"/>
              </w:rPr>
              <w:t xml:space="preserve">Library (version)</w:t>
            </w:r>
          </w:p>
        </w:tc>
        <w:tc>
          <w:tcPr>
            <w:tcW w:type="dxa" w:w="3427"/>
            <w:shd w:fill="31437C" w:val="clear"/>
            <w:tcMar>
              <w:top w:type="dxa" w:w="70"/>
              <w:left w:type="dxa" w:w="110"/>
              <w:bottom w:type="dxa" w:w="70"/>
              <w:right w:type="dxa" w:w="110"/>
            </w:tcMar>
          </w:tcPr>
          <w:p>
            <w:pPr>
              <w:spacing w:line="252"/>
            </w:pPr>
            <w:r>
              <w:rPr>
                <w:b/>
                <w:bCs/>
                <w:color w:val="FFFFFF"/>
                <w:sz w:val="19"/>
                <w:szCs w:val="19"/>
              </w:rPr>
              <w:t xml:space="preserve">Role here</w:t>
            </w:r>
          </w:p>
        </w:tc>
        <w:tc>
          <w:tcPr>
            <w:tcW w:type="dxa" w:w="4234"/>
            <w:shd w:fill="31437C" w:val="clear"/>
            <w:tcMar>
              <w:top w:type="dxa" w:w="70"/>
              <w:left w:type="dxa" w:w="110"/>
              <w:bottom w:type="dxa" w:w="70"/>
              <w:right w:type="dxa" w:w="110"/>
            </w:tcMar>
          </w:tcPr>
          <w:p>
            <w:pPr>
              <w:spacing w:line="252"/>
            </w:pPr>
            <w:r>
              <w:rPr>
                <w:b/>
                <w:bCs/>
                <w:color w:val="FFFFFF"/>
                <w:sz w:val="19"/>
                <w:szCs w:val="19"/>
              </w:rPr>
              <w:t xml:space="preserve">Production-scale alternatives</w:t>
            </w:r>
          </w:p>
        </w:tc>
      </w:tr>
      <w:tr>
        <w:tc>
          <w:tcPr>
            <w:tcW w:type="dxa" w:w="2419"/>
            <w:shd w:fill="FFFFFF" w:val="clear"/>
            <w:tcMar>
              <w:top w:type="dxa" w:w="70"/>
              <w:left w:type="dxa" w:w="110"/>
              <w:bottom w:type="dxa" w:w="70"/>
              <w:right w:type="dxa" w:w="110"/>
            </w:tcMar>
          </w:tcPr>
          <w:p>
            <w:pPr>
              <w:spacing w:line="252"/>
            </w:pPr>
            <w:r>
              <w:rPr>
                <w:b w:val="false"/>
                <w:bCs w:val="false"/>
                <w:color w:val="1B2438"/>
                <w:sz w:val="19"/>
                <w:szCs w:val="19"/>
              </w:rPr>
              <w:t xml:space="preserve">RapidOCR (rapidocr-onnxruntime 1.2.3)</w:t>
            </w:r>
          </w:p>
        </w:tc>
        <w:tc>
          <w:tcPr>
            <w:tcW w:type="dxa" w:w="3427"/>
            <w:shd w:fill="FFFFFF" w:val="clear"/>
            <w:tcMar>
              <w:top w:type="dxa" w:w="70"/>
              <w:left w:type="dxa" w:w="110"/>
              <w:bottom w:type="dxa" w:w="70"/>
              <w:right w:type="dxa" w:w="110"/>
            </w:tcMar>
          </w:tcPr>
          <w:p>
            <w:pPr>
              <w:spacing w:line="252"/>
            </w:pPr>
            <w:r>
              <w:rPr>
                <w:b w:val="false"/>
                <w:bCs w:val="false"/>
                <w:color w:val="1B2438"/>
                <w:sz w:val="19"/>
                <w:szCs w:val="19"/>
              </w:rPr>
              <w:t xml:space="preserve">Word boxes + text for pattern detection</w:t>
            </w:r>
          </w:p>
        </w:tc>
        <w:tc>
          <w:tcPr>
            <w:tcW w:type="dxa" w:w="4234"/>
            <w:shd w:fill="FFFFFF" w:val="clear"/>
            <w:tcMar>
              <w:top w:type="dxa" w:w="70"/>
              <w:left w:type="dxa" w:w="110"/>
              <w:bottom w:type="dxa" w:w="70"/>
              <w:right w:type="dxa" w:w="110"/>
            </w:tcMar>
          </w:tcPr>
          <w:p>
            <w:pPr>
              <w:spacing w:line="252"/>
            </w:pPr>
            <w:r>
              <w:rPr>
                <w:b w:val="false"/>
                <w:bCs w:val="false"/>
                <w:color w:val="1B2438"/>
                <w:sz w:val="19"/>
                <w:szCs w:val="19"/>
              </w:rPr>
              <w:t xml:space="preserve">Tesseract 5 image_to_data (the reference Aadhaar-masking project's approach; CPU-cheap), PaddleOCR (fast + better boxes), AWS Textract WORD geometry</w:t>
            </w:r>
          </w:p>
        </w:tc>
      </w:tr>
      <w:tr>
        <w:tc>
          <w:tcPr>
            <w:tcW w:type="dxa" w:w="2419"/>
            <w:shd w:fill="F5F6FB" w:val="clear"/>
            <w:tcMar>
              <w:top w:type="dxa" w:w="70"/>
              <w:left w:type="dxa" w:w="110"/>
              <w:bottom w:type="dxa" w:w="70"/>
              <w:right w:type="dxa" w:w="110"/>
            </w:tcMar>
          </w:tcPr>
          <w:p>
            <w:pPr>
              <w:spacing w:line="252"/>
            </w:pPr>
            <w:r>
              <w:rPr>
                <w:b w:val="false"/>
                <w:bCs w:val="false"/>
                <w:color w:val="1B2438"/>
                <w:sz w:val="19"/>
                <w:szCs w:val="19"/>
              </w:rPr>
              <w:t xml:space="preserve">Pillow 11.1.0</w:t>
            </w:r>
          </w:p>
        </w:tc>
        <w:tc>
          <w:tcPr>
            <w:tcW w:type="dxa" w:w="3427"/>
            <w:shd w:fill="F5F6FB" w:val="clear"/>
            <w:tcMar>
              <w:top w:type="dxa" w:w="70"/>
              <w:left w:type="dxa" w:w="110"/>
              <w:bottom w:type="dxa" w:w="70"/>
              <w:right w:type="dxa" w:w="110"/>
            </w:tcMar>
          </w:tcPr>
          <w:p>
            <w:pPr>
              <w:spacing w:line="252"/>
            </w:pPr>
            <w:r>
              <w:rPr>
                <w:b w:val="false"/>
                <w:bCs w:val="false"/>
                <w:color w:val="1B2438"/>
                <w:sz w:val="19"/>
                <w:szCs w:val="19"/>
              </w:rPr>
              <w:t xml:space="preserve">Drawing the redaction bars; encoding the masked JPEG</w:t>
            </w:r>
          </w:p>
        </w:tc>
        <w:tc>
          <w:tcPr>
            <w:tcW w:type="dxa" w:w="4234"/>
            <w:shd w:fill="F5F6FB" w:val="clear"/>
            <w:tcMar>
              <w:top w:type="dxa" w:w="70"/>
              <w:left w:type="dxa" w:w="110"/>
              <w:bottom w:type="dxa" w:w="70"/>
              <w:right w:type="dxa" w:w="110"/>
            </w:tcMar>
          </w:tcPr>
          <w:p>
            <w:pPr>
              <w:spacing w:line="252"/>
            </w:pPr>
            <w:r>
              <w:rPr>
                <w:b w:val="false"/>
                <w:bCs w:val="false"/>
                <w:color w:val="1B2438"/>
                <w:sz w:val="19"/>
                <w:szCs w:val="19"/>
              </w:rPr>
              <w:t xml:space="preserve">Same; OpenCV rectangles equally fine</w:t>
            </w:r>
          </w:p>
        </w:tc>
      </w:tr>
      <w:tr>
        <w:tc>
          <w:tcPr>
            <w:tcW w:type="dxa" w:w="2419"/>
            <w:shd w:fill="FFFFFF" w:val="clear"/>
            <w:tcMar>
              <w:top w:type="dxa" w:w="70"/>
              <w:left w:type="dxa" w:w="110"/>
              <w:bottom w:type="dxa" w:w="70"/>
              <w:right w:type="dxa" w:w="110"/>
            </w:tcMar>
          </w:tcPr>
          <w:p>
            <w:pPr>
              <w:spacing w:line="252"/>
            </w:pPr>
            <w:r>
              <w:rPr>
                <w:b w:val="false"/>
                <w:bCs w:val="false"/>
                <w:color w:val="1B2438"/>
                <w:sz w:val="19"/>
                <w:szCs w:val="19"/>
              </w:rPr>
              <w:t xml:space="preserve">pypdfium2 4.30.1</w:t>
            </w:r>
          </w:p>
        </w:tc>
        <w:tc>
          <w:tcPr>
            <w:tcW w:type="dxa" w:w="3427"/>
            <w:shd w:fill="FFFFFF" w:val="clear"/>
            <w:tcMar>
              <w:top w:type="dxa" w:w="70"/>
              <w:left w:type="dxa" w:w="110"/>
              <w:bottom w:type="dxa" w:w="70"/>
              <w:right w:type="dxa" w:w="110"/>
            </w:tcMar>
          </w:tcPr>
          <w:p>
            <w:pPr>
              <w:spacing w:line="252"/>
            </w:pPr>
            <w:r>
              <w:rPr>
                <w:b w:val="false"/>
                <w:bCs w:val="false"/>
                <w:color w:val="1B2438"/>
                <w:sz w:val="19"/>
                <w:szCs w:val="19"/>
              </w:rPr>
              <w:t xml:space="preserve">PDF page/embedded-scan loading (shared with tampering)</w:t>
            </w:r>
          </w:p>
        </w:tc>
        <w:tc>
          <w:tcPr>
            <w:tcW w:type="dxa" w:w="4234"/>
            <w:shd w:fill="FFFFFF" w:val="clear"/>
            <w:tcMar>
              <w:top w:type="dxa" w:w="70"/>
              <w:left w:type="dxa" w:w="110"/>
              <w:bottom w:type="dxa" w:w="70"/>
              <w:right w:type="dxa" w:w="110"/>
            </w:tcMar>
          </w:tcPr>
          <w:p>
            <w:pPr>
              <w:spacing w:line="252"/>
            </w:pPr>
            <w:r>
              <w:rPr>
                <w:b w:val="false"/>
                <w:bCs w:val="false"/>
                <w:color w:val="1B2438"/>
                <w:sz w:val="19"/>
                <w:szCs w:val="19"/>
              </w:rPr>
              <w:t xml:space="preserve">PyMuPDF (AGPL caveat)</w:t>
            </w:r>
          </w:p>
        </w:tc>
      </w:tr>
      <w:tr>
        <w:tc>
          <w:tcPr>
            <w:tcW w:type="dxa" w:w="2419"/>
            <w:shd w:fill="F5F6FB" w:val="clear"/>
            <w:tcMar>
              <w:top w:type="dxa" w:w="70"/>
              <w:left w:type="dxa" w:w="110"/>
              <w:bottom w:type="dxa" w:w="70"/>
              <w:right w:type="dxa" w:w="110"/>
            </w:tcMar>
          </w:tcPr>
          <w:p>
            <w:pPr>
              <w:spacing w:line="252"/>
            </w:pPr>
            <w:r>
              <w:rPr>
                <w:b w:val="false"/>
                <w:bCs w:val="false"/>
                <w:color w:val="1B2438"/>
                <w:sz w:val="19"/>
                <w:szCs w:val="19"/>
              </w:rPr>
              <w:t xml:space="preserve">Own regex + geometry</w:t>
            </w:r>
          </w:p>
        </w:tc>
        <w:tc>
          <w:tcPr>
            <w:tcW w:type="dxa" w:w="3427"/>
            <w:shd w:fill="F5F6FB" w:val="clear"/>
            <w:tcMar>
              <w:top w:type="dxa" w:w="70"/>
              <w:left w:type="dxa" w:w="110"/>
              <w:bottom w:type="dxa" w:w="70"/>
              <w:right w:type="dxa" w:w="110"/>
            </w:tcMar>
          </w:tcPr>
          <w:p>
            <w:pPr>
              <w:spacing w:line="252"/>
            </w:pPr>
            <w:r>
              <w:rPr>
                <w:b w:val="false"/>
                <w:bCs w:val="false"/>
                <w:color w:val="1B2438"/>
                <w:sz w:val="19"/>
                <w:szCs w:val="19"/>
              </w:rPr>
              <w:t xml:space="preserve">PII patterns (PAN/Aadhaar/account) and last-4 box math</w:t>
            </w:r>
          </w:p>
        </w:tc>
        <w:tc>
          <w:tcPr>
            <w:tcW w:type="dxa" w:w="4234"/>
            <w:shd w:fill="F5F6FB" w:val="clear"/>
            <w:tcMar>
              <w:top w:type="dxa" w:w="70"/>
              <w:left w:type="dxa" w:w="110"/>
              <w:bottom w:type="dxa" w:w="70"/>
              <w:right w:type="dxa" w:w="110"/>
            </w:tcMar>
          </w:tcPr>
          <w:p>
            <w:pPr>
              <w:spacing w:line="252"/>
            </w:pPr>
            <w:r>
              <w:rPr>
                <w:b w:val="false"/>
                <w:bCs w:val="false"/>
                <w:color w:val="1B2438"/>
                <w:sz w:val="19"/>
                <w:szCs w:val="19"/>
              </w:rPr>
              <w:t xml:space="preserve">Microsoft Presidio (text+image PII framework, pluggable recognisers), Google Cloud DLP image redaction, AWS Comprehend PII + Textract; commercial doc-redaction suites</w:t>
            </w:r>
          </w:p>
        </w:tc>
      </w:tr>
    </w:tbl>
    <w:p>
      <w:pPr>
        <w:pStyle w:val="Heading1"/>
        <w:spacing w:after="170" w:before="340"/>
      </w:pPr>
      <w:r>
        <w:t xml:space="preserve">6. Production hardening checklist</w:t>
      </w:r>
    </w:p>
    <w:p>
      <w:pPr>
        <w:pStyle w:val="ListParagraph"/>
        <w:numPr>
          <w:ilvl w:val="0"/>
          <w:numId w:val="2"/>
        </w:numPr>
        <w:spacing w:after="90" w:line="276"/>
      </w:pPr>
      <w:r>
        <w:t xml:space="preserve">Store the masked render server-side and serve it by signed URL — today it travels as a data URI per request</w:t>
      </w:r>
    </w:p>
    <w:p>
      <w:pPr>
        <w:pStyle w:val="ListParagraph"/>
        <w:numPr>
          <w:ilvl w:val="0"/>
          <w:numId w:val="2"/>
        </w:numPr>
        <w:spacing w:after="90" w:line="276"/>
      </w:pPr>
      <w:r>
        <w:t xml:space="preserve">Role-based unmasking: an authorised officer action (audited) to view the unmasked original when genuinely needed</w:t>
      </w:r>
    </w:p>
    <w:p>
      <w:pPr>
        <w:pStyle w:val="ListParagraph"/>
        <w:numPr>
          <w:ilvl w:val="0"/>
          <w:numId w:val="2"/>
        </w:numPr>
        <w:spacing w:after="90" w:line="276"/>
      </w:pPr>
      <w:r>
        <w:t xml:space="preserve">Extend patterns: passport numbers, voter ID (EPIC), driving licence formats, CVV/card patterns on statements</w:t>
      </w:r>
    </w:p>
    <w:p>
      <w:pPr>
        <w:pStyle w:val="ListParagraph"/>
        <w:numPr>
          <w:ilvl w:val="0"/>
          <w:numId w:val="2"/>
        </w:numPr>
        <w:spacing w:after="90" w:line="276"/>
      </w:pPr>
      <w:r>
        <w:t xml:space="preserve">Precompute masks in a background job at upload time for zero hover latency (trade: OCR for every doc, hovered or not)</w:t>
      </w:r>
    </w:p>
    <w:p>
      <w:pPr>
        <w:pStyle w:val="ListParagraph"/>
        <w:numPr>
          <w:ilvl w:val="0"/>
          <w:numId w:val="2"/>
        </w:numPr>
        <w:spacing w:after="90" w:line="276"/>
      </w:pPr>
      <w:r>
        <w:t xml:space="preserve">Add Presidio as a second detector and union the regions — two independent detectors miss less</w:t>
      </w:r>
    </w:p>
    <w:p>
      <w:pPr>
        <w:pStyle w:val="ListParagraph"/>
        <w:numPr>
          <w:ilvl w:val="0"/>
          <w:numId w:val="2"/>
        </w:numPr>
        <w:spacing w:after="90" w:line="276"/>
      </w:pPr>
      <w:r>
        <w:t xml:space="preserve">DPDP Act alignment: masking-by-default is a strong story; log every unmasked access</w:t>
      </w:r>
    </w:p>
    <w:sectPr>
      <w:footerReference w:type="default" r:id="rId7"/>
      <w:headerReference w:type="default" r:id="rId9"/>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172"/>
        <w:sz w:val="16"/>
        <w:szCs w:val="16"/>
      </w:rPr>
      <w:t xml:space="preserve">Document PII Masking — In-Depth Workflow   ·   page </w:t>
    </w:r>
    <w:r>
      <w:rPr>
        <w:color w:val="5A61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213241" cy="274320"/>
          <wp:docPr id="1" name="FinSight logo" descr="FinSight AI logo"/>
          <wp:cNvGraphicFramePr>
            <a:graphicFrameLocks noChangeAspect="1"/>
          </wp:cNvGraphicFramePr>
          <a:graphic>
            <a:graphicData uri="http://schemas.openxmlformats.org/drawingml/2006/picture">
              <pic:pic>
                <pic:nvPicPr>
                  <pic:cNvPr id="0" name="mark.png"/>
                  <pic:cNvPicPr/>
                </pic:nvPicPr>
                <pic:blipFill>
                  <a:blip r:embed="rId1"/>
                  <a:stretch>
                    <a:fillRect/>
                  </a:stretch>
                </pic:blipFill>
                <pic:spPr>
                  <a:xfrm>
                    <a:off x="0" y="0"/>
                    <a:ext cx="213241" cy="274320"/>
                  </a:xfrm>
                  <a:prstGeom prst="rect"/>
                </pic:spPr>
              </pic:pic>
            </a:graphicData>
          </a:graphic>
        </wp:inline>
      </w:drawing>
    </w:r>
    <w:r>
      <w:t xml:space="preserve">  </w:t>
    </w:r>
    <w:r>
      <w:rPr>
        <w:b/>
        <w:color w:val="64748B"/>
        <w:sz w:val="18"/>
        <w:position w:val="14"/>
      </w:rPr>
      <w:t>FinSight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31437C"/>
      <w:sz w:val="32"/>
      <w:szCs w:val="32"/>
    </w:rPr>
  </w:style>
  <w:style w:type="paragraph" w:styleId="Heading2">
    <w:name w:val="Heading 2"/>
    <w:basedOn w:val="Normal"/>
    <w:next w:val="Normal"/>
    <w:qFormat/>
    <w:rPr>
      <w:rFonts w:ascii="Calibri" w:cs="Calibri" w:eastAsia="Calibri" w:hAnsi="Calibri"/>
      <w:b/>
      <w:bCs/>
      <w:color w:val="1B2438"/>
      <w:sz w:val="26"/>
      <w:szCs w:val="26"/>
    </w:rPr>
  </w:style>
  <w:style w:type="paragraph" w:styleId="Heading3">
    <w:name w:val="Heading 3"/>
    <w:basedOn w:val="Normal"/>
    <w:next w:val="Normal"/>
    <w:qFormat/>
    <w:rPr>
      <w:rFonts w:ascii="Calibri" w:cs="Calibri" w:eastAsia="Calibri" w:hAnsi="Calibri"/>
      <w:b/>
      <w:bCs/>
      <w:color w:val="5A6172"/>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2026-07-16T16:05:18.336Z</dcterms:created>
  <dcterms:modified xsi:type="dcterms:W3CDTF">2026-07-16T16:05:18.336Z</dcterms:modified>
</cp:coreProperties>
</file>

<file path=docProps/custom.xml><?xml version="1.0" encoding="utf-8"?>
<Properties xmlns="http://schemas.openxmlformats.org/officeDocument/2006/custom-properties" xmlns:vt="http://schemas.openxmlformats.org/officeDocument/2006/docPropsVTypes"/>
</file>