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/>
          <w:bCs/>
          <w:caps/>
          <w:color w:val="31437C"/>
          <w:sz w:val="20"/>
          <w:szCs w:val="20"/>
        </w:rPr>
        <w:t xml:space="preserve">FinSight — NBFC Lending Platform</w:t>
      </w:r>
    </w:p>
    <w:p>
      <w:pPr>
        <w:spacing w:after="120"/>
      </w:pPr>
      <w:r>
        <w:rPr>
          <w:b/>
          <w:bCs/>
          <w:color w:val="1B2438"/>
          <w:sz w:val="52"/>
          <w:szCs w:val="52"/>
        </w:rPr>
        <w:t xml:space="preserve">Cross-Document Face Matching — In-Depth Workflow</w:t>
      </w:r>
    </w:p>
    <w:p>
      <w:pPr>
        <w:spacing w:after="60"/>
      </w:pPr>
      <w:r>
        <w:rPr>
          <w:color w:val="5A6172"/>
          <w:sz w:val="23"/>
          <w:szCs w:val="23"/>
        </w:rPr>
        <w:t xml:space="preserve">How the same-person check works: YuNet detection with orientation sweep, contrast recovery for washed-out ID photos, SFace embeddings, calibrated verdict bands, and the low-quality honesty rule.</w:t>
      </w:r>
    </w:p>
    <w:p>
      <w:pPr>
        <w:pBdr>
          <w:bottom w:val="single" w:color="C9CEDD" w:sz="8"/>
        </w:pBdr>
        <w:spacing w:after="320"/>
      </w:pPr>
      <w:r>
        <w:rPr>
          <w:color w:val="5A6172"/>
          <w:sz w:val="18"/>
          <w:szCs w:val="18"/>
        </w:rPr>
        <w:t xml:space="preserve">Engineering workflow report  ·  13 July 2026  ·  generated from the implemented codebase</w:t>
      </w:r>
    </w:p>
    <w:p>
      <w:pPr>
        <w:pStyle w:val="Heading1"/>
        <w:spacing w:after="170" w:before="340"/>
      </w:pPr>
      <w:r>
        <w:t xml:space="preserve">1. What this module does</w:t>
      </w:r>
    </w:p>
    <w:p>
      <w:pPr>
        <w:spacing w:after="140" w:line="288"/>
      </w:pPr>
      <w:r>
        <w:t xml:space="preserve">A classic loan-fraud pattern is document mixing: a genuine PAN card from one person, an Aadhaar from another, a payslip from a third. This module answers one question across every uploaded document: is the SAME person on all of them? It finds the face on each document (whatever way the document is turned), measures how similar each pair of faces is, and reports a per-pair verdict plus one overall verdict — shown automatically on the Review &amp; Submit page as the “Identity Verification — Face Match” card and as a row in the Submission Readiness checklist.</w:t>
      </w:r>
    </w:p>
    <w:p>
      <w:pPr>
        <w:spacing w:after="140" w:line="288"/>
      </w:pPr>
      <w:r>
        <w:rPr>
          <w:b/>
          <w:bCs/>
        </w:rPr>
        <w:t xml:space="preserve">Trust posture: </w:t>
      </w:r>
      <w:r>
        <w:t xml:space="preserve">like every check in the platform it is evidence for a human, never an auto-reject. ID-card photos are small, old and heavily compressed, so the verdict bands are deliberately conservative and every raw similarity score is shown to the reviewer.</w:t>
      </w:r>
    </w:p>
    <w:p>
      <w:pPr>
        <w:pStyle w:val="Heading3"/>
        <w:spacing w:after="110" w:before="220"/>
      </w:pPr>
      <w:r>
        <w:t xml:space="preserve">Where it lives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color w:val="31437C"/>
          <w:sz w:val="19"/>
          <w:szCs w:val="19"/>
        </w:rPr>
        <w:t xml:space="preserve">api/app/face/service.py</w:t>
      </w:r>
      <w:r>
        <w:t xml:space="preserve">  —  detection, orientation sweep, enhancement, embedding, pairwise verdicts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color w:val="31437C"/>
          <w:sz w:val="19"/>
          <w:szCs w:val="19"/>
        </w:rPr>
        <w:t xml:space="preserve">api/app/face/models/</w:t>
      </w:r>
      <w:r>
        <w:t xml:space="preserve">  —  two ONNX files: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face_detection_yunet_2023mar.onnx</w:t>
      </w:r>
      <w:r>
        <w:t xml:space="preserve"> (232 KB) and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face_recognition_sface_2021dec.onnx</w:t>
      </w:r>
      <w:r>
        <w:t xml:space="preserve"> (38 MB), downloaded from the official opencv_zoo — NOT installed by pip; a fresh clone must re-download them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color w:val="31437C"/>
          <w:sz w:val="19"/>
          <w:szCs w:val="19"/>
        </w:rPr>
        <w:t xml:space="preserve">POST /face/verify</w:t>
      </w:r>
      <w:r>
        <w:t xml:space="preserve">  —  all documents in one multipart call (doc_types csv + files list)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onsolas" w:cs="Consolas" w:eastAsia="Consolas" w:hAnsi="Consolas"/>
          <w:color w:val="31437C"/>
          <w:sz w:val="19"/>
          <w:szCs w:val="19"/>
        </w:rPr>
        <w:t xml:space="preserve">verifyFaces() + Identity Verification card</w:t>
      </w:r>
      <w:r>
        <w:t xml:space="preserve">  —  frontend, auto-runs on entering Review &amp; Submit, cached per exact file set</w:t>
      </w:r>
    </w:p>
    <w:p>
      <w:pPr>
        <w:pStyle w:val="Heading1"/>
        <w:spacing w:after="170" w:before="340"/>
      </w:pPr>
      <w:r>
        <w:t xml:space="preserve">2. Model choice: why YuNet + SFace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Zero new dependencies</w:t>
      </w:r>
      <w:r>
        <w:t xml:space="preserve">  — both run through classes already inside opencv-python-headless 4.10 (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cv2.FaceDetectorYN</w:t>
      </w:r>
      <w:r>
        <w:t xml:space="preserve">,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cv2.FaceRecognizerSF</w:t>
      </w:r>
      <w:r>
        <w:t xml:space="preserve">); no dlib compilation, no GPU requirement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Tiny and fast</w:t>
      </w:r>
      <w:r>
        <w:t xml:space="preserve">  — 232 KB detector + 38 MB embedder; the full 5-document verification measured ~2 s on CPU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Officially validated threshold</w:t>
      </w:r>
      <w:r>
        <w:t xml:space="preserve">  — SFace ships with a published cosine decision threshold (0.363) validated on LFW, so the match boundary is not a number we invented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Landmarks included</w:t>
      </w:r>
      <w:r>
        <w:t xml:space="preserve">  — YuNet returns 5 facial landmarks per face, which SFace's alignCrop needs, and which give us the face's tilt for free</w:t>
      </w:r>
    </w:p>
    <w:p>
      <w:pPr>
        <w:pStyle w:val="Heading1"/>
        <w:spacing w:after="170" w:before="340"/>
      </w:pPr>
      <w:r>
        <w:t xml:space="preserve">3. Step-by-step walkthrough</w:t>
      </w:r>
    </w:p>
    <w:p>
      <w:pPr>
        <w:pStyle w:val="Heading2"/>
        <w:spacing w:after="140" w:before="280"/>
      </w:pPr>
      <w:r>
        <w:t xml:space="preserve">Step 1 — One call, all documents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How:  </w:t>
      </w:r>
      <w:r>
        <w:t xml:space="preserve">The review page collects every kept upload and sends them together: doc_types as a comma list in the same order as the files. The backend loads each document via the shared loader (PDF embedded scan → page render → raw image; long edge capped) and processes them in sequence under a lock — OpenCV model objects are not thread-safe.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Why one call:  </w:t>
      </w:r>
      <w:r>
        <w:t xml:space="preserve">Pairwise comparison needs all embeddings in one place anyway; N separate calls would just re-load the models' session N times.</w:t>
      </w:r>
    </w:p>
    <w:p>
      <w:pPr>
        <w:pStyle w:val="Heading2"/>
        <w:spacing w:after="140" w:before="280"/>
      </w:pPr>
      <w:r>
        <w:t xml:space="preserve">Step 2 — Detection with an orientation sweep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Concept:  </w:t>
      </w:r>
      <w:r>
        <w:t xml:space="preserve">Requirement #1 was “correctly identify where the face is and in what orientation”. Detectors are trained on upright faces — a sideways card photo scores near zero. So the document is tried in all four 90° rotations and the rotation whose strongest detection wins is taken as the document's face orientation.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Technically:  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det = cv2.FaceDetectorYN.create(yunet.onnx, (320,320), score=0.6, nms=0.3)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for k in [0°, 90°, 180°, 270°]: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  rotate image, det.setInputSize(w,h), det.detect()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  each detection row = [x, y, w, h,  5 landmark pairs,  confidence]  (15 floats)</w:t>
      </w:r>
    </w:p>
    <w:p>
      <w:pPr>
        <w:shd w:fill="F2F4FA" w:val="clear"/>
        <w:spacing w:after="16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keep the rotation with the highest top-face confidence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score threshold 0.6, not the 0.9 default</w:t>
      </w:r>
      <w:r>
        <w:t xml:space="preserve">  — ID-card photos are small; at 0.9 YuNet misses them entirely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input capped at 1280 px</w:t>
      </w:r>
      <w:r>
        <w:t xml:space="preserve">  — detection boxes are scaled back to full resolution afterwards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orientation is reported, not just fixed</w:t>
      </w:r>
      <w:r>
        <w:t xml:space="preserve">  —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rotation_to_upright</w:t>
      </w:r>
      <w:r>
        <w:t xml:space="preserve"> ∈ {0, 90, 180, 270} tells the UI “sideways in the document”; the residual in-plane tilt (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roll_degrees</w:t>
      </w:r>
      <w:r>
        <w:t xml:space="preserve">) comes from the eye-line landmarks: atan2(leftEye − rightEye)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up to 4 faces per document</w:t>
      </w:r>
      <w:r>
        <w:t xml:space="preserve">  — Aadhaar cards carry a small ghost photo besides the main one; all are embedded, the best pair wins later</w:t>
      </w:r>
    </w:p>
    <w:p>
      <w:pPr>
        <w:pStyle w:val="Heading2"/>
        <w:spacing w:after="140" w:before="280"/>
      </w:pPr>
      <w:r>
        <w:t xml:space="preserve">Step 3 — Contrast-recovery fallback for washed-out photos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The real case that forced this:  </w:t>
      </w:r>
      <w:r>
        <w:t xml:space="preserve">The applicant's genuine PAN card photo is overexposed to near-white — undetectable even at threshold 0.3.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How:  </w:t>
      </w:r>
      <w:r>
        <w:t xml:space="preserve">If NO rotation finds a face, the image is enhanced — CLAHE on the L channel (clip 3.0, 8×8 tiles) to restore local contrast, then gamma 2.5 darkening to pull the blown highlights back — and the whole rotation sweep runs again. Measured on that PAN: undetectable → detected at confidence 0.83.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The honesty rule attached to it:  </w:t>
      </w:r>
      <w:r>
        <w:t xml:space="preserve">any face found only through enhancement (or with confidence &lt; 0.7) is tagged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quality: low</w:t>
      </w:r>
      <w:r>
        <w:t xml:space="preserve"> — and a low-quality face is allowed to CONFIRM a match but never to assert a MISMATCH. A white blob that scores 0.17 against a crisp Aadhaar photo is a photo-quality fact, not an identity fact; the verdict becomes “uncertain — a human should compare”, never “different person”. This single rule is what keeps the module from manufacturing fraud alerts out of bad card printing.</w:t>
      </w:r>
    </w:p>
    <w:p>
      <w:pPr>
        <w:pStyle w:val="Heading2"/>
        <w:spacing w:after="140" w:before="280"/>
      </w:pPr>
      <w:r>
        <w:t xml:space="preserve">Step 4 — Alignment and embedding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Concept:  </w:t>
      </w:r>
      <w:r>
        <w:t xml:space="preserve">Raw pixel comparison is useless — lighting, pose and print quality differ. Instead every face is converted to a 128-number “fingerprint” (embedding) such that the same person's faces land close together, different people far apart.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Technically: 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rec.alignCrop(image, detection_row)</w:t>
      </w:r>
      <w:r>
        <w:t xml:space="preserve"> uses the 5 landmarks to warp the face to a canonical 112×112 crop (eyes level, standard scale) — alignment is what makes embeddings comparable.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rec.feature(aligned)</w:t>
      </w:r>
      <w:r>
        <w:t xml:space="preserve"> then produces the 128-d SFace vector. Embeddings never leave the server; they are stripped from the API response.</w:t>
      </w:r>
    </w:p>
    <w:p>
      <w:pPr>
        <w:pStyle w:val="Heading2"/>
        <w:spacing w:after="140" w:before="280"/>
      </w:pPr>
      <w:r>
        <w:t xml:space="preserve">Step 5 — Pairwise similarity and verdict bands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similarity = rec.match(f1, f2, FR_COSINE)      # cosine, roughly −1 … 1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≥ 0.363   →  match        (SFace's officially validated same-person threshold)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&lt; 0.25    →  different    (only if BOTH faces are quality ok)</w:t>
      </w:r>
    </w:p>
    <w:p>
      <w:pPr>
        <w:shd w:fill="F2F4FA" w:val="clear"/>
        <w:spacing w:after="16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otherwise →  uncertain    (and low-quality pairs can never be 'different')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Pair selection:  </w:t>
      </w:r>
      <w:r>
        <w:t xml:space="preserve">For each pair of documents, every face of A is compared with every face of B and the best-scoring pair represents that document pair — the ghost photo never drags down a good main-photo match.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Overall verdict:  </w:t>
      </w:r>
      <w:r>
        <w:t xml:space="preserve">insufficient (fewer than 2 documents had a usable face) · mismatch (any confident 'different' pair) · match (all pairs match) · uncertain (anything else). The summary sentence is written for a human: “The face on aadhaar does not match the face on itr (similarity 0.25) — the documents may belong to different people.”</w:t>
      </w:r>
    </w:p>
    <w:p>
      <w:pPr>
        <w:pStyle w:val="Heading2"/>
        <w:spacing w:after="140" w:before="280"/>
      </w:pPr>
      <w:r>
        <w:t xml:space="preserve">Step 6 — What the reviewer sees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Identity Verification card, auto-loaded on the review step: overall banner, one tile per document with the face thumbnail (JPEG crop with margin), “Face found · sideways in the document · low photo quality” captions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Per-pair rows: similarity bar, the numeric score, and the verdict chip (Same person / Different / Unclear) plus the low-quality note when it applied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row in Submission Readiness: “Identity (face) match — Same person on all documents / Inconclusive / Mismatch — must be reviewed”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Cached per exact file set — replacing a document re-runs it, revisiting the step does not</w:t>
      </w:r>
    </w:p>
    <w:p>
      <w:pPr>
        <w:pStyle w:val="Heading1"/>
        <w:spacing w:after="170" w:before="340"/>
      </w:pPr>
      <w:r>
        <w:t xml:space="preserve">4. Verified results (ground truth)</w:t>
      </w:r>
    </w:p>
    <w:tbl>
      <w:tblPr>
        <w:tblW w:type="dxa" w:w="10080"/>
        <w:tblBorders>
          <w:top w:val="single" w:color="C9CEDD" w:sz="4"/>
          <w:left w:val="single" w:color="C9CEDD" w:sz="4"/>
          <w:bottom w:val="single" w:color="C9CEDD" w:sz="4"/>
          <w:right w:val="single" w:color="C9CEDD" w:sz="4"/>
          <w:insideH w:val="single" w:color="C9CEDD" w:sz="4"/>
          <w:insideV w:val="single" w:color="C9CEDD" w:sz="4"/>
        </w:tblBorders>
      </w:tblPr>
      <w:tblGrid>
        <w:gridCol w:w="4032"/>
        <w:gridCol w:w="2016"/>
        <w:gridCol w:w="1512"/>
        <w:gridCol w:w="2520"/>
      </w:tblGrid>
      <w:tr>
        <w:trPr>
          <w:tblHeader/>
        </w:trPr>
        <w:tc>
          <w:tcPr>
            <w:tcW w:type="dxa" w:w="4032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Pair</w:t>
            </w:r>
          </w:p>
        </w:tc>
        <w:tc>
          <w:tcPr>
            <w:tcW w:type="dxa" w:w="2016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Truth</w:t>
            </w:r>
          </w:p>
        </w:tc>
        <w:tc>
          <w:tcPr>
            <w:tcW w:type="dxa" w:w="1512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Similarity</w:t>
            </w:r>
          </w:p>
        </w:tc>
        <w:tc>
          <w:tcPr>
            <w:tcW w:type="dxa" w:w="2520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4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Aadhaar (applicant) ↔ Aadhaar (person B)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different</w:t>
            </w:r>
          </w:p>
        </w:tc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0.25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different ✓</w:t>
            </w:r>
          </w:p>
        </w:tc>
      </w:tr>
      <w:tr>
        <w:tc>
          <w:tcPr>
            <w:tcW w:type="dxa" w:w="403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Aadhaar (applicant) ↔ Aadhaar (person C)</w:t>
            </w:r>
          </w:p>
        </w:tc>
        <w:tc>
          <w:tcPr>
            <w:tcW w:type="dxa" w:w="2016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different</w:t>
            </w:r>
          </w:p>
        </w:tc>
        <w:tc>
          <w:tcPr>
            <w:tcW w:type="dxa" w:w="151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0.05</w:t>
            </w:r>
          </w:p>
        </w:tc>
        <w:tc>
          <w:tcPr>
            <w:tcW w:type="dxa" w:w="252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different ✓</w:t>
            </w:r>
          </w:p>
        </w:tc>
      </w:tr>
      <w:tr>
        <w:tc>
          <w:tcPr>
            <w:tcW w:type="dxa" w:w="4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Person B ↔ person C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different</w:t>
            </w:r>
          </w:p>
        </w:tc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0.16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different ✓</w:t>
            </w:r>
          </w:p>
        </w:tc>
      </w:tr>
      <w:tr>
        <w:tc>
          <w:tcPr>
            <w:tcW w:type="dxa" w:w="403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PAN (applicant, washed-out) ↔ Aadhaar (applicant)</w:t>
            </w:r>
          </w:p>
        </w:tc>
        <w:tc>
          <w:tcPr>
            <w:tcW w:type="dxa" w:w="2016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same</w:t>
            </w:r>
          </w:p>
        </w:tc>
        <w:tc>
          <w:tcPr>
            <w:tcW w:type="dxa" w:w="151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0.17</w:t>
            </w:r>
          </w:p>
        </w:tc>
        <w:tc>
          <w:tcPr>
            <w:tcW w:type="dxa" w:w="252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uncertain + human-review note ✓ (low-quality rule — correctly refuses to claim mismatch)</w:t>
            </w:r>
          </w:p>
        </w:tc>
      </w:tr>
      <w:tr>
        <w:tc>
          <w:tcPr>
            <w:tcW w:type="dxa" w:w="4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Payslip / dealer quotation</w:t>
            </w:r>
          </w:p>
        </w:tc>
        <w:tc>
          <w:tcPr>
            <w:tcW w:type="dxa" w:w="20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no face</w:t>
            </w:r>
          </w:p>
        </w:tc>
        <w:tc>
          <w:tcPr>
            <w:tcW w:type="dxa" w:w="151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—</w:t>
            </w:r>
          </w:p>
        </w:tc>
        <w:tc>
          <w:tcPr>
            <w:tcW w:type="dxa" w:w="25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correctly no face found</w:t>
            </w:r>
          </w:p>
        </w:tc>
      </w:tr>
    </w:tbl>
    <w:p>
      <w:pPr>
        <w:pStyle w:val="Heading1"/>
        <w:spacing w:after="170" w:before="340"/>
      </w:pPr>
      <w:r>
        <w:t xml:space="preserve">5. Libraries used, and production alternatives</w:t>
      </w:r>
    </w:p>
    <w:tbl>
      <w:tblPr>
        <w:tblW w:type="dxa" w:w="10080"/>
        <w:tblBorders>
          <w:top w:val="single" w:color="C9CEDD" w:sz="4"/>
          <w:left w:val="single" w:color="C9CEDD" w:sz="4"/>
          <w:bottom w:val="single" w:color="C9CEDD" w:sz="4"/>
          <w:right w:val="single" w:color="C9CEDD" w:sz="4"/>
          <w:insideH w:val="single" w:color="C9CEDD" w:sz="4"/>
          <w:insideV w:val="single" w:color="C9CEDD" w:sz="4"/>
        </w:tblBorders>
      </w:tblPr>
      <w:tblGrid>
        <w:gridCol w:w="2822"/>
        <w:gridCol w:w="3226"/>
        <w:gridCol w:w="4032"/>
      </w:tblGrid>
      <w:tr>
        <w:trPr>
          <w:tblHeader/>
        </w:trPr>
        <w:tc>
          <w:tcPr>
            <w:tcW w:type="dxa" w:w="2822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 (version)</w:t>
            </w:r>
          </w:p>
        </w:tc>
        <w:tc>
          <w:tcPr>
            <w:tcW w:type="dxa" w:w="3226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here</w:t>
            </w:r>
          </w:p>
        </w:tc>
        <w:tc>
          <w:tcPr>
            <w:tcW w:type="dxa" w:w="4032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Production-scale alternatives</w:t>
            </w:r>
          </w:p>
        </w:tc>
      </w:tr>
      <w:tr>
        <w:tc>
          <w:tcPr>
            <w:tcW w:type="dxa" w:w="28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OpenCV 4.10 FaceDetectorYN + YuNet 2023mar ONNX</w:t>
            </w:r>
          </w:p>
        </w:tc>
        <w:tc>
          <w:tcPr>
            <w:tcW w:type="dxa" w:w="32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Face detection: box + 5 landmarks + confidence</w:t>
            </w:r>
          </w:p>
        </w:tc>
        <w:tc>
          <w:tcPr>
            <w:tcW w:type="dxa" w:w="4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InsightFace SCRFD / RetinaFace (stronger on tiny faces), MediaPipe Face Detection, MTCNN</w:t>
            </w:r>
          </w:p>
        </w:tc>
      </w:tr>
      <w:tr>
        <w:tc>
          <w:tcPr>
            <w:tcW w:type="dxa" w:w="282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OpenCV FaceRecognizerSF + SFace 2021dec ONNX</w:t>
            </w:r>
          </w:p>
        </w:tc>
        <w:tc>
          <w:tcPr>
            <w:tcW w:type="dxa" w:w="3226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Alignment + 128-d embedding + cosine match</w:t>
            </w:r>
          </w:p>
        </w:tc>
        <w:tc>
          <w:tcPr>
            <w:tcW w:type="dxa" w:w="403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InsightFace ArcFace (buffalo_l, 512-d — the industry default, noticeably stronger), FaceNet, AdaFace; cloud: AWS Rekognition CompareFaces, Azure Face (restricted access)</w:t>
            </w:r>
          </w:p>
        </w:tc>
      </w:tr>
      <w:tr>
        <w:tc>
          <w:tcPr>
            <w:tcW w:type="dxa" w:w="28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Own CLAHE + gamma recovery</w:t>
            </w:r>
          </w:p>
        </w:tc>
        <w:tc>
          <w:tcPr>
            <w:tcW w:type="dxa" w:w="32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Rescuing overexposed ID photos</w:t>
            </w:r>
          </w:p>
        </w:tc>
        <w:tc>
          <w:tcPr>
            <w:tcW w:type="dxa" w:w="403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Learned enhancement (GFPGAN/CodeFormer — heavy, alters pixels: use with care as it can hallucinate a face), RetinexNet</w:t>
            </w:r>
          </w:p>
        </w:tc>
      </w:tr>
      <w:tr>
        <w:tc>
          <w:tcPr>
            <w:tcW w:type="dxa" w:w="282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threading.Lock</w:t>
            </w:r>
          </w:p>
        </w:tc>
        <w:tc>
          <w:tcPr>
            <w:tcW w:type="dxa" w:w="3226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OpenCV model objects are not thread-safe</w:t>
            </w:r>
          </w:p>
        </w:tc>
        <w:tc>
          <w:tcPr>
            <w:tcW w:type="dxa" w:w="4032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Per-worker model instances; a dedicated inference service at scale</w:t>
            </w:r>
          </w:p>
        </w:tc>
      </w:tr>
    </w:tbl>
    <w:p>
      <w:pPr>
        <w:pStyle w:val="Heading1"/>
        <w:spacing w:after="170" w:before="340"/>
      </w:pPr>
      <w:r>
        <w:t xml:space="preserve">6. Production hardening checklist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Selfie-to-ID verification: a live selfie at onboarding is a far stronger anchor than card photo ↔ card photo, and solves the washed-out-PAN weakness directly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Liveness / anti-spoofing on that selfie (screen-replay and print-attack detection) — mandated by most KYC standards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Upgrade embeddings to ArcFace 512-d and store them in pgvector with an ANN index — this powers cross-APPLICATION dedupe (the same face applying under five names), designed as identity_matches in the DB schema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Threshold calibration on your own document population (Indian ID card print quality) instead of the LFW-validated default; monitor false-match/false-non-match rates per band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DPDP Act: facial embeddings are biometric personal data — encrypt at rest, define retention, log access</w:t>
      </w:r>
    </w:p>
    <w:sectPr>
      <w:footerReference w:type="default" r:id="rId7"/>
      <w:head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172"/>
        <w:sz w:val="16"/>
        <w:szCs w:val="16"/>
      </w:rPr>
      <w:t xml:space="preserve">Cross-Document Face Matching — In-Depth Workflow   ·   page </w:t>
    </w:r>
    <w:r>
      <w:rPr>
        <w:color w:val="5A61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13241" cy="274320"/>
          <wp:docPr id="1" name="FinSight logo" descr="FinSight AI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241" cy="27432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b/>
        <w:color w:val="64748B"/>
        <w:sz w:val="18"/>
        <w:position w:val="14"/>
      </w:rPr>
      <w:t>FinSight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1437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2438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A617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2026-07-16T16:05:18.462Z</dcterms:created>
  <dcterms:modified xsi:type="dcterms:W3CDTF">2026-07-16T16:05:18.463Z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