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b/>
          <w:bCs/>
          <w:caps/>
          <w:color w:val="31437C"/>
          <w:sz w:val="20"/>
          <w:szCs w:val="20"/>
        </w:rPr>
        <w:t xml:space="preserve">FinSight — NBFC Lending Platform</w:t>
      </w:r>
    </w:p>
    <w:p>
      <w:pPr>
        <w:spacing w:after="120"/>
      </w:pPr>
      <w:r>
        <w:rPr>
          <w:b/>
          <w:bCs/>
          <w:color w:val="1B2438"/>
          <w:sz w:val="52"/>
          <w:szCs w:val="52"/>
        </w:rPr>
        <w:t xml:space="preserve">Fraud Detection System — Architecture &amp; Workflow</w:t>
      </w:r>
    </w:p>
    <w:p>
      <w:pPr>
        <w:spacing w:after="60"/>
      </w:pPr>
      <w:r>
        <w:rPr>
          <w:color w:val="5A6172"/>
          <w:sz w:val="23"/>
          <w:szCs w:val="23"/>
        </w:rPr>
        <w:t xml:space="preserve">How face matching, tampering detection, cross-document checking and field validation combine into one defence-in-depth system — what is built, what the reviewer sees, and how the fusion module combines them into one fraud score.</w:t>
      </w:r>
    </w:p>
    <w:p>
      <w:pPr>
        <w:pBdr>
          <w:bottom w:val="single" w:color="C9CEDD" w:sz="8"/>
        </w:pBdr>
        <w:spacing w:after="320"/>
      </w:pPr>
      <w:r>
        <w:rPr>
          <w:color w:val="5A6172"/>
          <w:sz w:val="18"/>
          <w:szCs w:val="18"/>
        </w:rPr>
        <w:t xml:space="preserve">Engineering workflow report  ·  13 July 2026  ·  generated from the implemented codebase</w:t>
      </w:r>
    </w:p>
    <w:p>
      <w:pPr>
        <w:pStyle w:val="Heading1"/>
        <w:spacing w:after="170" w:before="340"/>
      </w:pPr>
      <w:r>
        <w:t xml:space="preserve">1. The system in one equation</w:t>
      </w:r>
    </w:p>
    <w:p>
      <w:pPr>
        <w:shd w:fill="F2F4FA" w:val="clear"/>
        <w:spacing w:after="0" w:line="240"/>
        <w:ind w:left="240" w:right="240"/>
      </w:pPr>
      <w:r>
        <w:rPr>
          <w:rFonts w:ascii="Consolas" w:cs="Consolas" w:eastAsia="Consolas" w:hAnsi="Consolas"/>
          <w:color w:val="1B2438"/>
          <w:sz w:val="18"/>
          <w:szCs w:val="18"/>
        </w:rPr>
        <w:t xml:space="preserve">FRAUD DETECTION  =  face match  +  document tampering  +  field cross-checking</w:t>
      </w:r>
    </w:p>
    <w:p>
      <w:pPr>
        <w:shd w:fill="F2F4FA" w:val="clear"/>
        <w:spacing w:after="160" w:line="240"/>
        <w:ind w:left="240" w:right="240"/>
      </w:pPr>
      <w:r>
        <w:rPr>
          <w:rFonts w:ascii="Consolas" w:cs="Consolas" w:eastAsia="Consolas" w:hAnsi="Consolas"/>
          <w:color w:val="1B2438"/>
          <w:sz w:val="18"/>
          <w:szCs w:val="18"/>
        </w:rPr>
        <w:t xml:space="preserve">                    +  field validation  (+ dedupe &amp; industry extras)</w:t>
      </w:r>
    </w:p>
    <w:p>
      <w:pPr>
        <w:spacing w:after="140" w:line="288"/>
      </w:pPr>
      <w:r>
        <w:t xml:space="preserve">Fraud detection here is not one model — it is a system of four independent evidence producers, each with its own report in this series, whose outputs converge on the Review &amp; Submit page and are combined into a single fused fraud score. This report explains each input's contract, how they complement each other, what the reviewer sees, and how the fusion module scores them against industry standards.</w:t>
      </w:r>
    </w:p>
    <w:p>
      <w:pPr>
        <w:pBdr>
          <w:left w:val="single" w:color="31437C" w:sz="18"/>
        </w:pBdr>
        <w:shd w:fill="EEF1F9" w:val="clear"/>
        <w:spacing w:after="160" w:before="60" w:line="276"/>
        <w:ind w:left="160" w:right="160"/>
      </w:pPr>
      <w:r>
        <w:rPr>
          <w:i/>
          <w:iCs/>
          <w:color w:val="1B2438"/>
        </w:rPr>
        <w:t xml:space="preserve">Status: all four inputs are BUILT and verified end-to-end, and the fusion module — one weighted score plus case management — combines them into a single assessment; its schema and weights strategy are below. The RBI-guidelines compliance checker is likewise built: a regulatory knowledge base, a rules engine, and a maker-checker approval workflow.</w:t>
      </w:r>
    </w:p>
    <w:p>
      <w:pPr>
        <w:pStyle w:val="Heading1"/>
        <w:spacing w:after="170" w:before="340"/>
      </w:pPr>
      <w:r>
        <w:t xml:space="preserve">2. The four inputs and their contracts</w:t>
      </w:r>
    </w:p>
    <w:p>
      <w:pPr>
        <w:pStyle w:val="Heading2"/>
        <w:spacing w:after="140" w:before="280"/>
      </w:pPr>
      <w:r>
        <w:t xml:space="preserve">2.1  Field validation (per document)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What it contributes:  </w:t>
      </w:r>
      <w:r>
        <w:t xml:space="preserve">Is each extracted value STRUCTURALLY real? PAN/IFSC/GSTIN/PIN regexes, the Aadhaar Verhoeff checksum computed for real, TAN and vehicle-registration formats (standard + Bharat series), date parsing, amount sanity, CIBIL range.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Contract:  </w:t>
      </w:r>
      <w:r>
        <w:t xml:space="preserve">per-field </w:t>
      </w:r>
      <w:r>
        <w:rPr>
          <w:rFonts w:ascii="Consolas" w:cs="Consolas" w:eastAsia="Consolas" w:hAnsi="Consolas"/>
          <w:color w:val="31437C"/>
          <w:sz w:val="19"/>
          <w:szCs w:val="19"/>
        </w:rPr>
        <w:t xml:space="preserve">ok | warn | error | missing</w:t>
      </w:r>
      <w:r>
        <w:t xml:space="preserve">, document confidence = ok-share, </w:t>
      </w:r>
      <w:r>
        <w:rPr>
          <w:rFonts w:ascii="Consolas" w:cs="Consolas" w:eastAsia="Consolas" w:hAnsi="Consolas"/>
          <w:color w:val="31437C"/>
          <w:sz w:val="19"/>
          <w:szCs w:val="19"/>
        </w:rPr>
        <w:t xml:space="preserve">needs_review</w:t>
      </w:r>
      <w:r>
        <w:t xml:space="preserve"> on any error or confidence &lt; 0.7. Runs twice by design — backend guardrails (authoritative) and frontend mirror (instant UX).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Fraud value:  </w:t>
      </w:r>
      <w:r>
        <w:t xml:space="preserve">catches invented identifiers (a made-up Aadhaar fails its own checksum) and OCR garbage before it contaminates downstream checks.</w:t>
      </w:r>
    </w:p>
    <w:p>
      <w:pPr>
        <w:pStyle w:val="Heading2"/>
        <w:spacing w:after="140" w:before="280"/>
      </w:pPr>
      <w:r>
        <w:t xml:space="preserve">2.2  Field cross-checking (across documents)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What it contributes:  </w:t>
      </w:r>
      <w:r>
        <w:t xml:space="preserve">Do the documents agree with EACH OTHER? The same person's PAN, Aadhaar, payslip and statement must tell one story.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Name matching, Indian-reality aware</w:t>
      </w:r>
      <w:r>
        <w:t xml:space="preserve">  (</w:t>
      </w:r>
      <w:r>
        <w:rPr>
          <w:rFonts w:ascii="Consolas" w:cs="Consolas" w:eastAsia="Consolas" w:hAnsi="Consolas"/>
          <w:color w:val="31437C"/>
          <w:sz w:val="19"/>
          <w:szCs w:val="19"/>
        </w:rPr>
        <w:t xml:space="preserve">docVerification.js</w:t>
      </w:r>
      <w:r>
        <w:t xml:space="preserve">): case-insensitive, honorifics stripped, initials expanded ('R K Sharma' ≈ 'Rahul Kumar Sharma'), surname-first ordering, and surname-change-after-marriage tolerated as a partial match rather than a mismatch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DOB equality</w:t>
      </w:r>
      <w:r>
        <w:t xml:space="preserve">  across PAN/Aadhaar after multi-format date parsing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Identity numbers</w:t>
      </w:r>
      <w:r>
        <w:t xml:space="preserve">  — the same PAN appearing differently on two documents is a hard flag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Autofill priority</w:t>
      </w:r>
      <w:r>
        <w:t xml:space="preserve">  — when documents agree, ID documents outrank financial ones as the source of truth for the application form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Fraud value:  </w:t>
      </w:r>
      <w:r>
        <w:t xml:space="preserve">document-mixing (borrowing someone else's payslip) breaks cross-checks even when every individual document is genuine — the industry calls the engineered version of this the 'circular income loop', and consistency checking is its primary counter.</w:t>
      </w:r>
    </w:p>
    <w:p>
      <w:pPr>
        <w:pStyle w:val="Heading2"/>
        <w:spacing w:after="140" w:before="280"/>
      </w:pPr>
      <w:r>
        <w:t xml:space="preserve">2.3  Document tampering (per document)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What it contributes:  </w:t>
      </w:r>
      <w:r>
        <w:t xml:space="preserve">Is the document itself trustworthy? Nine signals across two fraud families — pixel forensics for EDITED documents (ELA, noise, copy-move, CNN) and provenance + business rules + fenced AI authenticity for FABRICATED ones (PDF producer, arithmetic, placeholders, 'does this read like a real employer issued it').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Contract:  </w:t>
      </w:r>
      <w:r>
        <w:rPr>
          <w:rFonts w:ascii="Consolas" w:cs="Consolas" w:eastAsia="Consolas" w:hAnsi="Consolas"/>
          <w:color w:val="31437C"/>
          <w:sz w:val="19"/>
          <w:szCs w:val="19"/>
        </w:rPr>
        <w:t xml:space="preserve">risk_tier LOW/MEDIUM/HIGH</w:t>
      </w:r>
      <w:r>
        <w:t xml:space="preserve">, fused score 0–1, per-signal findings in plain words, annotated render showing WHERE each issue sits. Guardrails: the one probabilistic signal is capped so it alone can reach MEDIUM but never HIGH; two independent signals agreeing can.</w:t>
      </w:r>
    </w:p>
    <w:p>
      <w:pPr>
        <w:pStyle w:val="Heading2"/>
        <w:spacing w:after="140" w:before="280"/>
      </w:pPr>
      <w:r>
        <w:t xml:space="preserve">2.4  Face matching (across documents)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What it contributes:  </w:t>
      </w:r>
      <w:r>
        <w:t xml:space="preserve">Is the same PERSON on all documents? YuNet detection (any orientation, with contrast recovery for washed-out ID photos), SFace 128-d embeddings, cosine similarity with the validated 0.363 threshold.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Contract:  </w:t>
      </w:r>
      <w:r>
        <w:rPr>
          <w:rFonts w:ascii="Consolas" w:cs="Consolas" w:eastAsia="Consolas" w:hAnsi="Consolas"/>
          <w:color w:val="31437C"/>
          <w:sz w:val="19"/>
          <w:szCs w:val="19"/>
        </w:rPr>
        <w:t xml:space="preserve">per-pair {similarity, match/uncertain/different}</w:t>
      </w:r>
      <w:r>
        <w:t xml:space="preserve"> + overall </w:t>
      </w:r>
      <w:r>
        <w:rPr>
          <w:rFonts w:ascii="Consolas" w:cs="Consolas" w:eastAsia="Consolas" w:hAnsi="Consolas"/>
          <w:color w:val="31437C"/>
          <w:sz w:val="19"/>
          <w:szCs w:val="19"/>
        </w:rPr>
        <w:t xml:space="preserve">match/mismatch/uncertain/insufficient</w:t>
      </w:r>
      <w:r>
        <w:t xml:space="preserve">. Honesty rule: a low-quality face may confirm a match but can never assert a mismatch.</w:t>
      </w:r>
    </w:p>
    <w:p>
      <w:pPr>
        <w:pStyle w:val="Heading1"/>
        <w:spacing w:after="170" w:before="340"/>
      </w:pPr>
      <w:r>
        <w:t xml:space="preserve">3. How they complement each other (defence in depth)</w:t>
      </w:r>
    </w:p>
    <w:tbl>
      <w:tblPr>
        <w:tblW w:type="dxa" w:w="10080"/>
        <w:tblBorders>
          <w:top w:val="single" w:color="C9CEDD" w:sz="4"/>
          <w:left w:val="single" w:color="C9CEDD" w:sz="4"/>
          <w:bottom w:val="single" w:color="C9CEDD" w:sz="4"/>
          <w:right w:val="single" w:color="C9CEDD" w:sz="4"/>
          <w:insideH w:val="single" w:color="C9CEDD" w:sz="4"/>
          <w:insideV w:val="single" w:color="C9CE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31437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Attack</w:t>
            </w:r>
          </w:p>
        </w:tc>
        <w:tc>
          <w:tcPr>
            <w:tcW w:type="dxa" w:w="5040"/>
            <w:shd w:fill="31437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Which layer catches it</w:t>
            </w:r>
          </w:p>
        </w:tc>
      </w:tr>
      <w:tr>
        <w:tc>
          <w:tcPr>
            <w:tcW w:type="dxa" w:w="50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Edit one number on a real payslip photo</w:t>
            </w:r>
          </w:p>
        </w:tc>
        <w:tc>
          <w:tcPr>
            <w:tcW w:type="dxa" w:w="50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Tampering: ELA/noise/copy-move; business rules if the arithmetic breaks</w:t>
            </w:r>
          </w:p>
        </w:tc>
      </w:tr>
      <w:tr>
        <w:tc>
          <w:tcPr>
            <w:tcW w:type="dxa" w:w="5040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Generate a whole fake payslip (AI / jsPDF)</w:t>
            </w:r>
          </w:p>
        </w:tc>
        <w:tc>
          <w:tcPr>
            <w:tcW w:type="dxa" w:w="5040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Tampering: producer + placeholders + authenticity; validation if identifiers are invented</w:t>
            </w:r>
          </w:p>
        </w:tc>
      </w:tr>
      <w:tr>
        <w:tc>
          <w:tcPr>
            <w:tcW w:type="dxa" w:w="50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Borrow someone else's genuine documents</w:t>
            </w:r>
          </w:p>
        </w:tc>
        <w:tc>
          <w:tcPr>
            <w:tcW w:type="dxa" w:w="50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Face match (different person) + cross-checks (names/DOB disagree)</w:t>
            </w:r>
          </w:p>
        </w:tc>
      </w:tr>
      <w:tr>
        <w:tc>
          <w:tcPr>
            <w:tcW w:type="dxa" w:w="5040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Consistent fake identity across all documents</w:t>
            </w:r>
          </w:p>
        </w:tc>
        <w:tc>
          <w:tcPr>
            <w:tcW w:type="dxa" w:w="5040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Validation (checksums fail) + face dedupe vs existing customers</w:t>
            </w:r>
          </w:p>
        </w:tc>
      </w:tr>
      <w:tr>
        <w:tc>
          <w:tcPr>
            <w:tcW w:type="dxa" w:w="50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Unlock/re-save a genuine statement</w:t>
            </w:r>
          </w:p>
        </w:tc>
        <w:tc>
          <w:tcPr>
            <w:tcW w:type="dxa" w:w="50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Tampering: honest MEDIUM note — verify against the original (not silence, not condemnation)</w:t>
            </w:r>
          </w:p>
        </w:tc>
      </w:tr>
      <w:tr>
        <w:tc>
          <w:tcPr>
            <w:tcW w:type="dxa" w:w="5040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Same documents recycled across applications</w:t>
            </w:r>
          </w:p>
        </w:tc>
        <w:tc>
          <w:tcPr>
            <w:tcW w:type="dxa" w:w="5040"/>
            <w:shd w:fill="F5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52"/>
            </w:pPr>
            <w:r>
              <w:rPr>
                <w:b w:val="false"/>
                <w:bCs w:val="false"/>
                <w:color w:val="1B2438"/>
                <w:sz w:val="19"/>
                <w:szCs w:val="19"/>
              </w:rPr>
              <w:t xml:space="preserve">Dedupe keys: file sha256, PAN/Aadhaar-hash uniqueness, face ANN index</w:t>
            </w:r>
          </w:p>
        </w:tc>
      </w:tr>
    </w:tbl>
    <w:p>
      <w:pPr>
        <w:pStyle w:val="Heading1"/>
        <w:spacing w:after="170" w:before="340"/>
      </w:pPr>
      <w:r>
        <w:t xml:space="preserve">4. What the reviewer sees today (Review &amp; Submit)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Submission Readiness</w:t>
      </w:r>
      <w:r>
        <w:t xml:space="preserve">  — one row per dimension: required documents, document integrity, identity (face) match, consents; each green or amber with a one-line verdict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Document Integrity card</w:t>
      </w:r>
      <w:r>
        <w:t xml:space="preserve">  — per document: tier chip, plain-language summary, concrete findings, annotated render with numbered boxes — auto-loaded, no clicks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Identity Verification card</w:t>
      </w:r>
      <w:r>
        <w:t xml:space="preserve">  — face thumbnails per document with orientation/quality notes, per-pair similarity bars and verdict chips, overall banner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Privacy masking</w:t>
      </w:r>
      <w:r>
        <w:t xml:space="preserve">  — every hover preview redacts Aadhaar/PAN/account numbers to last-4 (its own report)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Officer/head decision panel</w:t>
      </w:r>
      <w:r>
        <w:t xml:space="preserve">  — recommendation or final decision with mandatory note; approval above ₹5,00,000 requires the head's decision by design</w:t>
      </w:r>
    </w:p>
    <w:p>
      <w:pPr>
        <w:pStyle w:val="Heading1"/>
        <w:spacing w:after="170" w:before="340"/>
      </w:pPr>
      <w:r>
        <w:t xml:space="preserve">5. The fusion module — concrete design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Score assembly:  </w:t>
      </w:r>
    </w:p>
    <w:p>
      <w:pPr>
        <w:shd w:fill="F2F4FA" w:val="clear"/>
        <w:spacing w:after="0" w:line="240"/>
        <w:ind w:left="240" w:right="240"/>
      </w:pPr>
      <w:r>
        <w:rPr>
          <w:rFonts w:ascii="Consolas" w:cs="Consolas" w:eastAsia="Consolas" w:hAnsi="Consolas"/>
          <w:color w:val="1B2438"/>
          <w:sz w:val="18"/>
          <w:szCs w:val="18"/>
        </w:rPr>
        <w:t xml:space="preserve">fraud_assessments (per application):</w:t>
      </w:r>
    </w:p>
    <w:p>
      <w:pPr>
        <w:shd w:fill="F2F4FA" w:val="clear"/>
        <w:spacing w:after="0" w:line="240"/>
        <w:ind w:left="240" w:right="240"/>
      </w:pPr>
      <w:r>
        <w:rPr>
          <w:rFonts w:ascii="Consolas" w:cs="Consolas" w:eastAsia="Consolas" w:hAnsi="Consolas"/>
          <w:color w:val="1B2438"/>
          <w:sz w:val="18"/>
          <w:szCs w:val="18"/>
        </w:rPr>
        <w:t xml:space="preserve">  face_component        = f(overall verdict, min pair similarity, quality caveats)   0..1</w:t>
      </w:r>
    </w:p>
    <w:p>
      <w:pPr>
        <w:shd w:fill="F2F4FA" w:val="clear"/>
        <w:spacing w:after="0" w:line="240"/>
        <w:ind w:left="240" w:right="240"/>
      </w:pPr>
      <w:r>
        <w:rPr>
          <w:rFonts w:ascii="Consolas" w:cs="Consolas" w:eastAsia="Consolas" w:hAnsi="Consolas"/>
          <w:color w:val="1B2438"/>
          <w:sz w:val="18"/>
          <w:szCs w:val="18"/>
        </w:rPr>
        <w:t xml:space="preserve">  tampering_component   = max over documents of fused tamper score                    0..1</w:t>
      </w:r>
    </w:p>
    <w:p>
      <w:pPr>
        <w:shd w:fill="F2F4FA" w:val="clear"/>
        <w:spacing w:after="0" w:line="240"/>
        <w:ind w:left="240" w:right="240"/>
      </w:pPr>
      <w:r>
        <w:rPr>
          <w:rFonts w:ascii="Consolas" w:cs="Consolas" w:eastAsia="Consolas" w:hAnsi="Consolas"/>
          <w:color w:val="1B2438"/>
          <w:sz w:val="18"/>
          <w:szCs w:val="18"/>
        </w:rPr>
        <w:t xml:space="preserve">  cross_check_component = share of failed/partial cross-checks, severity-weighted     0..1</w:t>
      </w:r>
    </w:p>
    <w:p>
      <w:pPr>
        <w:shd w:fill="F2F4FA" w:val="clear"/>
        <w:spacing w:after="0" w:line="240"/>
        <w:ind w:left="240" w:right="240"/>
      </w:pPr>
      <w:r>
        <w:rPr>
          <w:rFonts w:ascii="Consolas" w:cs="Consolas" w:eastAsia="Consolas" w:hAnsi="Consolas"/>
          <w:color w:val="1B2438"/>
          <w:sz w:val="18"/>
          <w:szCs w:val="18"/>
        </w:rPr>
        <w:t xml:space="preserve">  validation_component  = share of error fields, severity-weighted                    0..1</w:t>
      </w:r>
    </w:p>
    <w:p>
      <w:pPr>
        <w:shd w:fill="F2F4FA" w:val="clear"/>
        <w:spacing w:after="0" w:line="240"/>
        <w:ind w:left="240" w:right="240"/>
      </w:pPr>
      <w:r>
        <w:rPr>
          <w:rFonts w:ascii="Consolas" w:cs="Consolas" w:eastAsia="Consolas" w:hAnsi="Consolas"/>
          <w:color w:val="1B2438"/>
          <w:sz w:val="18"/>
          <w:szCs w:val="18"/>
        </w:rPr>
        <w:t xml:space="preserve">  dedupe_component      = strongest identity_matches hit (file/PAN/face ANN)          0..1</w:t>
      </w:r>
    </w:p>
    <w:p>
      <w:pPr>
        <w:shd w:fill="F2F4FA" w:val="clear"/>
        <w:spacing w:after="0" w:line="240"/>
        <w:ind w:left="240" w:right="240"/>
      </w:pPr>
      <w:r>
        <w:rPr>
          <w:rFonts w:ascii="Consolas" w:cs="Consolas" w:eastAsia="Consolas" w:hAnsi="Consolas"/>
          <w:color w:val="1B2438"/>
          <w:sz w:val="18"/>
          <w:szCs w:val="18"/>
        </w:rPr>
        <w:t xml:space="preserve">  fused_score           = Σ w_i × component_i        (weights_version snapshotted)</w:t>
      </w:r>
    </w:p>
    <w:p>
      <w:pPr>
        <w:shd w:fill="F2F4FA" w:val="clear"/>
        <w:spacing w:after="160" w:line="240"/>
        <w:ind w:left="240" w:right="240"/>
      </w:pPr>
      <w:r>
        <w:rPr>
          <w:rFonts w:ascii="Consolas" w:cs="Consolas" w:eastAsia="Consolas" w:hAnsi="Consolas"/>
          <w:color w:val="1B2438"/>
          <w:sz w:val="18"/>
          <w:szCs w:val="18"/>
        </w:rPr>
        <w:t xml:space="preserve">  tier                  = review bands, mirroring tampering's MEDIUM/HIGH philosophy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Every component keeps its evidence</w:t>
      </w:r>
      <w:r>
        <w:t xml:space="preserve">  — the JSON trail (which pair mismatched, which finding fired) is stored beside the score; a number without evidence is unreviewable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Weights are versioned data, not code</w:t>
      </w:r>
      <w:r>
        <w:t xml:space="preserve">  — snapshotting weights_version per assessment keeps every historical score reproducible; refit from officer verdicts (ai_feedback) once labels accumulate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Never auto-reject</w:t>
      </w:r>
      <w:r>
        <w:t xml:space="preserve">  — same trust posture as every module: route to review queues by tier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Uncertainty propagates honestly</w:t>
      </w:r>
      <w:r>
        <w:t xml:space="preserve">  — an 'uncertain' face verdict (poor card photos are normal in India) contributes review-weight, not fraud-weight</w:t>
      </w:r>
    </w:p>
    <w:p>
      <w:pPr>
        <w:spacing w:after="110" w:line="282"/>
        <w:ind w:left="240"/>
      </w:pPr>
      <w:r>
        <w:rPr>
          <w:b/>
          <w:bCs/>
          <w:color w:val="31437C"/>
        </w:rPr>
        <w:t xml:space="preserve">Industry extras to include (from the standards research):  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Selfie-to-ID match + liveness at onboarding — the strongest identity anchor; solves the weak-card-photo limitation directly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Duplicate/velocity detection: same face, phone, device, address or file hash across applications — fraud-ring signal (identity_matches + fraud_cases patterns: cash cycling, income mismatch, GST inflation, sudden deposits)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Income triangulation: payslip net vs actual salary credits in the bank statement (server-side, joining both documents' extractions)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External verification rails where available: PAN–name verification (NSDL), bank account penny-drop, EPFO/UAN employment checks, GSTIN returns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Case management: fraud_cases with status flow (pending → review → escalated → cleared/confirmed) feeding the existing Fraud Detection dashboard</w:t>
      </w:r>
    </w:p>
    <w:p>
      <w:pPr>
        <w:pStyle w:val="Heading1"/>
        <w:spacing w:after="170" w:before="340"/>
      </w:pPr>
      <w:r>
        <w:t xml:space="preserve">6. Data foundation (already designed in the DB schema)</w:t>
      </w:r>
    </w:p>
    <w:p>
      <w:pPr>
        <w:spacing w:after="140" w:line="288"/>
      </w:pPr>
      <w:r>
        <w:t xml:space="preserve">The published 47-table schema reserves the fraud domain: fraud_assessments (component scores + weights_version + evidence), identity_matches (dedupe hits with source ∈ face_ann | pan | aadhaar_hash | phone | device | address), fraud_cases (patterns, evidence, status), plus the enabling keys elsewhere — document_versions.sha256, unique pan/aadhaar_hash per customer, pgvector face embeddings with an ANN index, and model_registry/ai_feedback/drift_metrics for governance.</w:t>
      </w:r>
    </w:p>
    <w:p>
      <w:pPr>
        <w:pStyle w:val="Heading1"/>
        <w:spacing w:after="170" w:before="340"/>
      </w:pPr>
      <w:r>
        <w:t xml:space="preserve">7. Honest limitations, stated plainly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Card-photo ↔ card-photo face matching on poor Indian ID prints will often be 'uncertain' — that is the correct answer; the selfie anchor is the real fix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 tamper CNN is synthetic-trained (AUC 0.83) and deliberately under-weighted until real verdicts allow retraining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 authenticity model is a 7B quantised VLM — its verdicts are fenced (grounding gate, domain fences, corroboration requirement) precisely because it can misread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Cross-checking is client-side today; the fusion module moves it server-side so the score is computed in one auditable place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No external rails yet (penny-drop, NSDL, EPFO) — the design leaves explicit seams for them</w:t>
      </w:r>
    </w:p>
    <w:p>
      <w:pPr>
        <w:pStyle w:val="Heading1"/>
        <w:spacing w:after="170" w:before="340"/>
      </w:pPr>
      <w:r>
        <w:t xml:space="preserve">8. Module reports in this series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01 — OCR Pipeline (extraction: the data everything else consumes)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02 — Document PII Masking (privacy on the review surface)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03 — Cross-Document Face Matching (identity evidence)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04 — Document Tampering Detection (document trust evidence)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05 — this document (the system view + fusion design)</w:t>
      </w:r>
    </w:p>
    <w:sectPr>
      <w:footerReference w:type="default" r:id="rId7"/>
      <w:head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A6172"/>
        <w:sz w:val="16"/>
        <w:szCs w:val="16"/>
      </w:rPr>
      <w:t xml:space="preserve">Fraud Detection System — Architecture &amp; Workflow   ·   page </w:t>
    </w:r>
    <w:r>
      <w:rPr>
        <w:color w:val="5A61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213241" cy="274320"/>
          <wp:docPr id="1" name="FinSight logo" descr="FinSight AI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3241" cy="27432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b/>
        <w:color w:val="64748B"/>
        <w:sz w:val="18"/>
        <w:position w:val="14"/>
      </w:rPr>
      <w:t>FinSight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31437C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B2438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5A6172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2026-07-16T16:05:18.720Z</dcterms:created>
  <dcterms:modified xsi:type="dcterms:W3CDTF">2026-07-16T16:05:18.721Z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