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rFonts w:ascii="Calibri" w:cs="Calibri" w:eastAsia="Calibri" w:hAnsi="Calibri"/>
          <w:b/>
          <w:bCs/>
          <w:color w:val="4F46E5"/>
          <w:sz w:val="72"/>
          <w:szCs w:val="72"/>
        </w:rPr>
        <w:t xml:space="preserve">FinSight AI</w:t>
      </w:r>
    </w:p>
    <w:p>
      <w:pPr>
        <w:spacing w:after="60"/>
        <w:jc w:val="center"/>
      </w:pPr>
      <w:r>
        <w:rPr>
          <w:rFonts w:ascii="Calibri" w:cs="Calibri" w:eastAsia="Calibri" w:hAnsi="Calibri"/>
          <w:i/>
          <w:iCs/>
          <w:color w:val="0D9488"/>
          <w:sz w:val="28"/>
          <w:szCs w:val="28"/>
        </w:rPr>
        <w:t xml:space="preserve">AI-Powered Document Intelligence &amp; Lending Platform</w:t>
      </w:r>
    </w:p>
    <w:p>
      <w:pPr>
        <w:pBdr>
          <w:bottom w:val="single" w:color="4F46E5" w:sz="8"/>
        </w:pBdr>
        <w:spacing w:after="0" w:before="40"/>
        <w:jc w:val="center"/>
      </w:pPr>
      <w:r>
        <w:rPr>
          <w:rFonts w:ascii="Calibri" w:cs="Calibri" w:eastAsia="Calibri" w:hAnsi="Calibri"/>
        </w:rPr>
        <w:t xml:space="preserve"/>
      </w:r>
    </w:p>
    <w:p>
      <w:pPr>
        <w:spacing w:after="0" w:before="700"/>
        <w:jc w:val="center"/>
      </w:pPr>
      <w:r>
        <w:rPr>
          <w:rFonts w:ascii="Calibri" w:cs="Calibri" w:eastAsia="Calibri" w:hAnsi="Calibri"/>
          <w:b/>
          <w:bCs/>
          <w:caps w:val="false"/>
          <w:color w:val="1F2937"/>
          <w:sz w:val="40"/>
          <w:szCs w:val="40"/>
        </w:rPr>
        <w:t xml:space="preserve">FINAL PROJECT REPORT</w:t>
      </w:r>
    </w:p>
    <w:p>
      <w:pPr>
        <w:spacing w:before="120"/>
        <w:jc w:val="center"/>
      </w:pPr>
      <w:r>
        <w:rPr>
          <w:rFonts w:ascii="Calibri" w:cs="Calibri" w:eastAsia="Calibri" w:hAnsi="Calibri"/>
          <w:color w:val="6B7280"/>
          <w:sz w:val="20"/>
          <w:szCs w:val="20"/>
        </w:rPr>
        <w:t xml:space="preserve">A retail-lending platform combining computer-vision document forensics,</w:t>
      </w:r>
    </w:p>
    <w:p>
      <w:pPr>
        <w:spacing w:after="40"/>
        <w:jc w:val="center"/>
      </w:pPr>
      <w:r>
        <w:rPr>
          <w:rFonts w:ascii="Calibri" w:cs="Calibri" w:eastAsia="Calibri" w:hAnsi="Calibri"/>
          <w:color w:val="6B7280"/>
          <w:sz w:val="20"/>
          <w:szCs w:val="20"/>
        </w:rPr>
        <w:t xml:space="preserve">local vision-language OCR, RBI regulatory compliance automation,</w:t>
      </w:r>
    </w:p>
    <w:p>
      <w:pPr>
        <w:jc w:val="center"/>
      </w:pPr>
      <w:r>
        <w:rPr>
          <w:rFonts w:ascii="Calibri" w:cs="Calibri" w:eastAsia="Calibri" w:hAnsi="Calibri"/>
          <w:color w:val="6B7280"/>
          <w:sz w:val="20"/>
          <w:szCs w:val="20"/>
        </w:rPr>
        <w:t xml:space="preserve">and a process-mining data foundation.</w:t>
      </w:r>
    </w:p>
    <w:p>
      <w:pPr>
        <w:spacing w:before="1200"/>
        <w:jc w:val="center"/>
      </w:pPr>
      <w:r>
        <w:rPr>
          <w:rFonts w:ascii="Calibri" w:cs="Calibri" w:eastAsia="Calibri" w:hAnsi="Calibri"/>
          <w:b/>
          <w:bCs/>
          <w:color w:val="1F2937"/>
          <w:sz w:val="22"/>
          <w:szCs w:val="22"/>
        </w:rPr>
        <w:t xml:space="preserve">Version 1.0.0</w:t>
      </w:r>
    </w:p>
    <w:p>
      <w:pPr>
        <w:spacing w:before="40"/>
        <w:jc w:val="center"/>
      </w:pPr>
      <w:r>
        <w:rPr>
          <w:rFonts w:ascii="Calibri" w:cs="Calibri" w:eastAsia="Calibri" w:hAnsi="Calibri"/>
          <w:color w:val="6B7280"/>
          <w:sz w:val="20"/>
          <w:szCs w:val="20"/>
        </w:rPr>
        <w:t xml:space="preserve">August 2026</w:t>
      </w:r>
    </w:p>
    <w:p>
      <w:pPr>
        <w:spacing w:before="40"/>
        <w:jc w:val="center"/>
      </w:pPr>
      <w:r>
        <w:rPr>
          <w:rFonts w:ascii="Calibri" w:cs="Calibri" w:eastAsia="Calibri" w:hAnsi="Calibri"/>
          <w:color w:val="6B7280"/>
          <w:sz w:val="20"/>
          <w:szCs w:val="20"/>
        </w:rPr>
        <w:t xml:space="preserve">Novac Technology Solutions — Internship Project</w:t>
      </w:r>
    </w:p>
    <w:p>
      <w:pPr>
        <w:spacing w:after="0"/>
      </w:pPr>
      <w:r>
        <w:br w:type="page"/>
      </w:r>
    </w:p>
    <w:p>
      <w:pPr>
        <w:pStyle w:val="Heading1"/>
        <w:keepNext/>
        <w:pBdr>
          <w:bottom w:val="single" w:color="E5E7EB" w:sz="4"/>
        </w:pBdr>
        <w:spacing w:after="160" w:before="360"/>
      </w:pPr>
      <w:r>
        <w:rPr>
          <w:rFonts w:ascii="Calibri" w:cs="Calibri" w:eastAsia="Calibri" w:hAnsi="Calibri"/>
          <w:b/>
          <w:bCs/>
          <w:color w:val="3730A3"/>
          <w:sz w:val="30"/>
          <w:szCs w:val="30"/>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pPr>
        <w:spacing w:after="0"/>
      </w:pPr>
      <w:r>
        <w:br w:type="page"/>
      </w:r>
    </w:p>
    <w:p>
      <w:pPr>
        <w:pStyle w:val="Heading1"/>
        <w:keepNext/>
        <w:pBdr>
          <w:bottom w:val="single" w:color="E5E7EB" w:sz="4"/>
        </w:pBdr>
        <w:spacing w:after="160" w:before="360"/>
      </w:pPr>
      <w:r>
        <w:rPr>
          <w:rFonts w:ascii="Calibri" w:cs="Calibri" w:eastAsia="Calibri" w:hAnsi="Calibri"/>
          <w:b/>
          <w:bCs/>
          <w:color w:val="3730A3"/>
          <w:sz w:val="30"/>
          <w:szCs w:val="30"/>
        </w:rPr>
        <w:t xml:space="preserve">1. Executive Summary</w:t>
      </w:r>
    </w:p>
    <w:p>
      <w:pPr>
        <w:spacing w:after="120" w:before="0" w:line="276"/>
      </w:pPr>
      <w:r>
        <w:rPr>
          <w:rFonts w:ascii="Calibri" w:cs="Calibri" w:eastAsia="Calibri" w:hAnsi="Calibri"/>
        </w:rPr>
        <w:t xml:space="preserve">FinSight AI is a complete, end-to-end digital lending platform that automates the most manual and fraud-prone stages of retail loan origination: collecting a borrower's documents, reading them, proving they are genuine, checking them against regulation, and moving the case through underwriting. </w:t>
      </w:r>
      <w:r>
        <w:rPr>
          <w:rFonts w:ascii="Calibri" w:cs="Calibri" w:eastAsia="Calibri" w:hAnsi="Calibri"/>
          <w:b/>
          <w:bCs/>
        </w:rPr>
        <w:t xml:space="preserve">It replaces slow, error-prone manual document review with a pipeline of computer-vision and language models, while keeping a human in control of every decision.</w:t>
      </w:r>
    </w:p>
    <w:p>
      <w:pPr>
        <w:spacing w:after="120" w:before="0" w:line="276"/>
      </w:pPr>
      <w:r>
        <w:rPr>
          <w:rFonts w:ascii="Calibri" w:cs="Calibri" w:eastAsia="Calibri" w:hAnsi="Calibri"/>
        </w:rPr>
        <w:t xml:space="preserve">The platform is built as three coordinated layers: a React single-page application serving three distinct user roles, a Python/FastAPI document-intelligence service that performs OCR, forensic tampering analysis, biometric face matching, PII redaction and regulatory compliance checks, and a SQL Server data platform that holds the operational lending data together with a full process-mining schema for operational analytics.</w:t>
      </w:r>
    </w:p>
    <w:p>
      <w:pPr>
        <w:pStyle w:val="Heading3"/>
        <w:keepNext/>
        <w:spacing w:after="80" w:before="180"/>
      </w:pPr>
      <w:r>
        <w:rPr>
          <w:rFonts w:ascii="Calibri" w:cs="Calibri" w:eastAsia="Calibri" w:hAnsi="Calibri"/>
          <w:b/>
          <w:bCs/>
          <w:color w:val="0D9488"/>
          <w:sz w:val="21"/>
          <w:szCs w:val="21"/>
        </w:rPr>
        <w:t xml:space="preserve">Headline capabilities</w:t>
      </w:r>
    </w:p>
    <w:p>
      <w:pPr>
        <w:pStyle w:val="ListParagraph"/>
        <w:numPr>
          <w:ilvl w:val="0"/>
          <w:numId w:val="2"/>
        </w:numPr>
        <w:spacing w:after="60" w:line="268"/>
      </w:pPr>
      <w:r>
        <w:rPr>
          <w:rFonts w:ascii="Calibri" w:cs="Calibri" w:eastAsia="Calibri" w:hAnsi="Calibri"/>
          <w:b/>
          <w:bCs/>
        </w:rPr>
        <w:t xml:space="preserve">Role-based workspaces</w:t>
      </w:r>
      <w:r>
        <w:rPr>
          <w:rFonts w:ascii="Calibri" w:cs="Calibri" w:eastAsia="Calibri" w:hAnsi="Calibri"/>
        </w:rPr>
        <w:t xml:space="preserve"> for Borrowers, Underwriting Officers and Head Managers, each with a purpose-built set of screens.</w:t>
      </w:r>
    </w:p>
    <w:p>
      <w:pPr>
        <w:pStyle w:val="ListParagraph"/>
        <w:numPr>
          <w:ilvl w:val="0"/>
          <w:numId w:val="2"/>
        </w:numPr>
        <w:spacing w:after="60" w:line="268"/>
      </w:pPr>
      <w:r>
        <w:rPr>
          <w:rFonts w:ascii="Calibri" w:cs="Calibri" w:eastAsia="Calibri" w:hAnsi="Calibri"/>
          <w:b/>
          <w:bCs/>
        </w:rPr>
        <w:t xml:space="preserve">15 supported document types</w:t>
      </w:r>
      <w:r>
        <w:rPr>
          <w:rFonts w:ascii="Calibri" w:cs="Calibri" w:eastAsia="Calibri" w:hAnsi="Calibri"/>
        </w:rPr>
        <w:t xml:space="preserve"> (PAN, Aadhaar, salary slips, bank statements, ITR/Form 16, CIBIL, RC book, property and business documents, and more) with structured field extraction.</w:t>
      </w:r>
    </w:p>
    <w:p>
      <w:pPr>
        <w:pStyle w:val="ListParagraph"/>
        <w:numPr>
          <w:ilvl w:val="0"/>
          <w:numId w:val="2"/>
        </w:numPr>
        <w:spacing w:after="60" w:line="268"/>
      </w:pPr>
      <w:r>
        <w:rPr>
          <w:rFonts w:ascii="Calibri" w:cs="Calibri" w:eastAsia="Calibri" w:hAnsi="Calibri"/>
          <w:b/>
          <w:bCs/>
        </w:rPr>
        <w:t xml:space="preserve">Three interchangeable OCR engines</w:t>
      </w:r>
      <w:r>
        <w:rPr>
          <w:rFonts w:ascii="Calibri" w:cs="Calibri" w:eastAsia="Calibri" w:hAnsi="Calibri"/>
        </w:rPr>
        <w:t xml:space="preserve"> — a local vision-language model (Qwen2.5-VL via Ollama), a cloud model (Anthropic Claude), and a deterministic mock provider — selectable without any code change.</w:t>
      </w:r>
    </w:p>
    <w:p>
      <w:pPr>
        <w:pStyle w:val="ListParagraph"/>
        <w:numPr>
          <w:ilvl w:val="0"/>
          <w:numId w:val="2"/>
        </w:numPr>
        <w:spacing w:after="60" w:line="268"/>
      </w:pPr>
      <w:r>
        <w:rPr>
          <w:rFonts w:ascii="Calibri" w:cs="Calibri" w:eastAsia="Calibri" w:hAnsi="Calibri"/>
          <w:b/>
          <w:bCs/>
        </w:rPr>
        <w:t xml:space="preserve">A 9-signal forensic tampering cascade</w:t>
      </w:r>
      <w:r>
        <w:rPr>
          <w:rFonts w:ascii="Calibri" w:cs="Calibri" w:eastAsia="Calibri" w:hAnsi="Calibri"/>
        </w:rPr>
        <w:t xml:space="preserve"> that grades every document LOW / MEDIUM / HIGH for authenticity, with plain-language and visually-grounded explanations.</w:t>
      </w:r>
    </w:p>
    <w:p>
      <w:pPr>
        <w:pStyle w:val="ListParagraph"/>
        <w:numPr>
          <w:ilvl w:val="0"/>
          <w:numId w:val="2"/>
        </w:numPr>
        <w:spacing w:after="60" w:line="268"/>
      </w:pPr>
      <w:r>
        <w:rPr>
          <w:rFonts w:ascii="Calibri" w:cs="Calibri" w:eastAsia="Calibri" w:hAnsi="Calibri"/>
          <w:b/>
          <w:bCs/>
        </w:rPr>
        <w:t xml:space="preserve">Cross-document biometric face verification</w:t>
      </w:r>
      <w:r>
        <w:rPr>
          <w:rFonts w:ascii="Calibri" w:cs="Calibri" w:eastAsia="Calibri" w:hAnsi="Calibri"/>
        </w:rPr>
        <w:t xml:space="preserve"> that confirms the same person appears across all photo-bearing IDs.</w:t>
      </w:r>
    </w:p>
    <w:p>
      <w:pPr>
        <w:pStyle w:val="ListParagraph"/>
        <w:numPr>
          <w:ilvl w:val="0"/>
          <w:numId w:val="2"/>
        </w:numPr>
        <w:spacing w:after="60" w:line="268"/>
      </w:pPr>
      <w:r>
        <w:rPr>
          <w:rFonts w:ascii="Calibri" w:cs="Calibri" w:eastAsia="Calibri" w:hAnsi="Calibri"/>
          <w:b/>
          <w:bCs/>
        </w:rPr>
        <w:t xml:space="preserve">An RBI compliance engine</w:t>
      </w:r>
      <w:r>
        <w:rPr>
          <w:rFonts w:ascii="Calibri" w:cs="Calibri" w:eastAsia="Calibri" w:hAnsi="Calibri"/>
        </w:rPr>
        <w:t xml:space="preserve"> combining a searchable regulatory knowledge base, a deterministic rules engine, and a maker-checker workflow for rules drafted from regulatory documents.</w:t>
      </w:r>
    </w:p>
    <w:p>
      <w:pPr>
        <w:pStyle w:val="ListParagraph"/>
        <w:numPr>
          <w:ilvl w:val="0"/>
          <w:numId w:val="2"/>
        </w:numPr>
        <w:spacing w:after="60" w:line="268"/>
      </w:pPr>
      <w:r>
        <w:rPr>
          <w:rFonts w:ascii="Calibri" w:cs="Calibri" w:eastAsia="Calibri" w:hAnsi="Calibri"/>
          <w:b/>
          <w:bCs/>
        </w:rPr>
        <w:t xml:space="preserve">Automatic PII masking</w:t>
      </w:r>
      <w:r>
        <w:rPr>
          <w:rFonts w:ascii="Calibri" w:cs="Calibri" w:eastAsia="Calibri" w:hAnsi="Calibri"/>
        </w:rPr>
        <w:t xml:space="preserve"> of PAN and Aadhaar numbers, and a dual-view audit store that segregates full-PII (Manager) and masked (Officer) records.</w:t>
      </w:r>
    </w:p>
    <w:p>
      <w:pPr>
        <w:pStyle w:val="ListParagraph"/>
        <w:numPr>
          <w:ilvl w:val="0"/>
          <w:numId w:val="2"/>
        </w:numPr>
        <w:spacing w:after="60" w:line="268"/>
      </w:pPr>
      <w:r>
        <w:rPr>
          <w:rFonts w:ascii="Calibri" w:cs="Calibri" w:eastAsia="Calibri" w:hAnsi="Calibri"/>
          <w:b/>
          <w:bCs/>
        </w:rPr>
        <w:t xml:space="preserve">A verified process-mining data layer</w:t>
      </w:r>
      <w:r>
        <w:rPr>
          <w:rFonts w:ascii="Calibri" w:cs="Calibri" w:eastAsia="Calibri" w:hAnsi="Calibri"/>
        </w:rPr>
        <w:t xml:space="preserve"> — 72 tables, 15 analytical views, OCEL 2.0 object-centric modelling and conformance checking across four distinct business processes.</w:t>
      </w:r>
    </w:p>
    <w:p>
      <w:pPr>
        <w:spacing w:after="120"/>
      </w:pPr>
      <w:r>
        <w:rPr>
          <w:rFonts w:ascii="Calibri" w:cs="Calibri" w:eastAsia="Calibri" w:hAnsi="Calibri"/>
        </w:rPr>
        <w:t xml:space="preserve"/>
      </w:r>
    </w:p>
    <w:tbl>
      <w:tblPr>
        <w:tblW w:type="dxa" w:w="9360"/>
        <w:tblBorders>
          <w:top w:val="single" w:color="4F46E5" w:sz="2"/>
          <w:left w:val="single" w:color="4F46E5" w:sz="24"/>
          <w:bottom w:val="single" w:color="4F46E5" w:sz="2"/>
          <w:right w:val="single" w:color="4F46E5" w:sz="2"/>
          <w:insideH w:val="none"/>
          <w:insideV w:val="none"/>
        </w:tblBorders>
      </w:tblPr>
      <w:tblGrid>
        <w:gridCol w:w="9360"/>
      </w:tblGrid>
      <w:tr>
        <w:tc>
          <w:tcPr>
            <w:tcW w:type="dxa" w:w="9360"/>
            <w:shd w:fill="F3F4F6" w:color="auto" w:val="clear"/>
            <w:tcMar>
              <w:top w:type="dxa" w:w="120"/>
              <w:left w:type="dxa" w:w="200"/>
              <w:bottom w:type="dxa" w:w="120"/>
              <w:right w:type="dxa" w:w="160"/>
            </w:tcMar>
          </w:tcPr>
          <w:p>
            <w:pPr>
              <w:spacing w:after="40"/>
            </w:pPr>
            <w:r>
              <w:rPr>
                <w:rFonts w:ascii="Calibri" w:cs="Calibri" w:eastAsia="Calibri" w:hAnsi="Calibri"/>
                <w:b/>
                <w:bCs/>
                <w:color w:val="4F46E5"/>
                <w:sz w:val="20"/>
                <w:szCs w:val="20"/>
              </w:rPr>
              <w:t xml:space="preserve">Design principle</w:t>
            </w:r>
          </w:p>
          <w:p>
            <w:pPr>
              <w:spacing w:after="40"/>
            </w:pPr>
            <w:r>
              <w:rPr>
                <w:rFonts w:ascii="Calibri" w:cs="Calibri" w:eastAsia="Calibri" w:hAnsi="Calibri"/>
                <w:color w:val="1F2937"/>
                <w:sz w:val="20"/>
                <w:szCs w:val="20"/>
              </w:rPr>
              <w:t xml:space="preserve">Every AI output in FinSight is advisory. Tampering scores, face-match results and compliance checks are surfaced to a human reviewer as evidence — the system never auto-rejects an application. This keeps the platform auditable and compliant with human-in-the-loop expectations for credit decisions.</w:t>
            </w:r>
          </w:p>
        </w:tc>
      </w:tr>
    </w:tbl>
    <w:p>
      <w:pPr>
        <w:pStyle w:val="Heading1"/>
        <w:keepNext/>
        <w:pBdr>
          <w:bottom w:val="single" w:color="E5E7EB" w:sz="4"/>
        </w:pBdr>
        <w:spacing w:after="160" w:before="360"/>
      </w:pPr>
      <w:r>
        <w:rPr>
          <w:rFonts w:ascii="Calibri" w:cs="Calibri" w:eastAsia="Calibri" w:hAnsi="Calibri"/>
          <w:b/>
          <w:bCs/>
          <w:color w:val="3730A3"/>
          <w:sz w:val="30"/>
          <w:szCs w:val="30"/>
        </w:rPr>
        <w:t xml:space="preserve">2. System Architecture</w:t>
      </w:r>
    </w:p>
    <w:p>
      <w:pPr>
        <w:spacing w:after="120" w:before="0" w:line="276"/>
      </w:pPr>
      <w:r>
        <w:rPr>
          <w:rFonts w:ascii="Calibri" w:cs="Calibri" w:eastAsia="Calibri" w:hAnsi="Calibri"/>
        </w:rPr>
        <w:t xml:space="preserve">FinSight is a three-tier system. The browser talks to two backend surfaces over HTTP: the FastAPI document-intelligence service and, through it, the SQL Server lending database. The document service is stateless per request; all durable state lives in SQL Server and in the file-based audit store.</w:t>
      </w:r>
    </w:p>
    <w:p>
      <w:pPr>
        <w:pStyle w:val="Heading2"/>
        <w:keepNext/>
        <w:spacing w:after="100" w:before="240"/>
      </w:pPr>
      <w:r>
        <w:rPr>
          <w:rFonts w:ascii="Calibri" w:cs="Calibri" w:eastAsia="Calibri" w:hAnsi="Calibri"/>
          <w:b/>
          <w:bCs/>
          <w:color w:val="1F2937"/>
          <w:sz w:val="24"/>
          <w:szCs w:val="24"/>
        </w:rPr>
        <w:t xml:space="preserve">2.1 Component overview</w:t>
      </w:r>
    </w:p>
    <w:tbl>
      <w:tblPr>
        <w:tblW w:type="dxa" w:w="9360"/>
        <w:tblBorders>
          <w:top w:val="single" w:color="D1D5DB" w:sz="2"/>
          <w:left w:val="single" w:color="D1D5DB" w:sz="2"/>
          <w:bottom w:val="single" w:color="D1D5DB" w:sz="2"/>
          <w:right w:val="single" w:color="D1D5DB" w:sz="2"/>
          <w:insideH w:val="single" w:color="D1D5DB" w:sz="2"/>
          <w:insideV w:val="single" w:color="D1D5DB" w:sz="2"/>
        </w:tblBorders>
      </w:tblPr>
      <w:tblGrid>
        <w:gridCol w:w="1500"/>
        <w:gridCol w:w="2400"/>
        <w:gridCol w:w="5460"/>
      </w:tblGrid>
      <w:tr>
        <w:trPr>
          <w:cantSplit/>
          <w:tblHeader/>
        </w:trPr>
        <w:tc>
          <w:tcPr>
            <w:tcW w:type="dxa" w:w="1500"/>
            <w:shd w:fill="4F46E5" w:color="auto" w:val="clear"/>
            <w:tcMar>
              <w:top w:type="dxa" w:w="40"/>
              <w:left w:type="dxa" w:w="90"/>
              <w:bottom w:type="dxa" w:w="40"/>
              <w:right w:type="dxa" w:w="90"/>
            </w:tcMar>
          </w:tcPr>
          <w:p>
            <w:pPr>
              <w:spacing w:after="20" w:before="20"/>
              <w:jc w:val="left"/>
            </w:pPr>
            <w:r>
              <w:rPr>
                <w:rFonts w:ascii="Calibri" w:cs="Calibri" w:eastAsia="Calibri" w:hAnsi="Calibri"/>
                <w:b/>
                <w:bCs/>
                <w:color w:val="FFFFFF"/>
                <w:sz w:val="19"/>
                <w:szCs w:val="19"/>
              </w:rPr>
              <w:t xml:space="preserve">Tier</w:t>
            </w:r>
          </w:p>
        </w:tc>
        <w:tc>
          <w:tcPr>
            <w:tcW w:type="dxa" w:w="2400"/>
            <w:shd w:fill="4F46E5" w:color="auto" w:val="clear"/>
            <w:tcMar>
              <w:top w:type="dxa" w:w="40"/>
              <w:left w:type="dxa" w:w="90"/>
              <w:bottom w:type="dxa" w:w="40"/>
              <w:right w:type="dxa" w:w="90"/>
            </w:tcMar>
          </w:tcPr>
          <w:p>
            <w:pPr>
              <w:spacing w:after="20" w:before="20"/>
              <w:jc w:val="left"/>
            </w:pPr>
            <w:r>
              <w:rPr>
                <w:rFonts w:ascii="Calibri" w:cs="Calibri" w:eastAsia="Calibri" w:hAnsi="Calibri"/>
                <w:b/>
                <w:bCs/>
                <w:color w:val="FFFFFF"/>
                <w:sz w:val="19"/>
                <w:szCs w:val="19"/>
              </w:rPr>
              <w:t xml:space="preserve">Technology</w:t>
            </w:r>
          </w:p>
        </w:tc>
        <w:tc>
          <w:tcPr>
            <w:tcW w:type="dxa" w:w="5460"/>
            <w:shd w:fill="4F46E5" w:color="auto" w:val="clear"/>
            <w:tcMar>
              <w:top w:type="dxa" w:w="40"/>
              <w:left w:type="dxa" w:w="90"/>
              <w:bottom w:type="dxa" w:w="40"/>
              <w:right w:type="dxa" w:w="90"/>
            </w:tcMar>
          </w:tcPr>
          <w:p>
            <w:pPr>
              <w:spacing w:after="20" w:before="20"/>
              <w:jc w:val="left"/>
            </w:pPr>
            <w:r>
              <w:rPr>
                <w:rFonts w:ascii="Calibri" w:cs="Calibri" w:eastAsia="Calibri" w:hAnsi="Calibri"/>
                <w:b/>
                <w:bCs/>
                <w:color w:val="FFFFFF"/>
                <w:sz w:val="19"/>
                <w:szCs w:val="19"/>
              </w:rPr>
              <w:t xml:space="preserve">Responsibility</w:t>
            </w:r>
          </w:p>
        </w:tc>
      </w:tr>
      <w:tr>
        <w:trPr>
          <w:cantSplit/>
        </w:trPr>
        <w:tc>
          <w:tcPr>
            <w:tcW w:type="dxa" w:w="1500"/>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Frontend</w:t>
            </w:r>
          </w:p>
        </w:tc>
        <w:tc>
          <w:tcPr>
            <w:tcW w:type="dxa" w:w="2400"/>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React 18 + Vite</w:t>
            </w:r>
          </w:p>
        </w:tc>
        <w:tc>
          <w:tcPr>
            <w:tcW w:type="dxa" w:w="5460"/>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Single-page app; three role-based workspaces; the 4-step application wizard; all reviewer dashboards.</w:t>
            </w:r>
          </w:p>
        </w:tc>
      </w:tr>
      <w:tr>
        <w:trPr>
          <w:cantSplit/>
        </w:trPr>
        <w:tc>
          <w:tcPr>
            <w:tcW w:type="dxa" w:w="1500"/>
            <w:shd w:fill="EEF2FF" w:color="auto" w:val="clear"/>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Document service</w:t>
            </w:r>
          </w:p>
        </w:tc>
        <w:tc>
          <w:tcPr>
            <w:tcW w:type="dxa" w:w="2400"/>
            <w:shd w:fill="EEF2FF" w:color="auto" w:val="clear"/>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Python 3.13 + FastAPI</w:t>
            </w:r>
          </w:p>
        </w:tc>
        <w:tc>
          <w:tcPr>
            <w:tcW w:type="dxa" w:w="5460"/>
            <w:shd w:fill="EEF2FF" w:color="auto" w:val="clear"/>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OCR extraction, image preprocessing, tampering forensics, face matching, PII masking, compliance engine, lending API gateway.</w:t>
            </w:r>
          </w:p>
        </w:tc>
      </w:tr>
      <w:tr>
        <w:trPr>
          <w:cantSplit/>
        </w:trPr>
        <w:tc>
          <w:tcPr>
            <w:tcW w:type="dxa" w:w="1500"/>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Lending database</w:t>
            </w:r>
          </w:p>
        </w:tc>
        <w:tc>
          <w:tcPr>
            <w:tcW w:type="dxa" w:w="2400"/>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SQL Server 2017+</w:t>
            </w:r>
          </w:p>
        </w:tc>
        <w:tc>
          <w:tcPr>
            <w:tcW w:type="dxa" w:w="5460"/>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Borrowers, applications, documents, officers, fraud cases, notifications, and the process-mining event model.</w:t>
            </w:r>
          </w:p>
        </w:tc>
      </w:tr>
      <w:tr>
        <w:trPr>
          <w:cantSplit/>
        </w:trPr>
        <w:tc>
          <w:tcPr>
            <w:tcW w:type="dxa" w:w="1500"/>
            <w:shd w:fill="EEF2FF" w:color="auto" w:val="clear"/>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Compliance store</w:t>
            </w:r>
          </w:p>
        </w:tc>
        <w:tc>
          <w:tcPr>
            <w:tcW w:type="dxa" w:w="2400"/>
            <w:shd w:fill="EEF2FF" w:color="auto" w:val="clear"/>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SQLite + BM25</w:t>
            </w:r>
          </w:p>
        </w:tc>
        <w:tc>
          <w:tcPr>
            <w:tcW w:type="dxa" w:w="5460"/>
            <w:shd w:fill="EEF2FF" w:color="auto" w:val="clear"/>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Regulatory knowledge base, rules, rule candidates and audit log, seeded at boot.</w:t>
            </w:r>
          </w:p>
        </w:tc>
      </w:tr>
      <w:tr>
        <w:trPr>
          <w:cantSplit/>
        </w:trPr>
        <w:tc>
          <w:tcPr>
            <w:tcW w:type="dxa" w:w="1500"/>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Audit store</w:t>
            </w:r>
          </w:p>
        </w:tc>
        <w:tc>
          <w:tcPr>
            <w:tcW w:type="dxa" w:w="2400"/>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Excel + filesystem</w:t>
            </w:r>
          </w:p>
        </w:tc>
        <w:tc>
          <w:tcPr>
            <w:tcW w:type="dxa" w:w="5460"/>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Submitted applications: original + masked files on disk, dual-sheet applications.xlsx ledger.</w:t>
            </w:r>
          </w:p>
        </w:tc>
      </w:tr>
      <w:tr>
        <w:trPr>
          <w:cantSplit/>
        </w:trPr>
        <w:tc>
          <w:tcPr>
            <w:tcW w:type="dxa" w:w="1500"/>
            <w:shd w:fill="EEF2FF" w:color="auto" w:val="clear"/>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Local AI runtime</w:t>
            </w:r>
          </w:p>
        </w:tc>
        <w:tc>
          <w:tcPr>
            <w:tcW w:type="dxa" w:w="2400"/>
            <w:shd w:fill="EEF2FF" w:color="auto" w:val="clear"/>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Ollama (Qwen2.5-VL 7B)</w:t>
            </w:r>
          </w:p>
        </w:tc>
        <w:tc>
          <w:tcPr>
            <w:tcW w:type="dxa" w:w="5460"/>
            <w:shd w:fill="EEF2FF" w:color="auto" w:val="clear"/>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On-device vision-language OCR, tampering explanations, and the authenticity signal.</w:t>
            </w:r>
          </w:p>
        </w:tc>
      </w:tr>
    </w:tbl>
    <w:p>
      <w:pPr>
        <w:pStyle w:val="Heading2"/>
        <w:keepNext/>
        <w:spacing w:after="100" w:before="240"/>
      </w:pPr>
      <w:r>
        <w:rPr>
          <w:rFonts w:ascii="Calibri" w:cs="Calibri" w:eastAsia="Calibri" w:hAnsi="Calibri"/>
          <w:b/>
          <w:bCs/>
          <w:color w:val="1F2937"/>
          <w:sz w:val="24"/>
          <w:szCs w:val="24"/>
        </w:rPr>
        <w:t xml:space="preserve">2.2 Request flow — a document upload</w:t>
      </w:r>
    </w:p>
    <w:p>
      <w:pPr>
        <w:spacing w:after="120" w:before="0" w:line="276"/>
      </w:pPr>
      <w:r>
        <w:rPr>
          <w:rFonts w:ascii="Calibri" w:cs="Calibri" w:eastAsia="Calibri" w:hAnsi="Calibri"/>
        </w:rPr>
        <w:t xml:space="preserve">When a borrower uploads a document, the system runs a deliberately staged pipeline that separates fast, accuracy-critical work from slow forensic work so the interface stays responsive:</w:t>
      </w:r>
    </w:p>
    <w:p>
      <w:pPr>
        <w:pStyle w:val="ListParagraph"/>
        <w:numPr>
          <w:ilvl w:val="0"/>
          <w:numId w:val="2"/>
        </w:numPr>
        <w:spacing w:after="60" w:line="268"/>
      </w:pPr>
      <w:r>
        <w:rPr>
          <w:rFonts w:ascii="Calibri" w:cs="Calibri" w:eastAsia="Calibri" w:hAnsi="Calibri"/>
          <w:b/>
          <w:bCs/>
          <w:color w:val="0D9488"/>
        </w:rPr>
        <w:t xml:space="preserve">Extraction (POST /extract)</w:t>
      </w:r>
      <w:r>
        <w:rPr>
          <w:rFonts w:ascii="Calibri" w:cs="Calibri" w:eastAsia="Calibri" w:hAnsi="Calibri"/>
        </w:rPr>
        <w:t xml:space="preserve"> — the image is auto-oriented, deskewed and contrast-corrected, then passed to the OCR engine, which returns structured JSON. Guardrails validate every field and compute a confidence score. Typical latency is a few seconds.</w:t>
      </w:r>
    </w:p>
    <w:p>
      <w:pPr>
        <w:pStyle w:val="ListParagraph"/>
        <w:numPr>
          <w:ilvl w:val="0"/>
          <w:numId w:val="2"/>
        </w:numPr>
        <w:spacing w:after="60" w:line="268"/>
      </w:pPr>
      <w:r>
        <w:rPr>
          <w:rFonts w:ascii="Calibri" w:cs="Calibri" w:eastAsia="Calibri" w:hAnsi="Calibri"/>
          <w:b/>
          <w:bCs/>
          <w:color w:val="0D9488"/>
        </w:rPr>
        <w:t xml:space="preserve">Integrity (POST /document/integrity)</w:t>
      </w:r>
      <w:r>
        <w:rPr>
          <w:rFonts w:ascii="Calibri" w:cs="Calibri" w:eastAsia="Calibri" w:hAnsi="Calibri"/>
        </w:rPr>
        <w:t xml:space="preserve"> — the slow forensic cascade (20–80s) runs once, deferred to the Review &amp; Submit step, on the original pixels so compression and noise traces survive.</w:t>
      </w:r>
    </w:p>
    <w:p>
      <w:pPr>
        <w:pStyle w:val="ListParagraph"/>
        <w:numPr>
          <w:ilvl w:val="0"/>
          <w:numId w:val="2"/>
        </w:numPr>
        <w:spacing w:after="60" w:line="268"/>
      </w:pPr>
      <w:r>
        <w:rPr>
          <w:rFonts w:ascii="Calibri" w:cs="Calibri" w:eastAsia="Calibri" w:hAnsi="Calibri"/>
          <w:b/>
          <w:bCs/>
          <w:color w:val="0D9488"/>
        </w:rPr>
        <w:t xml:space="preserve">On-demand explain / locate / mask / face</w:t>
      </w:r>
      <w:r>
        <w:rPr>
          <w:rFonts w:ascii="Calibri" w:cs="Calibri" w:eastAsia="Calibri" w:hAnsi="Calibri"/>
        </w:rPr>
        <w:t xml:space="preserve"> — additional endpoints produce plain-language explanations, box the exact locations of findings, redact PII, and cross-check faces, each invoked only when the reviewer needs it.</w:t>
      </w:r>
    </w:p>
    <w:tbl>
      <w:tblPr>
        <w:tblW w:type="dxa" w:w="9360"/>
        <w:tblBorders>
          <w:top w:val="single" w:color="B45309" w:sz="2"/>
          <w:left w:val="single" w:color="B45309" w:sz="24"/>
          <w:bottom w:val="single" w:color="B45309" w:sz="2"/>
          <w:right w:val="single" w:color="B45309" w:sz="2"/>
          <w:insideH w:val="none"/>
          <w:insideV w:val="none"/>
        </w:tblBorders>
      </w:tblPr>
      <w:tblGrid>
        <w:gridCol w:w="9360"/>
      </w:tblGrid>
      <w:tr>
        <w:tc>
          <w:tcPr>
            <w:tcW w:type="dxa" w:w="9360"/>
            <w:shd w:fill="F3F4F6" w:color="auto" w:val="clear"/>
            <w:tcMar>
              <w:top w:type="dxa" w:w="120"/>
              <w:left w:type="dxa" w:w="200"/>
              <w:bottom w:type="dxa" w:w="120"/>
              <w:right w:type="dxa" w:w="160"/>
            </w:tcMar>
          </w:tcPr>
          <w:p>
            <w:pPr>
              <w:spacing w:after="40"/>
            </w:pPr>
            <w:r>
              <w:rPr>
                <w:rFonts w:ascii="Calibri" w:cs="Calibri" w:eastAsia="Calibri" w:hAnsi="Calibri"/>
                <w:b/>
                <w:bCs/>
                <w:color w:val="B45309"/>
                <w:sz w:val="20"/>
                <w:szCs w:val="20"/>
              </w:rPr>
              <w:t xml:space="preserve">Why the split matters</w:t>
            </w:r>
          </w:p>
          <w:p>
            <w:pPr>
              <w:spacing w:after="40"/>
            </w:pPr>
            <w:r>
              <w:rPr>
                <w:rFonts w:ascii="Calibri" w:cs="Calibri" w:eastAsia="Calibri" w:hAnsi="Calibri"/>
                <w:color w:val="1F2937"/>
                <w:sz w:val="20"/>
                <w:szCs w:val="20"/>
              </w:rPr>
              <w:t xml:space="preserve">Preprocessing must run before extraction because a rotated or skewed card causes the vision model to bleed text between fields. Tampering forensics must run on the raw bytes, because preprocessing rewrites pixels and would erase the very traces the forensic signals read. Separating the two endpoints satisfies both constraints at once.</w:t>
            </w:r>
          </w:p>
        </w:tc>
      </w:tr>
    </w:tbl>
    <w:p>
      <w:pPr>
        <w:pStyle w:val="Heading1"/>
        <w:keepNext/>
        <w:pBdr>
          <w:bottom w:val="single" w:color="E5E7EB" w:sz="4"/>
        </w:pBdr>
        <w:spacing w:after="160" w:before="360"/>
      </w:pPr>
      <w:r>
        <w:rPr>
          <w:rFonts w:ascii="Calibri" w:cs="Calibri" w:eastAsia="Calibri" w:hAnsi="Calibri"/>
          <w:b/>
          <w:bCs/>
          <w:color w:val="3730A3"/>
          <w:sz w:val="30"/>
          <w:szCs w:val="30"/>
        </w:rPr>
        <w:t xml:space="preserve">3. Technology Stack</w:t>
      </w:r>
    </w:p>
    <w:tbl>
      <w:tblPr>
        <w:tblW w:type="dxa" w:w="9360"/>
        <w:tblBorders>
          <w:top w:val="single" w:color="D1D5DB" w:sz="2"/>
          <w:left w:val="single" w:color="D1D5DB" w:sz="2"/>
          <w:bottom w:val="single" w:color="D1D5DB" w:sz="2"/>
          <w:right w:val="single" w:color="D1D5DB" w:sz="2"/>
          <w:insideH w:val="single" w:color="D1D5DB" w:sz="2"/>
          <w:insideV w:val="single" w:color="D1D5DB" w:sz="2"/>
        </w:tblBorders>
      </w:tblPr>
      <w:tblGrid>
        <w:gridCol w:w="1900"/>
        <w:gridCol w:w="7460"/>
      </w:tblGrid>
      <w:tr>
        <w:trPr>
          <w:cantSplit/>
          <w:tblHeader/>
        </w:trPr>
        <w:tc>
          <w:tcPr>
            <w:tcW w:type="dxa" w:w="1900"/>
            <w:shd w:fill="4F46E5" w:color="auto" w:val="clear"/>
            <w:tcMar>
              <w:top w:type="dxa" w:w="40"/>
              <w:left w:type="dxa" w:w="90"/>
              <w:bottom w:type="dxa" w:w="40"/>
              <w:right w:type="dxa" w:w="90"/>
            </w:tcMar>
          </w:tcPr>
          <w:p>
            <w:pPr>
              <w:spacing w:after="20" w:before="20"/>
              <w:jc w:val="left"/>
            </w:pPr>
            <w:r>
              <w:rPr>
                <w:rFonts w:ascii="Calibri" w:cs="Calibri" w:eastAsia="Calibri" w:hAnsi="Calibri"/>
                <w:b/>
                <w:bCs/>
                <w:color w:val="FFFFFF"/>
                <w:sz w:val="19"/>
                <w:szCs w:val="19"/>
              </w:rPr>
              <w:t xml:space="preserve">Layer</w:t>
            </w:r>
          </w:p>
        </w:tc>
        <w:tc>
          <w:tcPr>
            <w:tcW w:type="dxa" w:w="7460"/>
            <w:shd w:fill="4F46E5" w:color="auto" w:val="clear"/>
            <w:tcMar>
              <w:top w:type="dxa" w:w="40"/>
              <w:left w:type="dxa" w:w="90"/>
              <w:bottom w:type="dxa" w:w="40"/>
              <w:right w:type="dxa" w:w="90"/>
            </w:tcMar>
          </w:tcPr>
          <w:p>
            <w:pPr>
              <w:spacing w:after="20" w:before="20"/>
              <w:jc w:val="left"/>
            </w:pPr>
            <w:r>
              <w:rPr>
                <w:rFonts w:ascii="Calibri" w:cs="Calibri" w:eastAsia="Calibri" w:hAnsi="Calibri"/>
                <w:b/>
                <w:bCs/>
                <w:color w:val="FFFFFF"/>
                <w:sz w:val="19"/>
                <w:szCs w:val="19"/>
              </w:rPr>
              <w:t xml:space="preserve">Libraries &amp; tools</w:t>
            </w:r>
          </w:p>
        </w:tc>
      </w:tr>
      <w:tr>
        <w:trPr>
          <w:cantSplit/>
        </w:trPr>
        <w:tc>
          <w:tcPr>
            <w:tcW w:type="dxa" w:w="1900"/>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Frontend</w:t>
            </w:r>
          </w:p>
        </w:tc>
        <w:tc>
          <w:tcPr>
            <w:tcW w:type="dxa" w:w="7460"/>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React 18, Vite 5, lucide-react icons, a token-driven CSS design system (no UI framework dependency).</w:t>
            </w:r>
          </w:p>
        </w:tc>
      </w:tr>
      <w:tr>
        <w:trPr>
          <w:cantSplit/>
        </w:trPr>
        <w:tc>
          <w:tcPr>
            <w:tcW w:type="dxa" w:w="1900"/>
            <w:shd w:fill="EEF2FF" w:color="auto" w:val="clear"/>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Web/API</w:t>
            </w:r>
          </w:p>
        </w:tc>
        <w:tc>
          <w:tcPr>
            <w:tcW w:type="dxa" w:w="7460"/>
            <w:shd w:fill="EEF2FF" w:color="auto" w:val="clear"/>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FastAPI 0.115, Uvicorn, Pydantic v2, python-multipart, httpx.</w:t>
            </w:r>
          </w:p>
        </w:tc>
      </w:tr>
      <w:tr>
        <w:trPr>
          <w:cantSplit/>
        </w:trPr>
        <w:tc>
          <w:tcPr>
            <w:tcW w:type="dxa" w:w="1900"/>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Vision &amp; OCR</w:t>
            </w:r>
          </w:p>
        </w:tc>
        <w:tc>
          <w:tcPr>
            <w:tcW w:type="dxa" w:w="7460"/>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Qwen2.5-VL 7B (Ollama), Anthropic Claude, RapidOCR (PP-OCR via ONNXRuntime), Pillow, OpenCV, pypdfium2.</w:t>
            </w:r>
          </w:p>
        </w:tc>
      </w:tr>
      <w:tr>
        <w:trPr>
          <w:cantSplit/>
        </w:trPr>
        <w:tc>
          <w:tcPr>
            <w:tcW w:type="dxa" w:w="1900"/>
            <w:shd w:fill="EEF2FF" w:color="auto" w:val="clear"/>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Forensics &amp; ML</w:t>
            </w:r>
          </w:p>
        </w:tc>
        <w:tc>
          <w:tcPr>
            <w:tcW w:type="dxa" w:w="7460"/>
            <w:shd w:fill="EEF2FF" w:color="auto" w:val="clear"/>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PyTorch (tampering CNN), OpenCV (copy-move/ELA/noise), ONNXRuntime (YuNet + SFace face models).</w:t>
            </w:r>
          </w:p>
        </w:tc>
      </w:tr>
      <w:tr>
        <w:trPr>
          <w:cantSplit/>
        </w:trPr>
        <w:tc>
          <w:tcPr>
            <w:tcW w:type="dxa" w:w="1900"/>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Compliance</w:t>
            </w:r>
          </w:p>
        </w:tc>
        <w:tc>
          <w:tcPr>
            <w:tcW w:type="dxa" w:w="7460"/>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SQLite, an in-process BM25 retrieval index, a sandboxed safe-expression evaluator for rules.</w:t>
            </w:r>
          </w:p>
        </w:tc>
      </w:tr>
      <w:tr>
        <w:trPr>
          <w:cantSplit/>
        </w:trPr>
        <w:tc>
          <w:tcPr>
            <w:tcW w:type="dxa" w:w="1900"/>
            <w:shd w:fill="EEF2FF" w:color="auto" w:val="clear"/>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Data platform</w:t>
            </w:r>
          </w:p>
        </w:tc>
        <w:tc>
          <w:tcPr>
            <w:tcW w:type="dxa" w:w="7460"/>
            <w:shd w:fill="EEF2FF" w:color="auto" w:val="clear"/>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SQL Server 2017+ via pyodbc; OCEL 2.0 process-mining schema; openpyxl for the audit ledger.</w:t>
            </w:r>
          </w:p>
        </w:tc>
      </w:tr>
      <w:tr>
        <w:trPr>
          <w:cantSplit/>
        </w:trPr>
        <w:tc>
          <w:tcPr>
            <w:tcW w:type="dxa" w:w="1900"/>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Config &amp; ops</w:t>
            </w:r>
          </w:p>
        </w:tc>
        <w:tc>
          <w:tcPr>
            <w:tcW w:type="dxa" w:w="7460"/>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pydantic-settings / .env driven; PyYAML for the tunable tampering config.</w:t>
            </w:r>
          </w:p>
        </w:tc>
      </w:tr>
    </w:tbl>
    <w:p>
      <w:pPr>
        <w:spacing w:after="120" w:before="0" w:line="276"/>
      </w:pPr>
      <w:r>
        <w:rPr>
          <w:rFonts w:ascii="Calibri" w:cs="Calibri" w:eastAsia="Calibri" w:hAnsi="Calibri"/>
        </w:rPr>
        <w:t xml:space="preserve">A deliberate architectural choice runs through the stack: </w:t>
      </w:r>
      <w:r>
        <w:rPr>
          <w:rFonts w:ascii="Calibri" w:cs="Calibri" w:eastAsia="Calibri" w:hAnsi="Calibri"/>
          <w:b/>
          <w:bCs/>
        </w:rPr>
        <w:t xml:space="preserve">no threshold, weight or model name is hard-coded in application logic.</w:t>
      </w:r>
      <w:r>
        <w:rPr>
          <w:rFonts w:ascii="Calibri" w:cs="Calibri" w:eastAsia="Calibri" w:hAnsi="Calibri"/>
        </w:rPr>
        <w:t xml:space="preserve"> OCR provider, preprocessing, every tampering weight and tier cutoff, the authenticity doc-type allow-list, and all database settings are driven from configuration files (.env and config.yaml), so the platform is retuned by editing config and restarting — never by editing code.</w:t>
      </w:r>
    </w:p>
    <w:p>
      <w:pPr>
        <w:pStyle w:val="Heading1"/>
        <w:keepNext/>
        <w:pBdr>
          <w:bottom w:val="single" w:color="E5E7EB" w:sz="4"/>
        </w:pBdr>
        <w:spacing w:after="160" w:before="360"/>
      </w:pPr>
      <w:r>
        <w:rPr>
          <w:rFonts w:ascii="Calibri" w:cs="Calibri" w:eastAsia="Calibri" w:hAnsi="Calibri"/>
          <w:b/>
          <w:bCs/>
          <w:color w:val="3730A3"/>
          <w:sz w:val="30"/>
          <w:szCs w:val="30"/>
        </w:rPr>
        <w:t xml:space="preserve">4. Role-Based Application</w:t>
      </w:r>
    </w:p>
    <w:p>
      <w:pPr>
        <w:spacing w:after="120" w:before="0" w:line="276"/>
      </w:pPr>
      <w:r>
        <w:rPr>
          <w:rFonts w:ascii="Calibri" w:cs="Calibri" w:eastAsia="Calibri" w:hAnsi="Calibri"/>
        </w:rPr>
        <w:t xml:space="preserve">The frontend resolves the signed-in person from the database and renders one of three role-specific workspaces. Each screen queries with the real user's identity, so officers and managers see live lending data rather than placeholder content.</w:t>
      </w:r>
    </w:p>
    <w:p>
      <w:pPr>
        <w:pStyle w:val="Heading2"/>
        <w:keepNext/>
        <w:spacing w:after="100" w:before="240"/>
      </w:pPr>
      <w:r>
        <w:rPr>
          <w:rFonts w:ascii="Calibri" w:cs="Calibri" w:eastAsia="Calibri" w:hAnsi="Calibri"/>
          <w:b/>
          <w:bCs/>
          <w:color w:val="1F2937"/>
          <w:sz w:val="24"/>
          <w:szCs w:val="24"/>
        </w:rPr>
        <w:t xml:space="preserve">4.1 The three roles</w:t>
      </w:r>
    </w:p>
    <w:tbl>
      <w:tblPr>
        <w:tblW w:type="dxa" w:w="9360"/>
        <w:tblBorders>
          <w:top w:val="single" w:color="D1D5DB" w:sz="2"/>
          <w:left w:val="single" w:color="D1D5DB" w:sz="2"/>
          <w:bottom w:val="single" w:color="D1D5DB" w:sz="2"/>
          <w:right w:val="single" w:color="D1D5DB" w:sz="2"/>
          <w:insideH w:val="single" w:color="D1D5DB" w:sz="2"/>
          <w:insideV w:val="single" w:color="D1D5DB" w:sz="2"/>
        </w:tblBorders>
      </w:tblPr>
      <w:tblGrid>
        <w:gridCol w:w="2200"/>
        <w:gridCol w:w="2400"/>
        <w:gridCol w:w="4760"/>
      </w:tblGrid>
      <w:tr>
        <w:trPr>
          <w:cantSplit/>
          <w:tblHeader/>
        </w:trPr>
        <w:tc>
          <w:tcPr>
            <w:tcW w:type="dxa" w:w="2200"/>
            <w:shd w:fill="4F46E5" w:color="auto" w:val="clear"/>
            <w:tcMar>
              <w:top w:type="dxa" w:w="40"/>
              <w:left w:type="dxa" w:w="90"/>
              <w:bottom w:type="dxa" w:w="40"/>
              <w:right w:type="dxa" w:w="90"/>
            </w:tcMar>
          </w:tcPr>
          <w:p>
            <w:pPr>
              <w:spacing w:after="20" w:before="20"/>
              <w:jc w:val="left"/>
            </w:pPr>
            <w:r>
              <w:rPr>
                <w:rFonts w:ascii="Calibri" w:cs="Calibri" w:eastAsia="Calibri" w:hAnsi="Calibri"/>
                <w:b/>
                <w:bCs/>
                <w:color w:val="FFFFFF"/>
                <w:sz w:val="19"/>
                <w:szCs w:val="19"/>
              </w:rPr>
              <w:t xml:space="preserve">Role</w:t>
            </w:r>
          </w:p>
        </w:tc>
        <w:tc>
          <w:tcPr>
            <w:tcW w:type="dxa" w:w="2400"/>
            <w:shd w:fill="4F46E5" w:color="auto" w:val="clear"/>
            <w:tcMar>
              <w:top w:type="dxa" w:w="40"/>
              <w:left w:type="dxa" w:w="90"/>
              <w:bottom w:type="dxa" w:w="40"/>
              <w:right w:type="dxa" w:w="90"/>
            </w:tcMar>
          </w:tcPr>
          <w:p>
            <w:pPr>
              <w:spacing w:after="20" w:before="20"/>
              <w:jc w:val="left"/>
            </w:pPr>
            <w:r>
              <w:rPr>
                <w:rFonts w:ascii="Calibri" w:cs="Calibri" w:eastAsia="Calibri" w:hAnsi="Calibri"/>
                <w:b/>
                <w:bCs/>
                <w:color w:val="FFFFFF"/>
                <w:sz w:val="19"/>
                <w:szCs w:val="19"/>
              </w:rPr>
              <w:t xml:space="preserve">Identity</w:t>
            </w:r>
          </w:p>
        </w:tc>
        <w:tc>
          <w:tcPr>
            <w:tcW w:type="dxa" w:w="4760"/>
            <w:shd w:fill="4F46E5" w:color="auto" w:val="clear"/>
            <w:tcMar>
              <w:top w:type="dxa" w:w="40"/>
              <w:left w:type="dxa" w:w="90"/>
              <w:bottom w:type="dxa" w:w="40"/>
              <w:right w:type="dxa" w:w="90"/>
            </w:tcMar>
          </w:tcPr>
          <w:p>
            <w:pPr>
              <w:spacing w:after="20" w:before="20"/>
              <w:jc w:val="left"/>
            </w:pPr>
            <w:r>
              <w:rPr>
                <w:rFonts w:ascii="Calibri" w:cs="Calibri" w:eastAsia="Calibri" w:hAnsi="Calibri"/>
                <w:b/>
                <w:bCs/>
                <w:color w:val="FFFFFF"/>
                <w:sz w:val="19"/>
                <w:szCs w:val="19"/>
              </w:rPr>
              <w:t xml:space="preserve">Purpose</w:t>
            </w:r>
          </w:p>
        </w:tc>
      </w:tr>
      <w:tr>
        <w:trPr>
          <w:cantSplit/>
        </w:trPr>
        <w:tc>
          <w:tcPr>
            <w:tcW w:type="dxa" w:w="2200"/>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Borrower</w:t>
            </w:r>
          </w:p>
        </w:tc>
        <w:tc>
          <w:tcPr>
            <w:tcW w:type="dxa" w:w="2400"/>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Self-service portal</w:t>
            </w:r>
          </w:p>
        </w:tc>
        <w:tc>
          <w:tcPr>
            <w:tcW w:type="dxa" w:w="4760"/>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Apply for a loan, upload documents through the guided wizard, and track application status.</w:t>
            </w:r>
          </w:p>
        </w:tc>
      </w:tr>
      <w:tr>
        <w:trPr>
          <w:cantSplit/>
        </w:trPr>
        <w:tc>
          <w:tcPr>
            <w:tcW w:type="dxa" w:w="2200"/>
            <w:shd w:fill="EEF2FF" w:color="auto" w:val="clear"/>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Underwriting Officer</w:t>
            </w:r>
          </w:p>
        </w:tc>
        <w:tc>
          <w:tcPr>
            <w:tcW w:type="dxa" w:w="2400"/>
            <w:shd w:fill="EEF2FF" w:color="auto" w:val="clear"/>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Credit team</w:t>
            </w:r>
          </w:p>
        </w:tc>
        <w:tc>
          <w:tcPr>
            <w:tcW w:type="dxa" w:w="4760"/>
            <w:shd w:fill="EEF2FF" w:color="auto" w:val="clear"/>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Review assigned applications, run Customer 360°, work fraud and policy queues, and generate reports.</w:t>
            </w:r>
          </w:p>
        </w:tc>
      </w:tr>
      <w:tr>
        <w:trPr>
          <w:cantSplit/>
        </w:trPr>
        <w:tc>
          <w:tcPr>
            <w:tcW w:type="dxa" w:w="2200"/>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Head Manager</w:t>
            </w:r>
          </w:p>
        </w:tc>
        <w:tc>
          <w:tcPr>
            <w:tcW w:type="dxa" w:w="2400"/>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Full platform access</w:t>
            </w:r>
          </w:p>
        </w:tc>
        <w:tc>
          <w:tcPr>
            <w:tcW w:type="dxa" w:w="4760"/>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Everything the officer has, plus the executive dashboard, the RBI compliance console, and platform-wide oversight.</w:t>
            </w:r>
          </w:p>
        </w:tc>
      </w:tr>
    </w:tbl>
    <w:p>
      <w:pPr>
        <w:pStyle w:val="Heading2"/>
        <w:keepNext/>
        <w:spacing w:after="100" w:before="240"/>
      </w:pPr>
      <w:r>
        <w:rPr>
          <w:rFonts w:ascii="Calibri" w:cs="Calibri" w:eastAsia="Calibri" w:hAnsi="Calibri"/>
          <w:b/>
          <w:bCs/>
          <w:color w:val="1F2937"/>
          <w:sz w:val="24"/>
          <w:szCs w:val="24"/>
        </w:rPr>
        <w:t xml:space="preserve">4.2 The borrower journey — 4-step application wizard</w:t>
      </w:r>
    </w:p>
    <w:p>
      <w:pPr>
        <w:pStyle w:val="ListParagraph"/>
        <w:numPr>
          <w:ilvl w:val="0"/>
          <w:numId w:val="2"/>
        </w:numPr>
        <w:spacing w:after="60" w:line="268"/>
      </w:pPr>
      <w:r>
        <w:rPr>
          <w:rFonts w:ascii="Calibri" w:cs="Calibri" w:eastAsia="Calibri" w:hAnsi="Calibri"/>
          <w:b/>
          <w:bCs/>
        </w:rPr>
        <w:t xml:space="preserve">Loan selection</w:t>
      </w:r>
      <w:r>
        <w:rPr>
          <w:rFonts w:ascii="Calibri" w:cs="Calibri" w:eastAsia="Calibri" w:hAnsi="Calibri"/>
        </w:rPr>
        <w:t xml:space="preserve"> — choose a product; the form adapts required documents to the loan type.</w:t>
      </w:r>
    </w:p>
    <w:p>
      <w:pPr>
        <w:pStyle w:val="ListParagraph"/>
        <w:numPr>
          <w:ilvl w:val="0"/>
          <w:numId w:val="2"/>
        </w:numPr>
        <w:spacing w:after="60" w:line="268"/>
      </w:pPr>
      <w:r>
        <w:rPr>
          <w:rFonts w:ascii="Calibri" w:cs="Calibri" w:eastAsia="Calibri" w:hAnsi="Calibri"/>
          <w:b/>
          <w:bCs/>
        </w:rPr>
        <w:t xml:space="preserve">Document upload</w:t>
      </w:r>
      <w:r>
        <w:rPr>
          <w:rFonts w:ascii="Calibri" w:cs="Calibri" w:eastAsia="Calibri" w:hAnsi="Calibri"/>
        </w:rPr>
        <w:t xml:space="preserve"> — each slot extracts fields on the fly, shows a cleaned preview, and flags low-confidence fields for the borrower to confirm.</w:t>
      </w:r>
    </w:p>
    <w:p>
      <w:pPr>
        <w:pStyle w:val="ListParagraph"/>
        <w:numPr>
          <w:ilvl w:val="0"/>
          <w:numId w:val="2"/>
        </w:numPr>
        <w:spacing w:after="60" w:line="268"/>
      </w:pPr>
      <w:r>
        <w:rPr>
          <w:rFonts w:ascii="Calibri" w:cs="Calibri" w:eastAsia="Calibri" w:hAnsi="Calibri"/>
          <w:b/>
          <w:bCs/>
        </w:rPr>
        <w:t xml:space="preserve">Application form</w:t>
      </w:r>
      <w:r>
        <w:rPr>
          <w:rFonts w:ascii="Calibri" w:cs="Calibri" w:eastAsia="Calibri" w:hAnsi="Calibri"/>
        </w:rPr>
        <w:t xml:space="preserve"> — fields autofill from the extracted documents; the borrower confirms or corrects them.</w:t>
      </w:r>
    </w:p>
    <w:p>
      <w:pPr>
        <w:pStyle w:val="ListParagraph"/>
        <w:numPr>
          <w:ilvl w:val="0"/>
          <w:numId w:val="2"/>
        </w:numPr>
        <w:spacing w:after="60" w:line="268"/>
      </w:pPr>
      <w:r>
        <w:rPr>
          <w:rFonts w:ascii="Calibri" w:cs="Calibri" w:eastAsia="Calibri" w:hAnsi="Calibri"/>
          <w:b/>
          <w:bCs/>
        </w:rPr>
        <w:t xml:space="preserve">Review &amp; Submit</w:t>
      </w:r>
      <w:r>
        <w:rPr>
          <w:rFonts w:ascii="Calibri" w:cs="Calibri" w:eastAsia="Calibri" w:hAnsi="Calibri"/>
        </w:rPr>
        <w:t xml:space="preserve"> — the deferred integrity, face-verification and PII-masking passes run here; the borrower reviews a complete summary before submitting.</w:t>
      </w:r>
    </w:p>
    <w:p>
      <w:pPr>
        <w:pStyle w:val="Heading2"/>
        <w:keepNext/>
        <w:spacing w:after="100" w:before="240"/>
      </w:pPr>
      <w:r>
        <w:rPr>
          <w:rFonts w:ascii="Calibri" w:cs="Calibri" w:eastAsia="Calibri" w:hAnsi="Calibri"/>
          <w:b/>
          <w:bCs/>
          <w:color w:val="1F2937"/>
          <w:sz w:val="24"/>
          <w:szCs w:val="24"/>
        </w:rPr>
        <w:t xml:space="preserve">4.3 Reviewer workspaces</w:t>
      </w:r>
    </w:p>
    <w:p>
      <w:pPr>
        <w:pStyle w:val="ListParagraph"/>
        <w:numPr>
          <w:ilvl w:val="0"/>
          <w:numId w:val="2"/>
        </w:numPr>
        <w:spacing w:after="60" w:line="268"/>
      </w:pPr>
      <w:r>
        <w:rPr>
          <w:rFonts w:ascii="Calibri" w:cs="Calibri" w:eastAsia="Calibri" w:hAnsi="Calibri"/>
          <w:b/>
          <w:bCs/>
        </w:rPr>
        <w:t xml:space="preserve">Customer 360°</w:t>
      </w:r>
      <w:r>
        <w:rPr>
          <w:rFonts w:ascii="Calibri" w:cs="Calibri" w:eastAsia="Calibri" w:hAnsi="Calibri"/>
        </w:rPr>
        <w:t xml:space="preserve"> — a consolidated applicant view merging documents, extracted fields, risk, fraud signals and an RBI compliance tab.</w:t>
      </w:r>
    </w:p>
    <w:p>
      <w:pPr>
        <w:pStyle w:val="ListParagraph"/>
        <w:numPr>
          <w:ilvl w:val="0"/>
          <w:numId w:val="2"/>
        </w:numPr>
        <w:spacing w:after="60" w:line="268"/>
      </w:pPr>
      <w:r>
        <w:rPr>
          <w:rFonts w:ascii="Calibri" w:cs="Calibri" w:eastAsia="Calibri" w:hAnsi="Calibri"/>
          <w:b/>
          <w:bCs/>
        </w:rPr>
        <w:t xml:space="preserve">Risk Dashboard</w:t>
      </w:r>
      <w:r>
        <w:rPr>
          <w:rFonts w:ascii="Calibri" w:cs="Calibri" w:eastAsia="Calibri" w:hAnsi="Calibri"/>
        </w:rPr>
        <w:t xml:space="preserve"> — portfolio-level risk with SHAP-style factor breakdowns per applicant.</w:t>
      </w:r>
    </w:p>
    <w:p>
      <w:pPr>
        <w:pStyle w:val="ListParagraph"/>
        <w:numPr>
          <w:ilvl w:val="0"/>
          <w:numId w:val="2"/>
        </w:numPr>
        <w:spacing w:after="60" w:line="268"/>
      </w:pPr>
      <w:r>
        <w:rPr>
          <w:rFonts w:ascii="Calibri" w:cs="Calibri" w:eastAsia="Calibri" w:hAnsi="Calibri"/>
          <w:b/>
          <w:bCs/>
        </w:rPr>
        <w:t xml:space="preserve">Fraud queue</w:t>
      </w:r>
      <w:r>
        <w:rPr>
          <w:rFonts w:ascii="Calibri" w:cs="Calibri" w:eastAsia="Calibri" w:hAnsi="Calibri"/>
        </w:rPr>
        <w:t xml:space="preserve"> — cases raised by the tampering and face-match modules, with severity badges.</w:t>
      </w:r>
    </w:p>
    <w:p>
      <w:pPr>
        <w:pStyle w:val="ListParagraph"/>
        <w:numPr>
          <w:ilvl w:val="0"/>
          <w:numId w:val="2"/>
        </w:numPr>
        <w:spacing w:after="60" w:line="268"/>
      </w:pPr>
      <w:r>
        <w:rPr>
          <w:rFonts w:ascii="Calibri" w:cs="Calibri" w:eastAsia="Calibri" w:hAnsi="Calibri"/>
          <w:b/>
          <w:bCs/>
        </w:rPr>
        <w:t xml:space="preserve">Policy Engine</w:t>
      </w:r>
      <w:r>
        <w:rPr>
          <w:rFonts w:ascii="Calibri" w:cs="Calibri" w:eastAsia="Calibri" w:hAnsi="Calibri"/>
        </w:rPr>
        <w:t xml:space="preserve"> — an interactive Q&amp;A chat over the regulatory knowledge base and per-applicant rule checks.</w:t>
      </w:r>
    </w:p>
    <w:p>
      <w:pPr>
        <w:pStyle w:val="ListParagraph"/>
        <w:numPr>
          <w:ilvl w:val="0"/>
          <w:numId w:val="2"/>
        </w:numPr>
        <w:spacing w:after="60" w:line="268"/>
      </w:pPr>
      <w:r>
        <w:rPr>
          <w:rFonts w:ascii="Calibri" w:cs="Calibri" w:eastAsia="Calibri" w:hAnsi="Calibri"/>
          <w:b/>
          <w:bCs/>
        </w:rPr>
        <w:t xml:space="preserve">Knowledge Graph</w:t>
      </w:r>
      <w:r>
        <w:rPr>
          <w:rFonts w:ascii="Calibri" w:cs="Calibri" w:eastAsia="Calibri" w:hAnsi="Calibri"/>
        </w:rPr>
        <w:t xml:space="preserve"> — relationship view linking applicants, documents and entities.</w:t>
      </w:r>
    </w:p>
    <w:p>
      <w:pPr>
        <w:pStyle w:val="ListParagraph"/>
        <w:numPr>
          <w:ilvl w:val="0"/>
          <w:numId w:val="2"/>
        </w:numPr>
        <w:spacing w:after="60" w:line="268"/>
      </w:pPr>
      <w:r>
        <w:rPr>
          <w:rFonts w:ascii="Calibri" w:cs="Calibri" w:eastAsia="Calibri" w:hAnsi="Calibri"/>
          <w:b/>
          <w:bCs/>
        </w:rPr>
        <w:t xml:space="preserve">Reports, Notifications, Settings</w:t>
      </w:r>
      <w:r>
        <w:rPr>
          <w:rFonts w:ascii="Calibri" w:cs="Calibri" w:eastAsia="Calibri" w:hAnsi="Calibri"/>
        </w:rPr>
        <w:t xml:space="preserve"> — operational tooling for each role.</w:t>
      </w:r>
    </w:p>
    <w:p>
      <w:pPr>
        <w:pStyle w:val="ListParagraph"/>
        <w:numPr>
          <w:ilvl w:val="0"/>
          <w:numId w:val="2"/>
        </w:numPr>
        <w:spacing w:after="60" w:line="268"/>
      </w:pPr>
      <w:r>
        <w:rPr>
          <w:rFonts w:ascii="Calibri" w:cs="Calibri" w:eastAsia="Calibri" w:hAnsi="Calibri"/>
          <w:b/>
          <w:bCs/>
        </w:rPr>
        <w:t xml:space="preserve">RBI Compliance console (Head)</w:t>
      </w:r>
      <w:r>
        <w:rPr>
          <w:rFonts w:ascii="Calibri" w:cs="Calibri" w:eastAsia="Calibri" w:hAnsi="Calibri"/>
        </w:rPr>
        <w:t xml:space="preserve"> — manage the knowledge base, author rules, and approve or reject rules the system drafted from a regulatory document.</w:t>
      </w:r>
    </w:p>
    <w:p>
      <w:pPr>
        <w:pStyle w:val="Heading1"/>
        <w:keepNext/>
        <w:pBdr>
          <w:bottom w:val="single" w:color="E5E7EB" w:sz="4"/>
        </w:pBdr>
        <w:spacing w:after="160" w:before="360"/>
      </w:pPr>
      <w:r>
        <w:rPr>
          <w:rFonts w:ascii="Calibri" w:cs="Calibri" w:eastAsia="Calibri" w:hAnsi="Calibri"/>
          <w:b/>
          <w:bCs/>
          <w:color w:val="3730A3"/>
          <w:sz w:val="30"/>
          <w:szCs w:val="30"/>
        </w:rPr>
        <w:t xml:space="preserve">5. Document Intelligence Pipeline</w:t>
      </w:r>
    </w:p>
    <w:p>
      <w:pPr>
        <w:pStyle w:val="Heading2"/>
        <w:keepNext/>
        <w:spacing w:after="100" w:before="240"/>
      </w:pPr>
      <w:r>
        <w:rPr>
          <w:rFonts w:ascii="Calibri" w:cs="Calibri" w:eastAsia="Calibri" w:hAnsi="Calibri"/>
          <w:b/>
          <w:bCs/>
          <w:color w:val="1F2937"/>
          <w:sz w:val="24"/>
          <w:szCs w:val="24"/>
        </w:rPr>
        <w:t xml:space="preserve">5.1 Supported document types</w:t>
      </w:r>
    </w:p>
    <w:p>
      <w:pPr>
        <w:spacing w:after="120" w:before="0" w:line="276"/>
      </w:pPr>
      <w:r>
        <w:rPr>
          <w:rFonts w:ascii="Calibri" w:cs="Calibri" w:eastAsia="Calibri" w:hAnsi="Calibri"/>
        </w:rPr>
        <w:t xml:space="preserve">The service ships a registry of 15 document types, each with a strict extraction prompt and a matching field schema the guardrails validate against.</w:t>
      </w:r>
    </w:p>
    <w:tbl>
      <w:tblPr>
        <w:tblW w:type="dxa" w:w="9360"/>
        <w:tblBorders>
          <w:top w:val="single" w:color="D1D5DB" w:sz="2"/>
          <w:left w:val="single" w:color="D1D5DB" w:sz="2"/>
          <w:bottom w:val="single" w:color="D1D5DB" w:sz="2"/>
          <w:right w:val="single" w:color="D1D5DB" w:sz="2"/>
          <w:insideH w:val="single" w:color="D1D5DB" w:sz="2"/>
          <w:insideV w:val="single" w:color="D1D5DB" w:sz="2"/>
        </w:tblBorders>
      </w:tblPr>
      <w:tblGrid>
        <w:gridCol w:w="2600"/>
        <w:gridCol w:w="5360"/>
        <w:gridCol w:w="1400"/>
      </w:tblGrid>
      <w:tr>
        <w:trPr>
          <w:cantSplit/>
          <w:tblHeader/>
        </w:trPr>
        <w:tc>
          <w:tcPr>
            <w:tcW w:type="dxa" w:w="2600"/>
            <w:shd w:fill="4F46E5" w:color="auto" w:val="clear"/>
            <w:tcMar>
              <w:top w:type="dxa" w:w="40"/>
              <w:left w:type="dxa" w:w="90"/>
              <w:bottom w:type="dxa" w:w="40"/>
              <w:right w:type="dxa" w:w="90"/>
            </w:tcMar>
          </w:tcPr>
          <w:p>
            <w:pPr>
              <w:spacing w:after="20" w:before="20"/>
              <w:jc w:val="left"/>
            </w:pPr>
            <w:r>
              <w:rPr>
                <w:rFonts w:ascii="Calibri" w:cs="Calibri" w:eastAsia="Calibri" w:hAnsi="Calibri"/>
                <w:b/>
                <w:bCs/>
                <w:color w:val="FFFFFF"/>
                <w:sz w:val="19"/>
                <w:szCs w:val="19"/>
              </w:rPr>
              <w:t xml:space="preserve">Document</w:t>
            </w:r>
          </w:p>
        </w:tc>
        <w:tc>
          <w:tcPr>
            <w:tcW w:type="dxa" w:w="5360"/>
            <w:shd w:fill="4F46E5" w:color="auto" w:val="clear"/>
            <w:tcMar>
              <w:top w:type="dxa" w:w="40"/>
              <w:left w:type="dxa" w:w="90"/>
              <w:bottom w:type="dxa" w:w="40"/>
              <w:right w:type="dxa" w:w="90"/>
            </w:tcMar>
          </w:tcPr>
          <w:p>
            <w:pPr>
              <w:spacing w:after="20" w:before="20"/>
              <w:jc w:val="left"/>
            </w:pPr>
            <w:r>
              <w:rPr>
                <w:rFonts w:ascii="Calibri" w:cs="Calibri" w:eastAsia="Calibri" w:hAnsi="Calibri"/>
                <w:b/>
                <w:bCs/>
                <w:color w:val="FFFFFF"/>
                <w:sz w:val="19"/>
                <w:szCs w:val="19"/>
              </w:rPr>
              <w:t xml:space="preserve">Key extracted fields</w:t>
            </w:r>
          </w:p>
        </w:tc>
        <w:tc>
          <w:tcPr>
            <w:tcW w:type="dxa" w:w="1400"/>
            <w:shd w:fill="4F46E5" w:color="auto" w:val="clear"/>
            <w:tcMar>
              <w:top w:type="dxa" w:w="40"/>
              <w:left w:type="dxa" w:w="90"/>
              <w:bottom w:type="dxa" w:w="40"/>
              <w:right w:type="dxa" w:w="90"/>
            </w:tcMar>
          </w:tcPr>
          <w:p>
            <w:pPr>
              <w:spacing w:after="20" w:before="20"/>
              <w:jc w:val="left"/>
            </w:pPr>
            <w:r>
              <w:rPr>
                <w:rFonts w:ascii="Calibri" w:cs="Calibri" w:eastAsia="Calibri" w:hAnsi="Calibri"/>
                <w:b/>
                <w:bCs/>
                <w:color w:val="FFFFFF"/>
                <w:sz w:val="19"/>
                <w:szCs w:val="19"/>
              </w:rPr>
              <w:t xml:space="preserve">Required</w:t>
            </w:r>
          </w:p>
        </w:tc>
      </w:tr>
      <w:tr>
        <w:trPr>
          <w:cantSplit/>
        </w:trPr>
        <w:tc>
          <w:tcPr>
            <w:tcW w:type="dxa" w:w="2600"/>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PAN Card</w:t>
            </w:r>
          </w:p>
        </w:tc>
        <w:tc>
          <w:tcPr>
            <w:tcW w:type="dxa" w:w="5360"/>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PAN number, name, DOB, father's name</w:t>
            </w:r>
          </w:p>
        </w:tc>
        <w:tc>
          <w:tcPr>
            <w:tcW w:type="dxa" w:w="1400"/>
            <w:tcMar>
              <w:top w:type="dxa" w:w="40"/>
              <w:left w:type="dxa" w:w="90"/>
              <w:bottom w:type="dxa" w:w="40"/>
              <w:right w:type="dxa" w:w="90"/>
            </w:tcMar>
          </w:tcPr>
          <w:p>
            <w:pPr>
              <w:spacing w:after="20" w:before="20"/>
              <w:jc w:val="left"/>
            </w:pPr>
            <w:r>
              <w:rPr>
                <w:rFonts w:ascii="Calibri" w:cs="Calibri" w:eastAsia="Calibri" w:hAnsi="Calibri"/>
                <w:b/>
                <w:bCs/>
                <w:color w:val="047857"/>
                <w:sz w:val="19"/>
                <w:szCs w:val="19"/>
              </w:rPr>
              <w:t xml:space="preserve">Yes</w:t>
            </w:r>
          </w:p>
        </w:tc>
      </w:tr>
      <w:tr>
        <w:trPr>
          <w:cantSplit/>
        </w:trPr>
        <w:tc>
          <w:tcPr>
            <w:tcW w:type="dxa" w:w="2600"/>
            <w:shd w:fill="EEF2FF" w:color="auto" w:val="clear"/>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Aadhaar Card</w:t>
            </w:r>
          </w:p>
        </w:tc>
        <w:tc>
          <w:tcPr>
            <w:tcW w:type="dxa" w:w="5360"/>
            <w:shd w:fill="EEF2FF" w:color="auto" w:val="clear"/>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Aadhaar number, name, DOB, gender, address, pincode</w:t>
            </w:r>
          </w:p>
        </w:tc>
        <w:tc>
          <w:tcPr>
            <w:tcW w:type="dxa" w:w="1400"/>
            <w:shd w:fill="EEF2FF" w:color="auto" w:val="clear"/>
            <w:tcMar>
              <w:top w:type="dxa" w:w="40"/>
              <w:left w:type="dxa" w:w="90"/>
              <w:bottom w:type="dxa" w:w="40"/>
              <w:right w:type="dxa" w:w="90"/>
            </w:tcMar>
          </w:tcPr>
          <w:p>
            <w:pPr>
              <w:spacing w:after="20" w:before="20"/>
              <w:jc w:val="left"/>
            </w:pPr>
            <w:r>
              <w:rPr>
                <w:rFonts w:ascii="Calibri" w:cs="Calibri" w:eastAsia="Calibri" w:hAnsi="Calibri"/>
                <w:b/>
                <w:bCs/>
                <w:color w:val="047857"/>
                <w:sz w:val="19"/>
                <w:szCs w:val="19"/>
              </w:rPr>
              <w:t xml:space="preserve">Yes</w:t>
            </w:r>
          </w:p>
        </w:tc>
      </w:tr>
      <w:tr>
        <w:trPr>
          <w:cantSplit/>
        </w:trPr>
        <w:tc>
          <w:tcPr>
            <w:tcW w:type="dxa" w:w="2600"/>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Salary Slip</w:t>
            </w:r>
          </w:p>
        </w:tc>
        <w:tc>
          <w:tcPr>
            <w:tcW w:type="dxa" w:w="5360"/>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Employer, designation, basic, HRA, gross, net</w:t>
            </w:r>
          </w:p>
        </w:tc>
        <w:tc>
          <w:tcPr>
            <w:tcW w:type="dxa" w:w="1400"/>
            <w:tcMar>
              <w:top w:type="dxa" w:w="40"/>
              <w:left w:type="dxa" w:w="90"/>
              <w:bottom w:type="dxa" w:w="40"/>
              <w:right w:type="dxa" w:w="90"/>
            </w:tcMar>
          </w:tcPr>
          <w:p>
            <w:pPr>
              <w:spacing w:after="20" w:before="20"/>
              <w:jc w:val="left"/>
            </w:pPr>
            <w:r>
              <w:rPr>
                <w:rFonts w:ascii="Calibri" w:cs="Calibri" w:eastAsia="Calibri" w:hAnsi="Calibri"/>
                <w:b/>
                <w:bCs/>
                <w:color w:val="047857"/>
                <w:sz w:val="19"/>
                <w:szCs w:val="19"/>
              </w:rPr>
              <w:t xml:space="preserve">Yes</w:t>
            </w:r>
          </w:p>
        </w:tc>
      </w:tr>
      <w:tr>
        <w:trPr>
          <w:cantSplit/>
        </w:trPr>
        <w:tc>
          <w:tcPr>
            <w:tcW w:type="dxa" w:w="2600"/>
            <w:shd w:fill="EEF2FF" w:color="auto" w:val="clear"/>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Bank Statement</w:t>
            </w:r>
          </w:p>
        </w:tc>
        <w:tc>
          <w:tcPr>
            <w:tcW w:type="dxa" w:w="5360"/>
            <w:shd w:fill="EEF2FF" w:color="auto" w:val="clear"/>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Account, IFSC, period, balances, credits/debits</w:t>
            </w:r>
          </w:p>
        </w:tc>
        <w:tc>
          <w:tcPr>
            <w:tcW w:type="dxa" w:w="1400"/>
            <w:shd w:fill="EEF2FF" w:color="auto" w:val="clear"/>
            <w:tcMar>
              <w:top w:type="dxa" w:w="40"/>
              <w:left w:type="dxa" w:w="90"/>
              <w:bottom w:type="dxa" w:w="40"/>
              <w:right w:type="dxa" w:w="90"/>
            </w:tcMar>
          </w:tcPr>
          <w:p>
            <w:pPr>
              <w:spacing w:after="20" w:before="20"/>
              <w:jc w:val="left"/>
            </w:pPr>
            <w:r>
              <w:rPr>
                <w:rFonts w:ascii="Calibri" w:cs="Calibri" w:eastAsia="Calibri" w:hAnsi="Calibri"/>
                <w:b/>
                <w:bCs/>
                <w:color w:val="047857"/>
                <w:sz w:val="19"/>
                <w:szCs w:val="19"/>
              </w:rPr>
              <w:t xml:space="preserve">Yes</w:t>
            </w:r>
          </w:p>
        </w:tc>
      </w:tr>
      <w:tr>
        <w:trPr>
          <w:cantSplit/>
        </w:trPr>
        <w:tc>
          <w:tcPr>
            <w:tcW w:type="dxa" w:w="2600"/>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Photograph</w:t>
            </w:r>
          </w:p>
        </w:tc>
        <w:tc>
          <w:tcPr>
            <w:tcW w:type="dxa" w:w="5360"/>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Face present, passport-size validation</w:t>
            </w:r>
          </w:p>
        </w:tc>
        <w:tc>
          <w:tcPr>
            <w:tcW w:type="dxa" w:w="1400"/>
            <w:tcMar>
              <w:top w:type="dxa" w:w="40"/>
              <w:left w:type="dxa" w:w="90"/>
              <w:bottom w:type="dxa" w:w="40"/>
              <w:right w:type="dxa" w:w="90"/>
            </w:tcMar>
          </w:tcPr>
          <w:p>
            <w:pPr>
              <w:spacing w:after="20" w:before="20"/>
              <w:jc w:val="left"/>
            </w:pPr>
            <w:r>
              <w:rPr>
                <w:rFonts w:ascii="Calibri" w:cs="Calibri" w:eastAsia="Calibri" w:hAnsi="Calibri"/>
                <w:b/>
                <w:bCs/>
                <w:color w:val="047857"/>
                <w:sz w:val="19"/>
                <w:szCs w:val="19"/>
              </w:rPr>
              <w:t xml:space="preserve">Yes</w:t>
            </w:r>
          </w:p>
        </w:tc>
      </w:tr>
      <w:tr>
        <w:trPr>
          <w:cantSplit/>
        </w:trPr>
        <w:tc>
          <w:tcPr>
            <w:tcW w:type="dxa" w:w="2600"/>
            <w:shd w:fill="EEF2FF" w:color="auto" w:val="clear"/>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ITR / Form 16</w:t>
            </w:r>
          </w:p>
        </w:tc>
        <w:tc>
          <w:tcPr>
            <w:tcW w:type="dxa" w:w="5360"/>
            <w:shd w:fill="EEF2FF" w:color="auto" w:val="clear"/>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Assessment year, gross income, TDS</w:t>
            </w:r>
          </w:p>
        </w:tc>
        <w:tc>
          <w:tcPr>
            <w:tcW w:type="dxa" w:w="1400"/>
            <w:shd w:fill="EEF2FF" w:color="auto" w:val="clear"/>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Optional</w:t>
            </w:r>
          </w:p>
        </w:tc>
      </w:tr>
      <w:tr>
        <w:trPr>
          <w:cantSplit/>
        </w:trPr>
        <w:tc>
          <w:tcPr>
            <w:tcW w:type="dxa" w:w="2600"/>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CIBIL Report</w:t>
            </w:r>
          </w:p>
        </w:tc>
        <w:tc>
          <w:tcPr>
            <w:tcW w:type="dxa" w:w="5360"/>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Score, accounts, defaults, settlements</w:t>
            </w:r>
          </w:p>
        </w:tc>
        <w:tc>
          <w:tcPr>
            <w:tcW w:type="dxa" w:w="1400"/>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Optional</w:t>
            </w:r>
          </w:p>
        </w:tc>
      </w:tr>
      <w:tr>
        <w:trPr>
          <w:cantSplit/>
        </w:trPr>
        <w:tc>
          <w:tcPr>
            <w:tcW w:type="dxa" w:w="2600"/>
            <w:shd w:fill="EEF2FF" w:color="auto" w:val="clear"/>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RC Book</w:t>
            </w:r>
          </w:p>
        </w:tc>
        <w:tc>
          <w:tcPr>
            <w:tcW w:type="dxa" w:w="5360"/>
            <w:shd w:fill="EEF2FF" w:color="auto" w:val="clear"/>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Registration, chassis, engine, make/model</w:t>
            </w:r>
          </w:p>
        </w:tc>
        <w:tc>
          <w:tcPr>
            <w:tcW w:type="dxa" w:w="1400"/>
            <w:shd w:fill="EEF2FF" w:color="auto" w:val="clear"/>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Optional</w:t>
            </w:r>
          </w:p>
        </w:tc>
      </w:tr>
      <w:tr>
        <w:trPr>
          <w:cantSplit/>
        </w:trPr>
        <w:tc>
          <w:tcPr>
            <w:tcW w:type="dxa" w:w="2600"/>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Insurance / Property / Land</w:t>
            </w:r>
          </w:p>
        </w:tc>
        <w:tc>
          <w:tcPr>
            <w:tcW w:type="dxa" w:w="5360"/>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Policy, ownership, valuation, survey details</w:t>
            </w:r>
          </w:p>
        </w:tc>
        <w:tc>
          <w:tcPr>
            <w:tcW w:type="dxa" w:w="1400"/>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Optional</w:t>
            </w:r>
          </w:p>
        </w:tc>
      </w:tr>
      <w:tr>
        <w:trPr>
          <w:cantSplit/>
        </w:trPr>
        <w:tc>
          <w:tcPr>
            <w:tcW w:type="dxa" w:w="2600"/>
            <w:shd w:fill="EEF2FF" w:color="auto" w:val="clear"/>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GST Return / Financial / Trade License</w:t>
            </w:r>
          </w:p>
        </w:tc>
        <w:tc>
          <w:tcPr>
            <w:tcW w:type="dxa" w:w="5360"/>
            <w:shd w:fill="EEF2FF" w:color="auto" w:val="clear"/>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GSTIN, turnover, revenue, licence details</w:t>
            </w:r>
          </w:p>
        </w:tc>
        <w:tc>
          <w:tcPr>
            <w:tcW w:type="dxa" w:w="1400"/>
            <w:shd w:fill="EEF2FF" w:color="auto" w:val="clear"/>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Optional</w:t>
            </w:r>
          </w:p>
        </w:tc>
      </w:tr>
      <w:tr>
        <w:trPr>
          <w:cantSplit/>
        </w:trPr>
        <w:tc>
          <w:tcPr>
            <w:tcW w:type="dxa" w:w="2600"/>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Vehicle Quotation</w:t>
            </w:r>
          </w:p>
        </w:tc>
        <w:tc>
          <w:tcPr>
            <w:tcW w:type="dxa" w:w="5360"/>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Dealer, make/model, on-road &amp; ex-showroom price</w:t>
            </w:r>
          </w:p>
        </w:tc>
        <w:tc>
          <w:tcPr>
            <w:tcW w:type="dxa" w:w="1400"/>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Optional</w:t>
            </w:r>
          </w:p>
        </w:tc>
      </w:tr>
    </w:tbl>
    <w:p>
      <w:pPr>
        <w:pStyle w:val="Heading2"/>
        <w:keepNext/>
        <w:spacing w:after="100" w:before="240"/>
      </w:pPr>
      <w:r>
        <w:rPr>
          <w:rFonts w:ascii="Calibri" w:cs="Calibri" w:eastAsia="Calibri" w:hAnsi="Calibri"/>
          <w:b/>
          <w:bCs/>
          <w:color w:val="1F2937"/>
          <w:sz w:val="24"/>
          <w:szCs w:val="24"/>
        </w:rPr>
        <w:t xml:space="preserve">5.2 OCR engines</w:t>
      </w:r>
    </w:p>
    <w:p>
      <w:pPr>
        <w:spacing w:after="120" w:before="0" w:line="276"/>
      </w:pPr>
      <w:r>
        <w:rPr>
          <w:rFonts w:ascii="Calibri" w:cs="Calibri" w:eastAsia="Calibri" w:hAnsi="Calibri"/>
        </w:rPr>
        <w:t xml:space="preserve">Three providers implement a common extraction interface and are swapped by a single .env setting:</w:t>
      </w:r>
    </w:p>
    <w:tbl>
      <w:tblPr>
        <w:tblW w:type="dxa" w:w="9360"/>
        <w:tblBorders>
          <w:top w:val="single" w:color="D1D5DB" w:sz="2"/>
          <w:left w:val="single" w:color="D1D5DB" w:sz="2"/>
          <w:bottom w:val="single" w:color="D1D5DB" w:sz="2"/>
          <w:right w:val="single" w:color="D1D5DB" w:sz="2"/>
          <w:insideH w:val="single" w:color="D1D5DB" w:sz="2"/>
          <w:insideV w:val="single" w:color="D1D5DB" w:sz="2"/>
        </w:tblBorders>
      </w:tblPr>
      <w:tblGrid>
        <w:gridCol w:w="1600"/>
        <w:gridCol w:w="3900"/>
        <w:gridCol w:w="3860"/>
      </w:tblGrid>
      <w:tr>
        <w:trPr>
          <w:cantSplit/>
          <w:tblHeader/>
        </w:trPr>
        <w:tc>
          <w:tcPr>
            <w:tcW w:type="dxa" w:w="1600"/>
            <w:shd w:fill="4F46E5" w:color="auto" w:val="clear"/>
            <w:tcMar>
              <w:top w:type="dxa" w:w="40"/>
              <w:left w:type="dxa" w:w="90"/>
              <w:bottom w:type="dxa" w:w="40"/>
              <w:right w:type="dxa" w:w="90"/>
            </w:tcMar>
          </w:tcPr>
          <w:p>
            <w:pPr>
              <w:spacing w:after="20" w:before="20"/>
              <w:jc w:val="left"/>
            </w:pPr>
            <w:r>
              <w:rPr>
                <w:rFonts w:ascii="Calibri" w:cs="Calibri" w:eastAsia="Calibri" w:hAnsi="Calibri"/>
                <w:b/>
                <w:bCs/>
                <w:color w:val="FFFFFF"/>
                <w:sz w:val="19"/>
                <w:szCs w:val="19"/>
              </w:rPr>
              <w:t xml:space="preserve">Provider</w:t>
            </w:r>
          </w:p>
        </w:tc>
        <w:tc>
          <w:tcPr>
            <w:tcW w:type="dxa" w:w="3900"/>
            <w:shd w:fill="4F46E5" w:color="auto" w:val="clear"/>
            <w:tcMar>
              <w:top w:type="dxa" w:w="40"/>
              <w:left w:type="dxa" w:w="90"/>
              <w:bottom w:type="dxa" w:w="40"/>
              <w:right w:type="dxa" w:w="90"/>
            </w:tcMar>
          </w:tcPr>
          <w:p>
            <w:pPr>
              <w:spacing w:after="20" w:before="20"/>
              <w:jc w:val="left"/>
            </w:pPr>
            <w:r>
              <w:rPr>
                <w:rFonts w:ascii="Calibri" w:cs="Calibri" w:eastAsia="Calibri" w:hAnsi="Calibri"/>
                <w:b/>
                <w:bCs/>
                <w:color w:val="FFFFFF"/>
                <w:sz w:val="19"/>
                <w:szCs w:val="19"/>
              </w:rPr>
              <w:t xml:space="preserve">What it is</w:t>
            </w:r>
          </w:p>
        </w:tc>
        <w:tc>
          <w:tcPr>
            <w:tcW w:type="dxa" w:w="3860"/>
            <w:shd w:fill="4F46E5" w:color="auto" w:val="clear"/>
            <w:tcMar>
              <w:top w:type="dxa" w:w="40"/>
              <w:left w:type="dxa" w:w="90"/>
              <w:bottom w:type="dxa" w:w="40"/>
              <w:right w:type="dxa" w:w="90"/>
            </w:tcMar>
          </w:tcPr>
          <w:p>
            <w:pPr>
              <w:spacing w:after="20" w:before="20"/>
              <w:jc w:val="left"/>
            </w:pPr>
            <w:r>
              <w:rPr>
                <w:rFonts w:ascii="Calibri" w:cs="Calibri" w:eastAsia="Calibri" w:hAnsi="Calibri"/>
                <w:b/>
                <w:bCs/>
                <w:color w:val="FFFFFF"/>
                <w:sz w:val="19"/>
                <w:szCs w:val="19"/>
              </w:rPr>
              <w:t xml:space="preserve">Notes</w:t>
            </w:r>
          </w:p>
        </w:tc>
      </w:tr>
      <w:tr>
        <w:trPr>
          <w:cantSplit/>
        </w:trPr>
        <w:tc>
          <w:tcPr>
            <w:tcW w:type="dxa" w:w="1600"/>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ollama</w:t>
            </w:r>
          </w:p>
        </w:tc>
        <w:tc>
          <w:tcPr>
            <w:tcW w:type="dxa" w:w="3900"/>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Local Qwen2.5-VL 7B vision-language model</w:t>
            </w:r>
          </w:p>
        </w:tc>
        <w:tc>
          <w:tcPr>
            <w:tcW w:type="dxa" w:w="3860"/>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Runs fully on-device; no data leaves the machine. GPU-accelerated.</w:t>
            </w:r>
          </w:p>
        </w:tc>
      </w:tr>
      <w:tr>
        <w:trPr>
          <w:cantSplit/>
        </w:trPr>
        <w:tc>
          <w:tcPr>
            <w:tcW w:type="dxa" w:w="1600"/>
            <w:shd w:fill="EEF2FF" w:color="auto" w:val="clear"/>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anthropic</w:t>
            </w:r>
          </w:p>
        </w:tc>
        <w:tc>
          <w:tcPr>
            <w:tcW w:type="dxa" w:w="3900"/>
            <w:shd w:fill="EEF2FF" w:color="auto" w:val="clear"/>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Claude (cloud vision model)</w:t>
            </w:r>
          </w:p>
        </w:tc>
        <w:tc>
          <w:tcPr>
            <w:tcW w:type="dxa" w:w="3860"/>
            <w:shd w:fill="EEF2FF" w:color="auto" w:val="clear"/>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No local GPU needed; requires an API key.</w:t>
            </w:r>
          </w:p>
        </w:tc>
      </w:tr>
      <w:tr>
        <w:trPr>
          <w:cantSplit/>
        </w:trPr>
        <w:tc>
          <w:tcPr>
            <w:tcW w:type="dxa" w:w="1600"/>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mock</w:t>
            </w:r>
          </w:p>
        </w:tc>
        <w:tc>
          <w:tcPr>
            <w:tcW w:type="dxa" w:w="3900"/>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Deterministic sample data</w:t>
            </w:r>
          </w:p>
        </w:tc>
        <w:tc>
          <w:tcPr>
            <w:tcW w:type="dxa" w:w="3860"/>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Zero-dependency demo mode; instant, realistic output.</w:t>
            </w:r>
          </w:p>
        </w:tc>
      </w:tr>
    </w:tbl>
    <w:p>
      <w:pPr>
        <w:pStyle w:val="Heading2"/>
        <w:keepNext/>
        <w:spacing w:after="100" w:before="240"/>
      </w:pPr>
      <w:r>
        <w:rPr>
          <w:rFonts w:ascii="Calibri" w:cs="Calibri" w:eastAsia="Calibri" w:hAnsi="Calibri"/>
          <w:b/>
          <w:bCs/>
          <w:color w:val="1F2937"/>
          <w:sz w:val="24"/>
          <w:szCs w:val="24"/>
        </w:rPr>
        <w:t xml:space="preserve">5.3 Image preprocessing</w:t>
      </w:r>
    </w:p>
    <w:p>
      <w:pPr>
        <w:spacing w:after="120" w:before="0" w:line="276"/>
      </w:pPr>
      <w:r>
        <w:rPr>
          <w:rFonts w:ascii="Calibri" w:cs="Calibri" w:eastAsia="Calibri" w:hAnsi="Calibri"/>
        </w:rPr>
        <w:t xml:space="preserve">Before extraction, phone-photo scans are cleaned with an OpenCV pipeline: auto-orientation, deskew, perspective warp to flatten the card, and brightness/contrast correction. This is an accuracy requirement, not cosmetics — flattening the card first collapses the model's orientation search and stops text bleeding between stacked fields. The cleaned render is reused for the hover preview and PII masking.</w:t>
      </w:r>
    </w:p>
    <w:p>
      <w:pPr>
        <w:pStyle w:val="Heading2"/>
        <w:keepNext/>
        <w:spacing w:after="100" w:before="240"/>
      </w:pPr>
      <w:r>
        <w:rPr>
          <w:rFonts w:ascii="Calibri" w:cs="Calibri" w:eastAsia="Calibri" w:hAnsi="Calibri"/>
          <w:b/>
          <w:bCs/>
          <w:color w:val="1F2937"/>
          <w:sz w:val="24"/>
          <w:szCs w:val="24"/>
        </w:rPr>
        <w:t xml:space="preserve">5.4 Field-validation guardrails</w:t>
      </w:r>
    </w:p>
    <w:p>
      <w:pPr>
        <w:spacing w:after="120" w:before="0" w:line="276"/>
      </w:pPr>
      <w:r>
        <w:rPr>
          <w:rFonts w:ascii="Calibri" w:cs="Calibri" w:eastAsia="Calibri" w:hAnsi="Calibri"/>
        </w:rPr>
        <w:t xml:space="preserve">Every extracted document passes through guardrails that check field formats (PAN pattern, Aadhaar structure, date formats, numeric ranges), compute a per-field and overall confidence score, and flag any document that needs human review. The confidence and review flags drive the borrower's confirm-fields prompt and the officer's queue prioritisation.</w:t>
      </w:r>
    </w:p>
    <w:p>
      <w:pPr>
        <w:pStyle w:val="Heading1"/>
        <w:keepNext/>
        <w:pBdr>
          <w:bottom w:val="single" w:color="E5E7EB" w:sz="4"/>
        </w:pBdr>
        <w:spacing w:after="160" w:before="360"/>
      </w:pPr>
      <w:r>
        <w:rPr>
          <w:rFonts w:ascii="Calibri" w:cs="Calibri" w:eastAsia="Calibri" w:hAnsi="Calibri"/>
          <w:b/>
          <w:bCs/>
          <w:color w:val="3730A3"/>
          <w:sz w:val="30"/>
          <w:szCs w:val="30"/>
        </w:rPr>
        <w:t xml:space="preserve">6. Document Tampering Detection</w:t>
      </w:r>
    </w:p>
    <w:p>
      <w:pPr>
        <w:spacing w:after="120" w:before="0" w:line="276"/>
      </w:pPr>
      <w:r>
        <w:rPr>
          <w:rFonts w:ascii="Calibri" w:cs="Calibri" w:eastAsia="Calibri" w:hAnsi="Calibri"/>
        </w:rPr>
        <w:t xml:space="preserve">The forensic module answers a single question for every uploaded document: has this been altered or fabricated? It runs a cascade of nine independent signals, fuses them into one score, and assigns a LOW / MEDIUM / HIGH risk tier. Detection is deterministic and fully explainable; the one AI signal is fenced in so it can never condemn a document alone.</w:t>
      </w:r>
    </w:p>
    <w:p>
      <w:pPr>
        <w:pStyle w:val="Heading2"/>
        <w:keepNext/>
        <w:spacing w:after="100" w:before="240"/>
      </w:pPr>
      <w:r>
        <w:rPr>
          <w:rFonts w:ascii="Calibri" w:cs="Calibri" w:eastAsia="Calibri" w:hAnsi="Calibri"/>
          <w:b/>
          <w:bCs/>
          <w:color w:val="1F2937"/>
          <w:sz w:val="24"/>
          <w:szCs w:val="24"/>
        </w:rPr>
        <w:t xml:space="preserve">6.1 The nine signals</w:t>
      </w:r>
    </w:p>
    <w:tbl>
      <w:tblPr>
        <w:tblW w:type="dxa" w:w="9360"/>
        <w:tblBorders>
          <w:top w:val="single" w:color="D1D5DB" w:sz="2"/>
          <w:left w:val="single" w:color="D1D5DB" w:sz="2"/>
          <w:bottom w:val="single" w:color="D1D5DB" w:sz="2"/>
          <w:right w:val="single" w:color="D1D5DB" w:sz="2"/>
          <w:insideH w:val="single" w:color="D1D5DB" w:sz="2"/>
          <w:insideV w:val="single" w:color="D1D5DB" w:sz="2"/>
        </w:tblBorders>
      </w:tblPr>
      <w:tblGrid>
        <w:gridCol w:w="2100"/>
        <w:gridCol w:w="5960"/>
        <w:gridCol w:w="1300"/>
      </w:tblGrid>
      <w:tr>
        <w:trPr>
          <w:cantSplit/>
          <w:tblHeader/>
        </w:trPr>
        <w:tc>
          <w:tcPr>
            <w:tcW w:type="dxa" w:w="2100"/>
            <w:shd w:fill="4F46E5" w:color="auto" w:val="clear"/>
            <w:tcMar>
              <w:top w:type="dxa" w:w="40"/>
              <w:left w:type="dxa" w:w="90"/>
              <w:bottom w:type="dxa" w:w="40"/>
              <w:right w:type="dxa" w:w="90"/>
            </w:tcMar>
          </w:tcPr>
          <w:p>
            <w:pPr>
              <w:spacing w:after="20" w:before="20"/>
              <w:jc w:val="left"/>
            </w:pPr>
            <w:r>
              <w:rPr>
                <w:rFonts w:ascii="Calibri" w:cs="Calibri" w:eastAsia="Calibri" w:hAnsi="Calibri"/>
                <w:b/>
                <w:bCs/>
                <w:color w:val="FFFFFF"/>
                <w:sz w:val="19"/>
                <w:szCs w:val="19"/>
              </w:rPr>
              <w:t xml:space="preserve">Signal</w:t>
            </w:r>
          </w:p>
        </w:tc>
        <w:tc>
          <w:tcPr>
            <w:tcW w:type="dxa" w:w="5960"/>
            <w:shd w:fill="4F46E5" w:color="auto" w:val="clear"/>
            <w:tcMar>
              <w:top w:type="dxa" w:w="40"/>
              <w:left w:type="dxa" w:w="90"/>
              <w:bottom w:type="dxa" w:w="40"/>
              <w:right w:type="dxa" w:w="90"/>
            </w:tcMar>
          </w:tcPr>
          <w:p>
            <w:pPr>
              <w:spacing w:after="20" w:before="20"/>
              <w:jc w:val="left"/>
            </w:pPr>
            <w:r>
              <w:rPr>
                <w:rFonts w:ascii="Calibri" w:cs="Calibri" w:eastAsia="Calibri" w:hAnsi="Calibri"/>
                <w:b/>
                <w:bCs/>
                <w:color w:val="FFFFFF"/>
                <w:sz w:val="19"/>
                <w:szCs w:val="19"/>
              </w:rPr>
              <w:t xml:space="preserve">What it detects</w:t>
            </w:r>
          </w:p>
        </w:tc>
        <w:tc>
          <w:tcPr>
            <w:tcW w:type="dxa" w:w="1300"/>
            <w:shd w:fill="4F46E5" w:color="auto" w:val="clear"/>
            <w:tcMar>
              <w:top w:type="dxa" w:w="40"/>
              <w:left w:type="dxa" w:w="90"/>
              <w:bottom w:type="dxa" w:w="40"/>
              <w:right w:type="dxa" w:w="90"/>
            </w:tcMar>
          </w:tcPr>
          <w:p>
            <w:pPr>
              <w:spacing w:after="20" w:before="20"/>
              <w:jc w:val="left"/>
            </w:pPr>
            <w:r>
              <w:rPr>
                <w:rFonts w:ascii="Calibri" w:cs="Calibri" w:eastAsia="Calibri" w:hAnsi="Calibri"/>
                <w:b/>
                <w:bCs/>
                <w:color w:val="FFFFFF"/>
                <w:sz w:val="19"/>
                <w:szCs w:val="19"/>
              </w:rPr>
              <w:t xml:space="preserve">Weight</w:t>
            </w:r>
          </w:p>
        </w:tc>
      </w:tr>
      <w:tr>
        <w:trPr>
          <w:cantSplit/>
        </w:trPr>
        <w:tc>
          <w:tcPr>
            <w:tcW w:type="dxa" w:w="2100"/>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business_rules</w:t>
            </w:r>
          </w:p>
        </w:tc>
        <w:tc>
          <w:tcPr>
            <w:tcW w:type="dxa" w:w="5960"/>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Arithmetic &amp; checksum failures (gross−deductions=net, Aadhaar Verhoeff, balance reconciliation)</w:t>
            </w:r>
          </w:p>
        </w:tc>
        <w:tc>
          <w:tcPr>
            <w:tcW w:type="dxa" w:w="1300"/>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0.23</w:t>
            </w:r>
          </w:p>
        </w:tc>
      </w:tr>
      <w:tr>
        <w:trPr>
          <w:cantSplit/>
        </w:trPr>
        <w:tc>
          <w:tcPr>
            <w:tcW w:type="dxa" w:w="2100"/>
            <w:shd w:fill="EEF2FF" w:color="auto" w:val="clear"/>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authenticity</w:t>
            </w:r>
          </w:p>
        </w:tc>
        <w:tc>
          <w:tcPr>
            <w:tcW w:type="dxa" w:w="5960"/>
            <w:shd w:fill="EEF2FF" w:color="auto" w:val="clear"/>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Vision model judging genuine vs. fabricated / AI-generated (fraud-prone doc types only)</w:t>
            </w:r>
          </w:p>
        </w:tc>
        <w:tc>
          <w:tcPr>
            <w:tcW w:type="dxa" w:w="1300"/>
            <w:shd w:fill="EEF2FF" w:color="auto" w:val="clear"/>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0.20</w:t>
            </w:r>
          </w:p>
        </w:tc>
      </w:tr>
      <w:tr>
        <w:trPr>
          <w:cantSplit/>
        </w:trPr>
        <w:tc>
          <w:tcPr>
            <w:tcW w:type="dxa" w:w="2100"/>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copy_move</w:t>
            </w:r>
          </w:p>
        </w:tc>
        <w:tc>
          <w:tcPr>
            <w:tcW w:type="dxa" w:w="5960"/>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Cloned regions — pixel-identical duplication within the page (ORB + NCC)</w:t>
            </w:r>
          </w:p>
        </w:tc>
        <w:tc>
          <w:tcPr>
            <w:tcW w:type="dxa" w:w="1300"/>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0.17</w:t>
            </w:r>
          </w:p>
        </w:tc>
      </w:tr>
      <w:tr>
        <w:trPr>
          <w:cantSplit/>
        </w:trPr>
        <w:tc>
          <w:tcPr>
            <w:tcW w:type="dxa" w:w="2100"/>
            <w:shd w:fill="EEF2FF" w:color="auto" w:val="clear"/>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photo_region</w:t>
            </w:r>
          </w:p>
        </w:tc>
        <w:tc>
          <w:tcPr>
            <w:tcW w:type="dxa" w:w="5960"/>
            <w:shd w:fill="EEF2FF" w:color="auto" w:val="clear"/>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ID-photo pasted in from an external source (photo-vs-card ELA/noise)</w:t>
            </w:r>
          </w:p>
        </w:tc>
        <w:tc>
          <w:tcPr>
            <w:tcW w:type="dxa" w:w="1300"/>
            <w:shd w:fill="EEF2FF" w:color="auto" w:val="clear"/>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0.15</w:t>
            </w:r>
          </w:p>
        </w:tc>
      </w:tr>
      <w:tr>
        <w:trPr>
          <w:cantSplit/>
        </w:trPr>
        <w:tc>
          <w:tcPr>
            <w:tcW w:type="dxa" w:w="2100"/>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pdf_forensics</w:t>
            </w:r>
          </w:p>
        </w:tc>
        <w:tc>
          <w:tcPr>
            <w:tcW w:type="dxa" w:w="5960"/>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Incremental re-saves, editor/producer tags, PDF-generation libraries</w:t>
            </w:r>
          </w:p>
        </w:tc>
        <w:tc>
          <w:tcPr>
            <w:tcW w:type="dxa" w:w="1300"/>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0.15</w:t>
            </w:r>
          </w:p>
        </w:tc>
      </w:tr>
      <w:tr>
        <w:trPr>
          <w:cantSplit/>
        </w:trPr>
        <w:tc>
          <w:tcPr>
            <w:tcW w:type="dxa" w:w="2100"/>
            <w:shd w:fill="EEF2FF" w:color="auto" w:val="clear"/>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ela</w:t>
            </w:r>
          </w:p>
        </w:tc>
        <w:tc>
          <w:tcPr>
            <w:tcW w:type="dxa" w:w="5960"/>
            <w:shd w:fill="EEF2FF" w:color="auto" w:val="clear"/>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Error-level analysis — inconsistent JPEG recompression</w:t>
            </w:r>
          </w:p>
        </w:tc>
        <w:tc>
          <w:tcPr>
            <w:tcW w:type="dxa" w:w="1300"/>
            <w:shd w:fill="EEF2FF" w:color="auto" w:val="clear"/>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0.12</w:t>
            </w:r>
          </w:p>
        </w:tc>
      </w:tr>
      <w:tr>
        <w:trPr>
          <w:cantSplit/>
        </w:trPr>
        <w:tc>
          <w:tcPr>
            <w:tcW w:type="dxa" w:w="2100"/>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cnn</w:t>
            </w:r>
          </w:p>
        </w:tc>
        <w:tc>
          <w:tcPr>
            <w:tcW w:type="dxa" w:w="5960"/>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Learned tampering classifier with Grad-CAM heatmaps</w:t>
            </w:r>
          </w:p>
        </w:tc>
        <w:tc>
          <w:tcPr>
            <w:tcW w:type="dxa" w:w="1300"/>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0.12</w:t>
            </w:r>
          </w:p>
        </w:tc>
      </w:tr>
      <w:tr>
        <w:trPr>
          <w:cantSplit/>
        </w:trPr>
        <w:tc>
          <w:tcPr>
            <w:tcW w:type="dxa" w:w="2100"/>
            <w:shd w:fill="EEF2FF" w:color="auto" w:val="clear"/>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noise</w:t>
            </w:r>
          </w:p>
        </w:tc>
        <w:tc>
          <w:tcPr>
            <w:tcW w:type="dxa" w:w="5960"/>
            <w:shd w:fill="EEF2FF" w:color="auto" w:val="clear"/>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Local noise-level outliers vs. the page median</w:t>
            </w:r>
          </w:p>
        </w:tc>
        <w:tc>
          <w:tcPr>
            <w:tcW w:type="dxa" w:w="1300"/>
            <w:shd w:fill="EEF2FF" w:color="auto" w:val="clear"/>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0.11</w:t>
            </w:r>
          </w:p>
        </w:tc>
      </w:tr>
      <w:tr>
        <w:trPr>
          <w:cantSplit/>
        </w:trPr>
        <w:tc>
          <w:tcPr>
            <w:tcW w:type="dxa" w:w="2100"/>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metadata</w:t>
            </w:r>
          </w:p>
        </w:tc>
        <w:tc>
          <w:tcPr>
            <w:tcW w:type="dxa" w:w="5960"/>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EXIF/PDF editor-software fingerprints and date mismatches</w:t>
            </w:r>
          </w:p>
        </w:tc>
        <w:tc>
          <w:tcPr>
            <w:tcW w:type="dxa" w:w="1300"/>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0.10</w:t>
            </w:r>
          </w:p>
        </w:tc>
      </w:tr>
    </w:tbl>
    <w:p>
      <w:pPr>
        <w:pStyle w:val="Heading2"/>
        <w:keepNext/>
        <w:spacing w:after="100" w:before="240"/>
      </w:pPr>
      <w:r>
        <w:rPr>
          <w:rFonts w:ascii="Calibri" w:cs="Calibri" w:eastAsia="Calibri" w:hAnsi="Calibri"/>
          <w:b/>
          <w:bCs/>
          <w:color w:val="1F2937"/>
          <w:sz w:val="24"/>
          <w:szCs w:val="24"/>
        </w:rPr>
        <w:t xml:space="preserve">6.2 Two-stage cascade and fusion</w:t>
      </w:r>
    </w:p>
    <w:p>
      <w:pPr>
        <w:pStyle w:val="ListParagraph"/>
        <w:numPr>
          <w:ilvl w:val="0"/>
          <w:numId w:val="2"/>
        </w:numPr>
        <w:spacing w:after="60" w:line="268"/>
      </w:pPr>
      <w:r>
        <w:rPr>
          <w:rFonts w:ascii="Calibri" w:cs="Calibri" w:eastAsia="Calibri" w:hAnsi="Calibri"/>
          <w:b/>
          <w:bCs/>
        </w:rPr>
        <w:t xml:space="preserve">Stage 1 gate</w:t>
      </w:r>
      <w:r>
        <w:rPr>
          <w:rFonts w:ascii="Calibri" w:cs="Calibri" w:eastAsia="Calibri" w:hAnsi="Calibri"/>
        </w:rPr>
        <w:t xml:space="preserve"> — fast signals run first. If all score below the gate threshold and business rules pass, the document fast-tracks as LOW and the expensive pixel forensics are skipped.</w:t>
      </w:r>
    </w:p>
    <w:p>
      <w:pPr>
        <w:pStyle w:val="ListParagraph"/>
        <w:numPr>
          <w:ilvl w:val="0"/>
          <w:numId w:val="2"/>
        </w:numPr>
        <w:spacing w:after="60" w:line="268"/>
      </w:pPr>
      <w:r>
        <w:rPr>
          <w:rFonts w:ascii="Calibri" w:cs="Calibri" w:eastAsia="Calibri" w:hAnsi="Calibri"/>
          <w:b/>
          <w:bCs/>
        </w:rPr>
        <w:t xml:space="preserve">Always-escalate ID types</w:t>
      </w:r>
      <w:r>
        <w:rPr>
          <w:rFonts w:ascii="Calibri" w:cs="Calibri" w:eastAsia="Calibri" w:hAnsi="Calibri"/>
        </w:rPr>
        <w:t xml:space="preserve"> — identity documents (PAN, Aadhaar, voter ID, passport, driving licence) always pay for the deeper forensics, because they have the thinnest fast-signal coverage.</w:t>
      </w:r>
    </w:p>
    <w:p>
      <w:pPr>
        <w:pStyle w:val="ListParagraph"/>
        <w:numPr>
          <w:ilvl w:val="0"/>
          <w:numId w:val="2"/>
        </w:numPr>
        <w:spacing w:after="60" w:line="268"/>
      </w:pPr>
      <w:r>
        <w:rPr>
          <w:rFonts w:ascii="Calibri" w:cs="Calibri" w:eastAsia="Calibri" w:hAnsi="Calibri"/>
          <w:b/>
          <w:bCs/>
        </w:rPr>
        <w:t xml:space="preserve">Weighted fusion</w:t>
      </w:r>
      <w:r>
        <w:rPr>
          <w:rFonts w:ascii="Calibri" w:cs="Calibri" w:eastAsia="Calibri" w:hAnsi="Calibri"/>
        </w:rPr>
        <w:t xml:space="preserve"> — only signals that actually ran are combined; weights renormalise over the available set, so a missing signal never drags the score toward zero.</w:t>
      </w:r>
    </w:p>
    <w:p>
      <w:pPr>
        <w:pStyle w:val="ListParagraph"/>
        <w:numPr>
          <w:ilvl w:val="0"/>
          <w:numId w:val="2"/>
        </w:numPr>
        <w:spacing w:after="60" w:line="268"/>
      </w:pPr>
      <w:r>
        <w:rPr>
          <w:rFonts w:ascii="Calibri" w:cs="Calibri" w:eastAsia="Calibri" w:hAnsi="Calibri"/>
          <w:b/>
          <w:bCs/>
        </w:rPr>
        <w:t xml:space="preserve">Dominant-evidence &amp; corroboration paths</w:t>
      </w:r>
      <w:r>
        <w:rPr>
          <w:rFonts w:ascii="Calibri" w:cs="Calibri" w:eastAsia="Calibri" w:hAnsi="Calibri"/>
        </w:rPr>
        <w:t xml:space="preserve"> — one near-proof finding (verified duplication, a failed checksum) can raise the tier alone, and two independent agreeing signals escalate further — but the AI authenticity signal is capped so a lone verdict reaches MEDIUM (review), never HIGH.</w:t>
      </w:r>
    </w:p>
    <w:p>
      <w:pPr>
        <w:pStyle w:val="Heading2"/>
        <w:keepNext/>
        <w:spacing w:after="100" w:before="240"/>
      </w:pPr>
      <w:r>
        <w:rPr>
          <w:rFonts w:ascii="Calibri" w:cs="Calibri" w:eastAsia="Calibri" w:hAnsi="Calibri"/>
          <w:b/>
          <w:bCs/>
          <w:color w:val="1F2937"/>
          <w:sz w:val="24"/>
          <w:szCs w:val="24"/>
        </w:rPr>
        <w:t xml:space="preserve">6.3 Risk tiers</w:t>
      </w:r>
    </w:p>
    <w:tbl>
      <w:tblPr>
        <w:tblW w:type="dxa" w:w="9360"/>
        <w:tblBorders>
          <w:top w:val="single" w:color="D1D5DB" w:sz="2"/>
          <w:left w:val="single" w:color="D1D5DB" w:sz="2"/>
          <w:bottom w:val="single" w:color="D1D5DB" w:sz="2"/>
          <w:right w:val="single" w:color="D1D5DB" w:sz="2"/>
          <w:insideH w:val="single" w:color="D1D5DB" w:sz="2"/>
          <w:insideV w:val="single" w:color="D1D5DB" w:sz="2"/>
        </w:tblBorders>
      </w:tblPr>
      <w:tblGrid>
        <w:gridCol w:w="1800"/>
        <w:gridCol w:w="2200"/>
        <w:gridCol w:w="5360"/>
      </w:tblGrid>
      <w:tr>
        <w:trPr>
          <w:cantSplit/>
          <w:tblHeader/>
        </w:trPr>
        <w:tc>
          <w:tcPr>
            <w:tcW w:type="dxa" w:w="1800"/>
            <w:shd w:fill="4F46E5" w:color="auto" w:val="clear"/>
            <w:tcMar>
              <w:top w:type="dxa" w:w="40"/>
              <w:left w:type="dxa" w:w="90"/>
              <w:bottom w:type="dxa" w:w="40"/>
              <w:right w:type="dxa" w:w="90"/>
            </w:tcMar>
          </w:tcPr>
          <w:p>
            <w:pPr>
              <w:spacing w:after="20" w:before="20"/>
              <w:jc w:val="left"/>
            </w:pPr>
            <w:r>
              <w:rPr>
                <w:rFonts w:ascii="Calibri" w:cs="Calibri" w:eastAsia="Calibri" w:hAnsi="Calibri"/>
                <w:b/>
                <w:bCs/>
                <w:color w:val="FFFFFF"/>
                <w:sz w:val="19"/>
                <w:szCs w:val="19"/>
              </w:rPr>
              <w:t xml:space="preserve">Tier</w:t>
            </w:r>
          </w:p>
        </w:tc>
        <w:tc>
          <w:tcPr>
            <w:tcW w:type="dxa" w:w="2200"/>
            <w:shd w:fill="4F46E5" w:color="auto" w:val="clear"/>
            <w:tcMar>
              <w:top w:type="dxa" w:w="40"/>
              <w:left w:type="dxa" w:w="90"/>
              <w:bottom w:type="dxa" w:w="40"/>
              <w:right w:type="dxa" w:w="90"/>
            </w:tcMar>
          </w:tcPr>
          <w:p>
            <w:pPr>
              <w:spacing w:after="20" w:before="20"/>
              <w:jc w:val="left"/>
            </w:pPr>
            <w:r>
              <w:rPr>
                <w:rFonts w:ascii="Calibri" w:cs="Calibri" w:eastAsia="Calibri" w:hAnsi="Calibri"/>
                <w:b/>
                <w:bCs/>
                <w:color w:val="FFFFFF"/>
                <w:sz w:val="19"/>
                <w:szCs w:val="19"/>
              </w:rPr>
              <w:t xml:space="preserve">Fused score</w:t>
            </w:r>
          </w:p>
        </w:tc>
        <w:tc>
          <w:tcPr>
            <w:tcW w:type="dxa" w:w="5360"/>
            <w:shd w:fill="4F46E5" w:color="auto" w:val="clear"/>
            <w:tcMar>
              <w:top w:type="dxa" w:w="40"/>
              <w:left w:type="dxa" w:w="90"/>
              <w:bottom w:type="dxa" w:w="40"/>
              <w:right w:type="dxa" w:w="90"/>
            </w:tcMar>
          </w:tcPr>
          <w:p>
            <w:pPr>
              <w:spacing w:after="20" w:before="20"/>
              <w:jc w:val="left"/>
            </w:pPr>
            <w:r>
              <w:rPr>
                <w:rFonts w:ascii="Calibri" w:cs="Calibri" w:eastAsia="Calibri" w:hAnsi="Calibri"/>
                <w:b/>
                <w:bCs/>
                <w:color w:val="FFFFFF"/>
                <w:sz w:val="19"/>
                <w:szCs w:val="19"/>
              </w:rPr>
              <w:t xml:space="preserve">Meaning</w:t>
            </w:r>
          </w:p>
        </w:tc>
      </w:tr>
      <w:tr>
        <w:trPr>
          <w:cantSplit/>
        </w:trPr>
        <w:tc>
          <w:tcPr>
            <w:tcW w:type="dxa" w:w="1800"/>
            <w:tcMar>
              <w:top w:type="dxa" w:w="40"/>
              <w:left w:type="dxa" w:w="90"/>
              <w:bottom w:type="dxa" w:w="40"/>
              <w:right w:type="dxa" w:w="90"/>
            </w:tcMar>
          </w:tcPr>
          <w:p>
            <w:pPr>
              <w:spacing w:after="20" w:before="20"/>
              <w:jc w:val="left"/>
            </w:pPr>
            <w:r>
              <w:rPr>
                <w:rFonts w:ascii="Calibri" w:cs="Calibri" w:eastAsia="Calibri" w:hAnsi="Calibri"/>
                <w:b/>
                <w:bCs/>
                <w:color w:val="047857"/>
                <w:sz w:val="19"/>
                <w:szCs w:val="19"/>
              </w:rPr>
              <w:t xml:space="preserve">LOW</w:t>
            </w:r>
          </w:p>
        </w:tc>
        <w:tc>
          <w:tcPr>
            <w:tcW w:type="dxa" w:w="2200"/>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&lt; 0.30</w:t>
            </w:r>
          </w:p>
        </w:tc>
        <w:tc>
          <w:tcPr>
            <w:tcW w:type="dxa" w:w="5360"/>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No action — document accepted.</w:t>
            </w:r>
          </w:p>
        </w:tc>
      </w:tr>
      <w:tr>
        <w:trPr>
          <w:cantSplit/>
        </w:trPr>
        <w:tc>
          <w:tcPr>
            <w:tcW w:type="dxa" w:w="1800"/>
            <w:shd w:fill="EEF2FF" w:color="auto" w:val="clear"/>
            <w:tcMar>
              <w:top w:type="dxa" w:w="40"/>
              <w:left w:type="dxa" w:w="90"/>
              <w:bottom w:type="dxa" w:w="40"/>
              <w:right w:type="dxa" w:w="90"/>
            </w:tcMar>
          </w:tcPr>
          <w:p>
            <w:pPr>
              <w:spacing w:after="20" w:before="20"/>
              <w:jc w:val="left"/>
            </w:pPr>
            <w:r>
              <w:rPr>
                <w:rFonts w:ascii="Calibri" w:cs="Calibri" w:eastAsia="Calibri" w:hAnsi="Calibri"/>
                <w:b/>
                <w:bCs/>
                <w:color w:val="B45309"/>
                <w:sz w:val="19"/>
                <w:szCs w:val="19"/>
              </w:rPr>
              <w:t xml:space="preserve">MEDIUM</w:t>
            </w:r>
          </w:p>
        </w:tc>
        <w:tc>
          <w:tcPr>
            <w:tcW w:type="dxa" w:w="2200"/>
            <w:shd w:fill="EEF2FF" w:color="auto" w:val="clear"/>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0.30 – 0.60</w:t>
            </w:r>
          </w:p>
        </w:tc>
        <w:tc>
          <w:tcPr>
            <w:tcW w:type="dxa" w:w="5360"/>
            <w:shd w:fill="EEF2FF" w:color="auto" w:val="clear"/>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Flagged for human review; explanation &amp; localization offered.</w:t>
            </w:r>
          </w:p>
        </w:tc>
      </w:tr>
      <w:tr>
        <w:trPr>
          <w:cantSplit/>
        </w:trPr>
        <w:tc>
          <w:tcPr>
            <w:tcW w:type="dxa" w:w="1800"/>
            <w:tcMar>
              <w:top w:type="dxa" w:w="40"/>
              <w:left w:type="dxa" w:w="90"/>
              <w:bottom w:type="dxa" w:w="40"/>
              <w:right w:type="dxa" w:w="90"/>
            </w:tcMar>
          </w:tcPr>
          <w:p>
            <w:pPr>
              <w:spacing w:after="20" w:before="20"/>
              <w:jc w:val="left"/>
            </w:pPr>
            <w:r>
              <w:rPr>
                <w:rFonts w:ascii="Calibri" w:cs="Calibri" w:eastAsia="Calibri" w:hAnsi="Calibri"/>
                <w:b/>
                <w:bCs/>
                <w:color w:val="B91C1C"/>
                <w:sz w:val="19"/>
                <w:szCs w:val="19"/>
              </w:rPr>
              <w:t xml:space="preserve">HIGH</w:t>
            </w:r>
          </w:p>
        </w:tc>
        <w:tc>
          <w:tcPr>
            <w:tcW w:type="dxa" w:w="2200"/>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 0.60</w:t>
            </w:r>
          </w:p>
        </w:tc>
        <w:tc>
          <w:tcPr>
            <w:tcW w:type="dxa" w:w="5360"/>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Strong evidence of tampering; escalated to the fraud queue.</w:t>
            </w:r>
          </w:p>
        </w:tc>
      </w:tr>
    </w:tbl>
    <w:p>
      <w:pPr>
        <w:pStyle w:val="Heading2"/>
        <w:keepNext/>
        <w:spacing w:after="100" w:before="240"/>
      </w:pPr>
      <w:r>
        <w:rPr>
          <w:rFonts w:ascii="Calibri" w:cs="Calibri" w:eastAsia="Calibri" w:hAnsi="Calibri"/>
          <w:b/>
          <w:bCs/>
          <w:color w:val="1F2937"/>
          <w:sz w:val="24"/>
          <w:szCs w:val="24"/>
        </w:rPr>
        <w:t xml:space="preserve">6.4 Explain &amp; locate</w:t>
      </w:r>
    </w:p>
    <w:p>
      <w:pPr>
        <w:spacing w:after="120" w:before="0" w:line="276"/>
      </w:pPr>
      <w:r>
        <w:rPr>
          <w:rFonts w:ascii="Calibri" w:cs="Calibri" w:eastAsia="Calibri" w:hAnsi="Calibri"/>
        </w:rPr>
        <w:t xml:space="preserve">For any MEDIUM or HIGH document, two on-demand tools help the reviewer act on the findings. Explain translates the raw findings into plain language (translation only — it cannot change the deterministic risk tier) and, with vision enabled, says where each issue is. Locate draws numbered boxes on the document by finding the exact figures or IDs a finding cites via OCR; metadata-only concerns are honestly marked “not visually locatable.”</w:t>
      </w:r>
    </w:p>
    <w:p>
      <w:pPr>
        <w:pStyle w:val="Heading1"/>
        <w:keepNext/>
        <w:pBdr>
          <w:bottom w:val="single" w:color="E5E7EB" w:sz="4"/>
        </w:pBdr>
        <w:spacing w:after="160" w:before="360"/>
      </w:pPr>
      <w:r>
        <w:rPr>
          <w:rFonts w:ascii="Calibri" w:cs="Calibri" w:eastAsia="Calibri" w:hAnsi="Calibri"/>
          <w:b/>
          <w:bCs/>
          <w:color w:val="3730A3"/>
          <w:sz w:val="30"/>
          <w:szCs w:val="30"/>
        </w:rPr>
        <w:t xml:space="preserve">7. Cross-Document Face Verification</w:t>
      </w:r>
    </w:p>
    <w:p>
      <w:pPr>
        <w:spacing w:after="120" w:before="0" w:line="276"/>
      </w:pPr>
      <w:r>
        <w:rPr>
          <w:rFonts w:ascii="Calibri" w:cs="Calibri" w:eastAsia="Calibri" w:hAnsi="Calibri"/>
        </w:rPr>
        <w:t xml:space="preserve">The face module confirms that the same person appears across every photo-bearing document in an application. It detects the face on each document in any orientation using YuNet, embeds it with SFace, and compares embeddings pairwise to report whether the identities are consistent.</w:t>
      </w:r>
    </w:p>
    <w:p>
      <w:pPr>
        <w:pStyle w:val="ListParagraph"/>
        <w:numPr>
          <w:ilvl w:val="0"/>
          <w:numId w:val="2"/>
        </w:numPr>
        <w:spacing w:after="60" w:line="268"/>
      </w:pPr>
      <w:r>
        <w:rPr>
          <w:rFonts w:ascii="Calibri" w:cs="Calibri" w:eastAsia="Calibri" w:hAnsi="Calibri"/>
          <w:b/>
          <w:bCs/>
        </w:rPr>
        <w:t xml:space="preserve">Orientation-robust detection</w:t>
      </w:r>
      <w:r>
        <w:rPr>
          <w:rFonts w:ascii="Calibri" w:cs="Calibri" w:eastAsia="Calibri" w:hAnsi="Calibri"/>
        </w:rPr>
        <w:t xml:space="preserve"> — finds the face even on a sideways or rotated ID.</w:t>
      </w:r>
    </w:p>
    <w:p>
      <w:pPr>
        <w:pStyle w:val="ListParagraph"/>
        <w:numPr>
          <w:ilvl w:val="0"/>
          <w:numId w:val="2"/>
        </w:numPr>
        <w:spacing w:after="60" w:line="268"/>
      </w:pPr>
      <w:r>
        <w:rPr>
          <w:rFonts w:ascii="Calibri" w:cs="Calibri" w:eastAsia="Calibri" w:hAnsi="Calibri"/>
          <w:b/>
          <w:bCs/>
        </w:rPr>
        <w:t xml:space="preserve">Quality-aware</w:t>
      </w:r>
      <w:r>
        <w:rPr>
          <w:rFonts w:ascii="Calibri" w:cs="Calibri" w:eastAsia="Calibri" w:hAnsi="Calibri"/>
        </w:rPr>
        <w:t xml:space="preserve"> — a low-quality face is reported as inconclusive rather than used to assert a false mismatch.</w:t>
      </w:r>
    </w:p>
    <w:p>
      <w:pPr>
        <w:pStyle w:val="ListParagraph"/>
        <w:numPr>
          <w:ilvl w:val="0"/>
          <w:numId w:val="2"/>
        </w:numPr>
        <w:spacing w:after="60" w:line="268"/>
      </w:pPr>
      <w:r>
        <w:rPr>
          <w:rFonts w:ascii="Calibri" w:cs="Calibri" w:eastAsia="Calibri" w:hAnsi="Calibri"/>
          <w:b/>
          <w:bCs/>
        </w:rPr>
        <w:t xml:space="preserve">Advisory by design</w:t>
      </w:r>
      <w:r>
        <w:rPr>
          <w:rFonts w:ascii="Calibri" w:cs="Calibri" w:eastAsia="Calibri" w:hAnsi="Calibri"/>
        </w:rPr>
        <w:t xml:space="preserve"> — the result is one input to fraud detection and evidence for a human; it is never an automatic rejection.</w:t>
      </w:r>
    </w:p>
    <w:p>
      <w:pPr>
        <w:pStyle w:val="ListParagraph"/>
        <w:numPr>
          <w:ilvl w:val="0"/>
          <w:numId w:val="2"/>
        </w:numPr>
        <w:spacing w:after="60" w:line="268"/>
      </w:pPr>
      <w:r>
        <w:rPr>
          <w:rFonts w:ascii="Calibri" w:cs="Calibri" w:eastAsia="Calibri" w:hAnsi="Calibri"/>
          <w:b/>
          <w:bCs/>
        </w:rPr>
        <w:t xml:space="preserve">Local models</w:t>
      </w:r>
      <w:r>
        <w:rPr>
          <w:rFonts w:ascii="Calibri" w:cs="Calibri" w:eastAsia="Calibri" w:hAnsi="Calibri"/>
        </w:rPr>
        <w:t xml:space="preserve"> — the YuNet and SFace ONNX models run on-device via OpenCV/ONNXRuntime; no image leaves the machine.</w:t>
      </w:r>
    </w:p>
    <w:p>
      <w:pPr>
        <w:pStyle w:val="Heading1"/>
        <w:keepNext/>
        <w:pBdr>
          <w:bottom w:val="single" w:color="E5E7EB" w:sz="4"/>
        </w:pBdr>
        <w:spacing w:after="160" w:before="360"/>
      </w:pPr>
      <w:r>
        <w:rPr>
          <w:rFonts w:ascii="Calibri" w:cs="Calibri" w:eastAsia="Calibri" w:hAnsi="Calibri"/>
          <w:b/>
          <w:bCs/>
          <w:color w:val="3730A3"/>
          <w:sz w:val="30"/>
          <w:szCs w:val="30"/>
        </w:rPr>
        <w:t xml:space="preserve">8. PII Masking &amp; Audit Storage</w:t>
      </w:r>
    </w:p>
    <w:p>
      <w:pPr>
        <w:pStyle w:val="Heading2"/>
        <w:keepNext/>
        <w:spacing w:after="100" w:before="240"/>
      </w:pPr>
      <w:r>
        <w:rPr>
          <w:rFonts w:ascii="Calibri" w:cs="Calibri" w:eastAsia="Calibri" w:hAnsi="Calibri"/>
          <w:b/>
          <w:bCs/>
          <w:color w:val="1F2937"/>
          <w:sz w:val="24"/>
          <w:szCs w:val="24"/>
        </w:rPr>
        <w:t xml:space="preserve">8.1 Automatic PII masking</w:t>
      </w:r>
    </w:p>
    <w:p>
      <w:pPr>
        <w:spacing w:after="120" w:before="0" w:line="276"/>
      </w:pPr>
      <w:r>
        <w:rPr>
          <w:rFonts w:ascii="Calibri" w:cs="Calibri" w:eastAsia="Calibri" w:hAnsi="Calibri"/>
        </w:rPr>
        <w:t xml:space="preserve">A dedicated endpoint returns a privacy-masked render of any document. It redacts only the PAN number and the Aadhaar number — keeping the last four digits visible — and leaves every other figure untouched. A document with neither number is re-rendered unchanged. The masked render powers the hover preview and the officer-facing record.</w:t>
      </w:r>
    </w:p>
    <w:p>
      <w:pPr>
        <w:pStyle w:val="Heading2"/>
        <w:keepNext/>
        <w:spacing w:after="100" w:before="240"/>
      </w:pPr>
      <w:r>
        <w:rPr>
          <w:rFonts w:ascii="Calibri" w:cs="Calibri" w:eastAsia="Calibri" w:hAnsi="Calibri"/>
          <w:b/>
          <w:bCs/>
          <w:color w:val="1F2937"/>
          <w:sz w:val="24"/>
          <w:szCs w:val="24"/>
        </w:rPr>
        <w:t xml:space="preserve">8.2 Dual-view audit store</w:t>
      </w:r>
    </w:p>
    <w:p>
      <w:pPr>
        <w:spacing w:after="120" w:before="0" w:line="276"/>
      </w:pPr>
      <w:r>
        <w:rPr>
          <w:rFonts w:ascii="Calibri" w:cs="Calibri" w:eastAsia="Calibri" w:hAnsi="Calibri"/>
        </w:rPr>
        <w:t xml:space="preserve">When an application is submitted, the store writes the original and masked files under a per-application folder and appends one row per document to a two-sheet Excel ledger:</w:t>
      </w:r>
    </w:p>
    <w:p>
      <w:pPr>
        <w:pStyle w:val="ListParagraph"/>
        <w:numPr>
          <w:ilvl w:val="0"/>
          <w:numId w:val="2"/>
        </w:numPr>
        <w:spacing w:after="60" w:line="268"/>
      </w:pPr>
      <w:r>
        <w:rPr>
          <w:rFonts w:ascii="Calibri" w:cs="Calibri" w:eastAsia="Calibri" w:hAnsi="Calibri"/>
          <w:b/>
          <w:bCs/>
        </w:rPr>
        <w:t xml:space="preserve">Manager sheet</w:t>
      </w:r>
      <w:r>
        <w:rPr>
          <w:rFonts w:ascii="Calibri" w:cs="Calibri" w:eastAsia="Calibri" w:hAnsi="Calibri"/>
        </w:rPr>
        <w:t xml:space="preserve"> — full PII, for authorised managers.</w:t>
      </w:r>
    </w:p>
    <w:p>
      <w:pPr>
        <w:pStyle w:val="ListParagraph"/>
        <w:numPr>
          <w:ilvl w:val="0"/>
          <w:numId w:val="2"/>
        </w:numPr>
        <w:spacing w:after="60" w:line="268"/>
      </w:pPr>
      <w:r>
        <w:rPr>
          <w:rFonts w:ascii="Calibri" w:cs="Calibri" w:eastAsia="Calibri" w:hAnsi="Calibri"/>
          <w:b/>
          <w:bCs/>
        </w:rPr>
        <w:t xml:space="preserve">Officer sheet</w:t>
      </w:r>
      <w:r>
        <w:rPr>
          <w:rFonts w:ascii="Calibri" w:cs="Calibri" w:eastAsia="Calibri" w:hAnsi="Calibri"/>
        </w:rPr>
        <w:t xml:space="preserve"> — PII masked, for the wider credit team.</w:t>
      </w:r>
    </w:p>
    <w:p>
      <w:pPr>
        <w:spacing w:after="120" w:before="0" w:line="276"/>
      </w:pPr>
      <w:r>
        <w:rPr>
          <w:rFonts w:ascii="Calibri" w:cs="Calibri" w:eastAsia="Calibri" w:hAnsi="Calibri"/>
        </w:rPr>
        <w:t xml:space="preserve">Storage never fails a submission: a write error is returned as a structured result rather than blocking the borrower. This separation enforces least-privilege access to sensitive identifiers at the data layer, not just in the UI.</w:t>
      </w:r>
    </w:p>
    <w:p>
      <w:pPr>
        <w:pStyle w:val="Heading1"/>
        <w:keepNext/>
        <w:pBdr>
          <w:bottom w:val="single" w:color="E5E7EB" w:sz="4"/>
        </w:pBdr>
        <w:spacing w:after="160" w:before="360"/>
      </w:pPr>
      <w:r>
        <w:rPr>
          <w:rFonts w:ascii="Calibri" w:cs="Calibri" w:eastAsia="Calibri" w:hAnsi="Calibri"/>
          <w:b/>
          <w:bCs/>
          <w:color w:val="3730A3"/>
          <w:sz w:val="30"/>
          <w:szCs w:val="30"/>
        </w:rPr>
        <w:t xml:space="preserve">9. RBI Compliance Engine</w:t>
      </w:r>
    </w:p>
    <w:p>
      <w:pPr>
        <w:spacing w:after="120" w:before="0" w:line="276"/>
      </w:pPr>
      <w:r>
        <w:rPr>
          <w:rFonts w:ascii="Calibri" w:cs="Calibri" w:eastAsia="Calibri" w:hAnsi="Calibri"/>
        </w:rPr>
        <w:t xml:space="preserve">The compliance module brings regulatory knowledge and enforcement into the platform. It seeds its own SQLite database and BM25 search index at boot and exposes four capabilities: a searchable knowledge base, a retrieval-augmented Q&amp;A chat, a deterministic rules engine, and a maker-checker workflow for AI-drafted rules.</w:t>
      </w:r>
    </w:p>
    <w:p>
      <w:pPr>
        <w:pStyle w:val="Heading2"/>
        <w:keepNext/>
        <w:spacing w:after="100" w:before="240"/>
      </w:pPr>
      <w:r>
        <w:rPr>
          <w:rFonts w:ascii="Calibri" w:cs="Calibri" w:eastAsia="Calibri" w:hAnsi="Calibri"/>
          <w:b/>
          <w:bCs/>
          <w:color w:val="1F2937"/>
          <w:sz w:val="24"/>
          <w:szCs w:val="24"/>
        </w:rPr>
        <w:t xml:space="preserve">9.1 Regulatory knowledge base &amp; RAG chat</w:t>
      </w:r>
    </w:p>
    <w:p>
      <w:pPr>
        <w:pStyle w:val="ListParagraph"/>
        <w:numPr>
          <w:ilvl w:val="0"/>
          <w:numId w:val="2"/>
        </w:numPr>
        <w:spacing w:after="60" w:line="268"/>
      </w:pPr>
      <w:r>
        <w:rPr>
          <w:rFonts w:ascii="Calibri" w:cs="Calibri" w:eastAsia="Calibri" w:hAnsi="Calibri"/>
          <w:b/>
          <w:bCs/>
        </w:rPr>
        <w:t xml:space="preserve">Ingestion</w:t>
      </w:r>
      <w:r>
        <w:rPr>
          <w:rFonts w:ascii="Calibri" w:cs="Calibri" w:eastAsia="Calibri" w:hAnsi="Calibri"/>
        </w:rPr>
        <w:t xml:space="preserve"> — regulatory documents are chunked and indexed with BM25 retrieval.</w:t>
      </w:r>
    </w:p>
    <w:p>
      <w:pPr>
        <w:pStyle w:val="ListParagraph"/>
        <w:numPr>
          <w:ilvl w:val="0"/>
          <w:numId w:val="2"/>
        </w:numPr>
        <w:spacing w:after="60" w:line="268"/>
      </w:pPr>
      <w:r>
        <w:rPr>
          <w:rFonts w:ascii="Calibri" w:cs="Calibri" w:eastAsia="Calibri" w:hAnsi="Calibri"/>
          <w:b/>
          <w:bCs/>
        </w:rPr>
        <w:t xml:space="preserve">Q&amp;A</w:t>
      </w:r>
      <w:r>
        <w:rPr>
          <w:rFonts w:ascii="Calibri" w:cs="Calibri" w:eastAsia="Calibri" w:hAnsi="Calibri"/>
        </w:rPr>
        <w:t xml:space="preserve"> — the Policy Engine chat answers a regulation question by retrieving the most relevant chunks and grounding the response in them.</w:t>
      </w:r>
    </w:p>
    <w:p>
      <w:pPr>
        <w:pStyle w:val="Heading2"/>
        <w:keepNext/>
        <w:spacing w:after="100" w:before="240"/>
      </w:pPr>
      <w:r>
        <w:rPr>
          <w:rFonts w:ascii="Calibri" w:cs="Calibri" w:eastAsia="Calibri" w:hAnsi="Calibri"/>
          <w:b/>
          <w:bCs/>
          <w:color w:val="1F2937"/>
          <w:sz w:val="24"/>
          <w:szCs w:val="24"/>
        </w:rPr>
        <w:t xml:space="preserve">9.2 Rules engine</w:t>
      </w:r>
    </w:p>
    <w:p>
      <w:pPr>
        <w:spacing w:after="120" w:before="0" w:line="276"/>
      </w:pPr>
      <w:r>
        <w:rPr>
          <w:rFonts w:ascii="Calibri" w:cs="Calibri" w:eastAsia="Calibri" w:hAnsi="Calibri"/>
        </w:rPr>
        <w:t xml:space="preserve">Rules are stored as data and evaluated against a loan application by a sandboxed safe-expression evaluator — no arbitrary code executes. Each applicant in Customer 360° is checked against every active rule, and the results appear on the RBI Compliance tab. Rules are versioned so replaying history gives the same answer it originally did.</w:t>
      </w:r>
    </w:p>
    <w:p>
      <w:pPr>
        <w:pStyle w:val="Heading2"/>
        <w:keepNext/>
        <w:spacing w:after="100" w:before="240"/>
      </w:pPr>
      <w:r>
        <w:rPr>
          <w:rFonts w:ascii="Calibri" w:cs="Calibri" w:eastAsia="Calibri" w:hAnsi="Calibri"/>
          <w:b/>
          <w:bCs/>
          <w:color w:val="1F2937"/>
          <w:sz w:val="24"/>
          <w:szCs w:val="24"/>
        </w:rPr>
        <w:t xml:space="preserve">9.3 Maker-checker rule authoring</w:t>
      </w:r>
    </w:p>
    <w:p>
      <w:pPr>
        <w:spacing w:after="120" w:before="0" w:line="276"/>
      </w:pPr>
      <w:r>
        <w:rPr>
          <w:rFonts w:ascii="Calibri" w:cs="Calibri" w:eastAsia="Calibri" w:hAnsi="Calibri"/>
        </w:rPr>
        <w:t xml:space="preserve">The system can draft candidate rules from an ingested regulatory document. Those candidates enter a review queue where a Head Manager approves or rejects each one before it becomes active — a governed maker-checker loop with a full audit log of every action.</w:t>
      </w:r>
    </w:p>
    <w:tbl>
      <w:tblPr>
        <w:tblW w:type="dxa" w:w="9360"/>
        <w:tblBorders>
          <w:top w:val="single" w:color="0D9488" w:sz="2"/>
          <w:left w:val="single" w:color="0D9488" w:sz="24"/>
          <w:bottom w:val="single" w:color="0D9488" w:sz="2"/>
          <w:right w:val="single" w:color="0D9488" w:sz="2"/>
          <w:insideH w:val="none"/>
          <w:insideV w:val="none"/>
        </w:tblBorders>
      </w:tblPr>
      <w:tblGrid>
        <w:gridCol w:w="9360"/>
      </w:tblGrid>
      <w:tr>
        <w:tc>
          <w:tcPr>
            <w:tcW w:type="dxa" w:w="9360"/>
            <w:shd w:fill="F3F4F6" w:color="auto" w:val="clear"/>
            <w:tcMar>
              <w:top w:type="dxa" w:w="120"/>
              <w:left w:type="dxa" w:w="200"/>
              <w:bottom w:type="dxa" w:w="120"/>
              <w:right w:type="dxa" w:w="160"/>
            </w:tcMar>
          </w:tcPr>
          <w:p>
            <w:pPr>
              <w:spacing w:after="40"/>
            </w:pPr>
            <w:r>
              <w:rPr>
                <w:rFonts w:ascii="Calibri" w:cs="Calibri" w:eastAsia="Calibri" w:hAnsi="Calibri"/>
                <w:b/>
                <w:bCs/>
                <w:color w:val="0D9488"/>
                <w:sz w:val="20"/>
                <w:szCs w:val="20"/>
              </w:rPr>
              <w:t xml:space="preserve">Endpoints at a glance</w:t>
            </w:r>
          </w:p>
          <w:p>
            <w:pPr>
              <w:spacing w:after="40"/>
            </w:pPr>
            <w:r>
              <w:rPr>
                <w:rFonts w:ascii="Calibri" w:cs="Calibri" w:eastAsia="Calibri" w:hAnsi="Calibri"/>
                <w:color w:val="1F2937"/>
                <w:sz w:val="20"/>
                <w:szCs w:val="20"/>
              </w:rPr>
              <w:t xml:space="preserve">Knowledge base: ingest, list, chunk, delete documents. RAG: query. Rules: list, create, deactivate, extract candidates, approve/reject candidates. Enforcement: policy check per application. Plus audit log and statistics endpoints.</w:t>
            </w:r>
          </w:p>
        </w:tc>
      </w:tr>
    </w:tbl>
    <w:p>
      <w:pPr>
        <w:pStyle w:val="Heading1"/>
        <w:keepNext/>
        <w:pBdr>
          <w:bottom w:val="single" w:color="E5E7EB" w:sz="4"/>
        </w:pBdr>
        <w:spacing w:after="160" w:before="360"/>
      </w:pPr>
      <w:r>
        <w:rPr>
          <w:rFonts w:ascii="Calibri" w:cs="Calibri" w:eastAsia="Calibri" w:hAnsi="Calibri"/>
          <w:b/>
          <w:bCs/>
          <w:color w:val="3730A3"/>
          <w:sz w:val="30"/>
          <w:szCs w:val="30"/>
        </w:rPr>
        <w:t xml:space="preserve">10. Lending Data Platform</w:t>
      </w:r>
    </w:p>
    <w:p>
      <w:pPr>
        <w:spacing w:after="120" w:before="0" w:line="276"/>
      </w:pPr>
      <w:r>
        <w:rPr>
          <w:rFonts w:ascii="Calibri" w:cs="Calibri" w:eastAsia="Calibri" w:hAnsi="Calibri"/>
        </w:rPr>
        <w:t xml:space="preserve">Every borrower and officer screen reads from SQL Server through the lending API — the frontend carries no hardcoded business data. The database is resilient to outages: the router opens a connection per request and returns a clean 503 if SQL Server is unreachable, so document processing continues even during a database outage.</w:t>
      </w:r>
    </w:p>
    <w:p>
      <w:pPr>
        <w:pStyle w:val="Heading2"/>
        <w:keepNext/>
        <w:spacing w:after="100" w:before="240"/>
      </w:pPr>
      <w:r>
        <w:rPr>
          <w:rFonts w:ascii="Calibri" w:cs="Calibri" w:eastAsia="Calibri" w:hAnsi="Calibri"/>
          <w:b/>
          <w:bCs/>
          <w:color w:val="1F2937"/>
          <w:sz w:val="24"/>
          <w:szCs w:val="24"/>
        </w:rPr>
        <w:t xml:space="preserve">10.1 Lending API surface</w:t>
      </w:r>
    </w:p>
    <w:tbl>
      <w:tblPr>
        <w:tblW w:type="dxa" w:w="9360"/>
        <w:tblBorders>
          <w:top w:val="single" w:color="D1D5DB" w:sz="2"/>
          <w:left w:val="single" w:color="D1D5DB" w:sz="2"/>
          <w:bottom w:val="single" w:color="D1D5DB" w:sz="2"/>
          <w:right w:val="single" w:color="D1D5DB" w:sz="2"/>
          <w:insideH w:val="single" w:color="D1D5DB" w:sz="2"/>
          <w:insideV w:val="single" w:color="D1D5DB" w:sz="2"/>
        </w:tblBorders>
      </w:tblPr>
      <w:tblGrid>
        <w:gridCol w:w="3400"/>
        <w:gridCol w:w="5960"/>
      </w:tblGrid>
      <w:tr>
        <w:trPr>
          <w:cantSplit/>
          <w:tblHeader/>
        </w:trPr>
        <w:tc>
          <w:tcPr>
            <w:tcW w:type="dxa" w:w="3400"/>
            <w:shd w:fill="4F46E5" w:color="auto" w:val="clear"/>
            <w:tcMar>
              <w:top w:type="dxa" w:w="40"/>
              <w:left w:type="dxa" w:w="90"/>
              <w:bottom w:type="dxa" w:w="40"/>
              <w:right w:type="dxa" w:w="90"/>
            </w:tcMar>
          </w:tcPr>
          <w:p>
            <w:pPr>
              <w:spacing w:after="20" w:before="20"/>
              <w:jc w:val="left"/>
            </w:pPr>
            <w:r>
              <w:rPr>
                <w:rFonts w:ascii="Calibri" w:cs="Calibri" w:eastAsia="Calibri" w:hAnsi="Calibri"/>
                <w:b/>
                <w:bCs/>
                <w:color w:val="FFFFFF"/>
                <w:sz w:val="19"/>
                <w:szCs w:val="19"/>
              </w:rPr>
              <w:t xml:space="preserve">Endpoint</w:t>
            </w:r>
          </w:p>
        </w:tc>
        <w:tc>
          <w:tcPr>
            <w:tcW w:type="dxa" w:w="5960"/>
            <w:shd w:fill="4F46E5" w:color="auto" w:val="clear"/>
            <w:tcMar>
              <w:top w:type="dxa" w:w="40"/>
              <w:left w:type="dxa" w:w="90"/>
              <w:bottom w:type="dxa" w:w="40"/>
              <w:right w:type="dxa" w:w="90"/>
            </w:tcMar>
          </w:tcPr>
          <w:p>
            <w:pPr>
              <w:spacing w:after="20" w:before="20"/>
              <w:jc w:val="left"/>
            </w:pPr>
            <w:r>
              <w:rPr>
                <w:rFonts w:ascii="Calibri" w:cs="Calibri" w:eastAsia="Calibri" w:hAnsi="Calibri"/>
                <w:b/>
                <w:bCs/>
                <w:color w:val="FFFFFF"/>
                <w:sz w:val="19"/>
                <w:szCs w:val="19"/>
              </w:rPr>
              <w:t xml:space="preserve">Serves</w:t>
            </w:r>
          </w:p>
        </w:tc>
      </w:tr>
      <w:tr>
        <w:trPr>
          <w:cantSplit/>
        </w:trPr>
        <w:tc>
          <w:tcPr>
            <w:tcW w:type="dxa" w:w="3400"/>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/session</w:t>
            </w:r>
          </w:p>
        </w:tc>
        <w:tc>
          <w:tcPr>
            <w:tcW w:type="dxa" w:w="5960"/>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Resolves the signed-in person for a chosen role.</w:t>
            </w:r>
          </w:p>
        </w:tc>
      </w:tr>
      <w:tr>
        <w:trPr>
          <w:cantSplit/>
        </w:trPr>
        <w:tc>
          <w:tcPr>
            <w:tcW w:type="dxa" w:w="3400"/>
            <w:shd w:fill="EEF2FF" w:color="auto" w:val="clear"/>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/products</w:t>
            </w:r>
          </w:p>
        </w:tc>
        <w:tc>
          <w:tcPr>
            <w:tcW w:type="dxa" w:w="5960"/>
            <w:shd w:fill="EEF2FF" w:color="auto" w:val="clear"/>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Loan products and their document requirements.</w:t>
            </w:r>
          </w:p>
        </w:tc>
      </w:tr>
      <w:tr>
        <w:trPr>
          <w:cantSplit/>
        </w:trPr>
        <w:tc>
          <w:tcPr>
            <w:tcW w:type="dxa" w:w="3400"/>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/applications, /applications/{no}</w:t>
            </w:r>
          </w:p>
        </w:tc>
        <w:tc>
          <w:tcPr>
            <w:tcW w:type="dxa" w:w="5960"/>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Application lists and full application detail.</w:t>
            </w:r>
          </w:p>
        </w:tc>
      </w:tr>
      <w:tr>
        <w:trPr>
          <w:cantSplit/>
        </w:trPr>
        <w:tc>
          <w:tcPr>
            <w:tcW w:type="dxa" w:w="3400"/>
            <w:shd w:fill="EEF2FF" w:color="auto" w:val="clear"/>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/borrower/stats, /officer/stats</w:t>
            </w:r>
          </w:p>
        </w:tc>
        <w:tc>
          <w:tcPr>
            <w:tcW w:type="dxa" w:w="5960"/>
            <w:shd w:fill="EEF2FF" w:color="auto" w:val="clear"/>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Role dashboards.</w:t>
            </w:r>
          </w:p>
        </w:tc>
      </w:tr>
      <w:tr>
        <w:trPr>
          <w:cantSplit/>
        </w:trPr>
        <w:tc>
          <w:tcPr>
            <w:tcW w:type="dxa" w:w="3400"/>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/fraud/cases</w:t>
            </w:r>
          </w:p>
        </w:tc>
        <w:tc>
          <w:tcPr>
            <w:tcW w:type="dxa" w:w="5960"/>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Fraud queue backed by tampering &amp; face signals.</w:t>
            </w:r>
          </w:p>
        </w:tc>
      </w:tr>
      <w:tr>
        <w:trPr>
          <w:cantSplit/>
        </w:trPr>
        <w:tc>
          <w:tcPr>
            <w:tcW w:type="dxa" w:w="3400"/>
            <w:shd w:fill="EEF2FF" w:color="auto" w:val="clear"/>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/policy-tickets, /reports</w:t>
            </w:r>
          </w:p>
        </w:tc>
        <w:tc>
          <w:tcPr>
            <w:tcW w:type="dxa" w:w="5960"/>
            <w:shd w:fill="EEF2FF" w:color="auto" w:val="clear"/>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Policy queue and reporting.</w:t>
            </w:r>
          </w:p>
        </w:tc>
      </w:tr>
      <w:tr>
        <w:trPr>
          <w:cantSplit/>
        </w:trPr>
        <w:tc>
          <w:tcPr>
            <w:tcW w:type="dxa" w:w="3400"/>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/notifications</w:t>
            </w:r>
          </w:p>
        </w:tc>
        <w:tc>
          <w:tcPr>
            <w:tcW w:type="dxa" w:w="5960"/>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Per-user notifications.</w:t>
            </w:r>
          </w:p>
        </w:tc>
      </w:tr>
    </w:tbl>
    <w:p>
      <w:pPr>
        <w:pStyle w:val="Heading2"/>
        <w:keepNext/>
        <w:spacing w:after="100" w:before="240"/>
      </w:pPr>
      <w:r>
        <w:rPr>
          <w:rFonts w:ascii="Calibri" w:cs="Calibri" w:eastAsia="Calibri" w:hAnsi="Calibri"/>
          <w:b/>
          <w:bCs/>
          <w:color w:val="1F2937"/>
          <w:sz w:val="24"/>
          <w:szCs w:val="24"/>
        </w:rPr>
        <w:t xml:space="preserve">10.2 Schema scope</w:t>
      </w:r>
    </w:p>
    <w:p>
      <w:pPr>
        <w:spacing w:after="120" w:before="0" w:line="276"/>
      </w:pPr>
      <w:r>
        <w:rPr>
          <w:rFonts w:ascii="Calibri" w:cs="Calibri" w:eastAsia="Calibri" w:hAnsi="Calibri"/>
        </w:rPr>
        <w:t xml:space="preserve">The operational schema spans borrowers, applications, uploaded documents, extraction results, field-verification logs, officers and teams, loan offers, disbursements, fraud cases and signals, notifications and audit logging — organised into dedicated schemas (core, ops, comp, fraud, risk, audit, ref) plus the process-mining schema described next.</w:t>
      </w:r>
    </w:p>
    <w:p>
      <w:pPr>
        <w:pStyle w:val="Heading1"/>
        <w:keepNext/>
        <w:pBdr>
          <w:bottom w:val="single" w:color="E5E7EB" w:sz="4"/>
        </w:pBdr>
        <w:spacing w:after="160" w:before="360"/>
      </w:pPr>
      <w:r>
        <w:rPr>
          <w:rFonts w:ascii="Calibri" w:cs="Calibri" w:eastAsia="Calibri" w:hAnsi="Calibri"/>
          <w:b/>
          <w:bCs/>
          <w:color w:val="3730A3"/>
          <w:sz w:val="30"/>
          <w:szCs w:val="30"/>
        </w:rPr>
        <w:t xml:space="preserve">11. Process-Mining Data Layer</w:t>
      </w:r>
    </w:p>
    <w:p>
      <w:pPr>
        <w:spacing w:after="120" w:before="0" w:line="276"/>
      </w:pPr>
      <w:r>
        <w:rPr>
          <w:rFonts w:ascii="Calibri" w:cs="Calibri" w:eastAsia="Calibri" w:hAnsi="Calibri"/>
        </w:rPr>
        <w:t xml:space="preserve">FinSight ships a complete, verified process-mining foundation that turns the platform's operational activity into a mineable event model. Where the operational tables record state, this layer records events — the data model every process-mining algorithm consumes. It was built and validated end-to-end against SQL Server 2019.</w:t>
      </w:r>
    </w:p>
    <w:p>
      <w:pPr>
        <w:pStyle w:val="Heading2"/>
        <w:keepNext/>
        <w:spacing w:after="100" w:before="240"/>
      </w:pPr>
      <w:r>
        <w:rPr>
          <w:rFonts w:ascii="Calibri" w:cs="Calibri" w:eastAsia="Calibri" w:hAnsi="Calibri"/>
          <w:b/>
          <w:bCs/>
          <w:color w:val="1F2937"/>
          <w:sz w:val="24"/>
          <w:szCs w:val="24"/>
        </w:rPr>
        <w:t xml:space="preserve">11.1 What was delivered</w:t>
      </w:r>
    </w:p>
    <w:tbl>
      <w:tblPr>
        <w:tblW w:type="dxa" w:w="9360"/>
        <w:tblBorders>
          <w:top w:val="single" w:color="D1D5DB" w:sz="2"/>
          <w:left w:val="single" w:color="D1D5DB" w:sz="2"/>
          <w:bottom w:val="single" w:color="D1D5DB" w:sz="2"/>
          <w:right w:val="single" w:color="D1D5DB" w:sz="2"/>
          <w:insideH w:val="single" w:color="D1D5DB" w:sz="2"/>
          <w:insideV w:val="single" w:color="D1D5DB" w:sz="2"/>
        </w:tblBorders>
      </w:tblPr>
      <w:tblGrid>
        <w:gridCol w:w="3000"/>
        <w:gridCol w:w="6360"/>
      </w:tblGrid>
      <w:tr>
        <w:trPr>
          <w:cantSplit/>
          <w:tblHeader/>
        </w:trPr>
        <w:tc>
          <w:tcPr>
            <w:tcW w:type="dxa" w:w="3000"/>
            <w:shd w:fill="4F46E5" w:color="auto" w:val="clear"/>
            <w:tcMar>
              <w:top w:type="dxa" w:w="40"/>
              <w:left w:type="dxa" w:w="90"/>
              <w:bottom w:type="dxa" w:w="40"/>
              <w:right w:type="dxa" w:w="90"/>
            </w:tcMar>
          </w:tcPr>
          <w:p>
            <w:pPr>
              <w:spacing w:after="20" w:before="20"/>
              <w:jc w:val="left"/>
            </w:pPr>
            <w:r>
              <w:rPr>
                <w:rFonts w:ascii="Calibri" w:cs="Calibri" w:eastAsia="Calibri" w:hAnsi="Calibri"/>
                <w:b/>
                <w:bCs/>
                <w:color w:val="FFFFFF"/>
                <w:sz w:val="19"/>
                <w:szCs w:val="19"/>
              </w:rPr>
              <w:t xml:space="preserve">Artifact</w:t>
            </w:r>
          </w:p>
        </w:tc>
        <w:tc>
          <w:tcPr>
            <w:tcW w:type="dxa" w:w="6360"/>
            <w:shd w:fill="4F46E5" w:color="auto" w:val="clear"/>
            <w:tcMar>
              <w:top w:type="dxa" w:w="40"/>
              <w:left w:type="dxa" w:w="90"/>
              <w:bottom w:type="dxa" w:w="40"/>
              <w:right w:type="dxa" w:w="90"/>
            </w:tcMar>
          </w:tcPr>
          <w:p>
            <w:pPr>
              <w:spacing w:after="20" w:before="20"/>
              <w:jc w:val="left"/>
            </w:pPr>
            <w:r>
              <w:rPr>
                <w:rFonts w:ascii="Calibri" w:cs="Calibri" w:eastAsia="Calibri" w:hAnsi="Calibri"/>
                <w:b/>
                <w:bCs/>
                <w:color w:val="FFFFFF"/>
                <w:sz w:val="19"/>
                <w:szCs w:val="19"/>
              </w:rPr>
              <w:t xml:space="preserve">Count / detail</w:t>
            </w:r>
          </w:p>
        </w:tc>
      </w:tr>
      <w:tr>
        <w:trPr>
          <w:cantSplit/>
        </w:trPr>
        <w:tc>
          <w:tcPr>
            <w:tcW w:type="dxa" w:w="3000"/>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Tables</w:t>
            </w:r>
          </w:p>
        </w:tc>
        <w:tc>
          <w:tcPr>
            <w:tcW w:type="dxa" w:w="6360"/>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72 (ref 21, pm 20, core 9, ops 6, comp 5, fraud 5, audit 3, risk 3)</w:t>
            </w:r>
          </w:p>
        </w:tc>
      </w:tr>
      <w:tr>
        <w:trPr>
          <w:cantSplit/>
        </w:trPr>
        <w:tc>
          <w:tcPr>
            <w:tcW w:type="dxa" w:w="3000"/>
            <w:shd w:fill="EEF2FF" w:color="auto" w:val="clear"/>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Views / procedures / triggers</w:t>
            </w:r>
          </w:p>
        </w:tc>
        <w:tc>
          <w:tcPr>
            <w:tcW w:type="dxa" w:w="6360"/>
            <w:shd w:fill="EEF2FF" w:color="auto" w:val="clear"/>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15 / 8 / 37</w:t>
            </w:r>
          </w:p>
        </w:tc>
      </w:tr>
      <w:tr>
        <w:trPr>
          <w:cantSplit/>
        </w:trPr>
        <w:tc>
          <w:tcPr>
            <w:tcW w:type="dxa" w:w="3000"/>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Foreign keys / indexes</w:t>
            </w:r>
          </w:p>
        </w:tc>
        <w:tc>
          <w:tcPr>
            <w:tcW w:type="dxa" w:w="6360"/>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147 / 144</w:t>
            </w:r>
          </w:p>
        </w:tc>
      </w:tr>
      <w:tr>
        <w:trPr>
          <w:cantSplit/>
        </w:trPr>
        <w:tc>
          <w:tcPr>
            <w:tcW w:type="dxa" w:w="3000"/>
            <w:shd w:fill="EEF2FF" w:color="auto" w:val="clear"/>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Seeded activities / normative edges</w:t>
            </w:r>
          </w:p>
        </w:tc>
        <w:tc>
          <w:tcPr>
            <w:tcW w:type="dxa" w:w="6360"/>
            <w:shd w:fill="EEF2FF" w:color="auto" w:val="clear"/>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65 / 55</w:t>
            </w:r>
          </w:p>
        </w:tc>
      </w:tr>
      <w:tr>
        <w:trPr>
          <w:cantSplit/>
        </w:trPr>
        <w:tc>
          <w:tcPr>
            <w:tcW w:type="dxa" w:w="3000"/>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Event model</w:t>
            </w:r>
          </w:p>
        </w:tc>
        <w:tc>
          <w:tcPr>
            <w:tcW w:type="dxa" w:w="6360"/>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pm.event_log (~60 columns): identity, XES lifecycle, five timestamp forms, resource snapshots, automation/AI dimension, rework/SLA/cost.</w:t>
            </w:r>
          </w:p>
        </w:tc>
      </w:tr>
      <w:tr>
        <w:trPr>
          <w:cantSplit/>
        </w:trPr>
        <w:tc>
          <w:tcPr>
            <w:tcW w:type="dxa" w:w="3000"/>
            <w:shd w:fill="EEF2FF" w:color="auto" w:val="clear"/>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Object-centric layer</w:t>
            </w:r>
          </w:p>
        </w:tc>
        <w:tc>
          <w:tcPr>
            <w:tcW w:type="dxa" w:w="6360"/>
            <w:shd w:fill="EEF2FF" w:color="auto" w:val="clear"/>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OCEL 2.0 — object types, instances, event-object links and relations.</w:t>
            </w:r>
          </w:p>
        </w:tc>
      </w:tr>
      <w:tr>
        <w:trPr>
          <w:cantSplit/>
        </w:trPr>
        <w:tc>
          <w:tcPr>
            <w:tcW w:type="dxa" w:w="3000"/>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Conformance</w:t>
            </w:r>
          </w:p>
        </w:tc>
        <w:tc>
          <w:tcPr>
            <w:tcW w:type="dxa" w:w="6360"/>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Normative model as an allowed directly-follows edge set; per-case fitness and deviations.</w:t>
            </w:r>
          </w:p>
        </w:tc>
      </w:tr>
    </w:tbl>
    <w:p>
      <w:pPr>
        <w:pStyle w:val="Heading2"/>
        <w:keepNext/>
        <w:spacing w:after="100" w:before="240"/>
      </w:pPr>
      <w:r>
        <w:rPr>
          <w:rFonts w:ascii="Calibri" w:cs="Calibri" w:eastAsia="Calibri" w:hAnsi="Calibri"/>
          <w:b/>
          <w:bCs/>
          <w:color w:val="1F2937"/>
          <w:sz w:val="24"/>
          <w:szCs w:val="24"/>
        </w:rPr>
        <w:t xml:space="preserve">11.2 Four processes, one database</w:t>
      </w:r>
    </w:p>
    <w:p>
      <w:pPr>
        <w:spacing w:after="120" w:before="0" w:line="276"/>
      </w:pPr>
      <w:r>
        <w:rPr>
          <w:rFonts w:ascii="Calibri" w:cs="Calibri" w:eastAsia="Calibri" w:hAnsi="Calibri"/>
        </w:rPr>
        <w:t xml:space="preserve">The schema models four genuinely distinct business processes, each mineable on its own case notion:</w:t>
      </w:r>
    </w:p>
    <w:tbl>
      <w:tblPr>
        <w:tblW w:type="dxa" w:w="9360"/>
        <w:tblBorders>
          <w:top w:val="single" w:color="D1D5DB" w:sz="2"/>
          <w:left w:val="single" w:color="D1D5DB" w:sz="2"/>
          <w:bottom w:val="single" w:color="D1D5DB" w:sz="2"/>
          <w:right w:val="single" w:color="D1D5DB" w:sz="2"/>
          <w:insideH w:val="single" w:color="D1D5DB" w:sz="2"/>
          <w:insideV w:val="single" w:color="D1D5DB" w:sz="2"/>
        </w:tblBorders>
      </w:tblPr>
      <w:tblGrid>
        <w:gridCol w:w="2300"/>
        <w:gridCol w:w="1900"/>
        <w:gridCol w:w="5160"/>
      </w:tblGrid>
      <w:tr>
        <w:trPr>
          <w:cantSplit/>
          <w:tblHeader/>
        </w:trPr>
        <w:tc>
          <w:tcPr>
            <w:tcW w:type="dxa" w:w="2300"/>
            <w:shd w:fill="4F46E5" w:color="auto" w:val="clear"/>
            <w:tcMar>
              <w:top w:type="dxa" w:w="40"/>
              <w:left w:type="dxa" w:w="90"/>
              <w:bottom w:type="dxa" w:w="40"/>
              <w:right w:type="dxa" w:w="90"/>
            </w:tcMar>
          </w:tcPr>
          <w:p>
            <w:pPr>
              <w:spacing w:after="20" w:before="20"/>
              <w:jc w:val="left"/>
            </w:pPr>
            <w:r>
              <w:rPr>
                <w:rFonts w:ascii="Calibri" w:cs="Calibri" w:eastAsia="Calibri" w:hAnsi="Calibri"/>
                <w:b/>
                <w:bCs/>
                <w:color w:val="FFFFFF"/>
                <w:sz w:val="19"/>
                <w:szCs w:val="19"/>
              </w:rPr>
              <w:t xml:space="preserve">Process</w:t>
            </w:r>
          </w:p>
        </w:tc>
        <w:tc>
          <w:tcPr>
            <w:tcW w:type="dxa" w:w="1900"/>
            <w:shd w:fill="4F46E5" w:color="auto" w:val="clear"/>
            <w:tcMar>
              <w:top w:type="dxa" w:w="40"/>
              <w:left w:type="dxa" w:w="90"/>
              <w:bottom w:type="dxa" w:w="40"/>
              <w:right w:type="dxa" w:w="90"/>
            </w:tcMar>
          </w:tcPr>
          <w:p>
            <w:pPr>
              <w:spacing w:after="20" w:before="20"/>
              <w:jc w:val="left"/>
            </w:pPr>
            <w:r>
              <w:rPr>
                <w:rFonts w:ascii="Calibri" w:cs="Calibri" w:eastAsia="Calibri" w:hAnsi="Calibri"/>
                <w:b/>
                <w:bCs/>
                <w:color w:val="FFFFFF"/>
                <w:sz w:val="19"/>
                <w:szCs w:val="19"/>
              </w:rPr>
              <w:t xml:space="preserve">Case id</w:t>
            </w:r>
          </w:p>
        </w:tc>
        <w:tc>
          <w:tcPr>
            <w:tcW w:type="dxa" w:w="5160"/>
            <w:shd w:fill="4F46E5" w:color="auto" w:val="clear"/>
            <w:tcMar>
              <w:top w:type="dxa" w:w="40"/>
              <w:left w:type="dxa" w:w="90"/>
              <w:bottom w:type="dxa" w:w="40"/>
              <w:right w:type="dxa" w:w="90"/>
            </w:tcMar>
          </w:tcPr>
          <w:p>
            <w:pPr>
              <w:spacing w:after="20" w:before="20"/>
              <w:jc w:val="left"/>
            </w:pPr>
            <w:r>
              <w:rPr>
                <w:rFonts w:ascii="Calibri" w:cs="Calibri" w:eastAsia="Calibri" w:hAnsi="Calibri"/>
                <w:b/>
                <w:bCs/>
                <w:color w:val="FFFFFF"/>
                <w:sz w:val="19"/>
                <w:szCs w:val="19"/>
              </w:rPr>
              <w:t xml:space="preserve">Path</w:t>
            </w:r>
          </w:p>
        </w:tc>
      </w:tr>
      <w:tr>
        <w:trPr>
          <w:cantSplit/>
        </w:trPr>
        <w:tc>
          <w:tcPr>
            <w:tcW w:type="dxa" w:w="2300"/>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loan_application</w:t>
            </w:r>
          </w:p>
        </w:tc>
        <w:tc>
          <w:tcPr>
            <w:tcW w:type="dxa" w:w="1900"/>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application_id</w:t>
            </w:r>
          </w:p>
        </w:tc>
        <w:tc>
          <w:tcPr>
            <w:tcW w:type="dxa" w:w="5160"/>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draft → documents → verification → underwriting → offer → disbursed</w:t>
            </w:r>
          </w:p>
        </w:tc>
      </w:tr>
      <w:tr>
        <w:trPr>
          <w:cantSplit/>
        </w:trPr>
        <w:tc>
          <w:tcPr>
            <w:tcW w:type="dxa" w:w="2300"/>
            <w:shd w:fill="EEF2FF" w:color="auto" w:val="clear"/>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document</w:t>
            </w:r>
          </w:p>
        </w:tc>
        <w:tc>
          <w:tcPr>
            <w:tcW w:type="dxa" w:w="1900"/>
            <w:shd w:fill="EEF2FF" w:color="auto" w:val="clear"/>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document_id</w:t>
            </w:r>
          </w:p>
        </w:tc>
        <w:tc>
          <w:tcPr>
            <w:tcW w:type="dxa" w:w="5160"/>
            <w:shd w:fill="EEF2FF" w:color="auto" w:val="clear"/>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upload → preprocess → extract → validate → verify (or reject → resubmit)</w:t>
            </w:r>
          </w:p>
        </w:tc>
      </w:tr>
      <w:tr>
        <w:trPr>
          <w:cantSplit/>
        </w:trPr>
        <w:tc>
          <w:tcPr>
            <w:tcW w:type="dxa" w:w="2300"/>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fraud_case</w:t>
            </w:r>
          </w:p>
        </w:tc>
        <w:tc>
          <w:tcPr>
            <w:tcW w:type="dxa" w:w="1900"/>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case_id</w:t>
            </w:r>
          </w:p>
        </w:tc>
        <w:tc>
          <w:tcPr>
            <w:tcW w:type="dxa" w:w="5160"/>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signal → open → assign → triage → escalate → resolve</w:t>
            </w:r>
          </w:p>
        </w:tc>
      </w:tr>
      <w:tr>
        <w:trPr>
          <w:cantSplit/>
        </w:trPr>
        <w:tc>
          <w:tcPr>
            <w:tcW w:type="dxa" w:w="2300"/>
            <w:shd w:fill="EEF2FF" w:color="auto" w:val="clear"/>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rule_authoring</w:t>
            </w:r>
          </w:p>
        </w:tc>
        <w:tc>
          <w:tcPr>
            <w:tcW w:type="dxa" w:w="1900"/>
            <w:shd w:fill="EEF2FF" w:color="auto" w:val="clear"/>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candidate_id</w:t>
            </w:r>
          </w:p>
        </w:tc>
        <w:tc>
          <w:tcPr>
            <w:tcW w:type="dxa" w:w="5160"/>
            <w:shd w:fill="EEF2FF" w:color="auto" w:val="clear"/>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ingest → index → extract → review → approve/reject</w:t>
            </w:r>
          </w:p>
        </w:tc>
      </w:tr>
    </w:tbl>
    <w:p>
      <w:pPr>
        <w:pStyle w:val="Heading2"/>
        <w:keepNext/>
        <w:spacing w:after="100" w:before="240"/>
      </w:pPr>
      <w:r>
        <w:rPr>
          <w:rFonts w:ascii="Calibri" w:cs="Calibri" w:eastAsia="Calibri" w:hAnsi="Calibri"/>
          <w:b/>
          <w:bCs/>
          <w:color w:val="1F2937"/>
          <w:sz w:val="24"/>
          <w:szCs w:val="24"/>
        </w:rPr>
        <w:t xml:space="preserve">11.3 Analytical views</w:t>
      </w:r>
    </w:p>
    <w:p>
      <w:pPr>
        <w:spacing w:after="120" w:before="0" w:line="276"/>
      </w:pPr>
      <w:r>
        <w:rPr>
          <w:rFonts w:ascii="Calibri" w:cs="Calibri" w:eastAsia="Calibri" w:hAnsi="Calibri"/>
        </w:rPr>
        <w:t xml:space="preserve">Fifteen views expose the model for analysis and for export to PM4Py, Celonis, Disco or ProM. The headline five answer the operational questions a lending team cares about:</w:t>
      </w:r>
    </w:p>
    <w:p>
      <w:pPr>
        <w:pStyle w:val="ListParagraph"/>
        <w:numPr>
          <w:ilvl w:val="0"/>
          <w:numId w:val="2"/>
        </w:numPr>
        <w:spacing w:after="60" w:line="268"/>
      </w:pPr>
      <w:r>
        <w:rPr>
          <w:rFonts w:ascii="Calibri" w:cs="Calibri" w:eastAsia="Calibri" w:hAnsi="Calibri"/>
          <w:b/>
          <w:bCs/>
          <w:color w:val="0D9488"/>
        </w:rPr>
        <w:t xml:space="preserve">vw_directly_follows</w:t>
      </w:r>
      <w:r>
        <w:rPr>
          <w:rFonts w:ascii="Calibri" w:cs="Calibri" w:eastAsia="Calibri" w:hAnsi="Calibri"/>
        </w:rPr>
        <w:t xml:space="preserve"> — what the process actually looks like.</w:t>
      </w:r>
    </w:p>
    <w:p>
      <w:pPr>
        <w:pStyle w:val="ListParagraph"/>
        <w:numPr>
          <w:ilvl w:val="0"/>
          <w:numId w:val="2"/>
        </w:numPr>
        <w:spacing w:after="60" w:line="268"/>
      </w:pPr>
      <w:r>
        <w:rPr>
          <w:rFonts w:ascii="Calibri" w:cs="Calibri" w:eastAsia="Calibri" w:hAnsi="Calibri"/>
          <w:b/>
          <w:bCs/>
          <w:color w:val="0D9488"/>
        </w:rPr>
        <w:t xml:space="preserve">vw_bottlenecks</w:t>
      </w:r>
      <w:r>
        <w:rPr>
          <w:rFonts w:ascii="Calibri" w:cs="Calibri" w:eastAsia="Calibri" w:hAnsi="Calibri"/>
        </w:rPr>
        <w:t xml:space="preserve"> — where time is lost, ranked by total time, not average.</w:t>
      </w:r>
    </w:p>
    <w:p>
      <w:pPr>
        <w:pStyle w:val="ListParagraph"/>
        <w:numPr>
          <w:ilvl w:val="0"/>
          <w:numId w:val="2"/>
        </w:numPr>
        <w:spacing w:after="60" w:line="268"/>
      </w:pPr>
      <w:r>
        <w:rPr>
          <w:rFonts w:ascii="Calibri" w:cs="Calibri" w:eastAsia="Calibri" w:hAnsi="Calibri"/>
          <w:b/>
          <w:bCs/>
          <w:color w:val="0D9488"/>
        </w:rPr>
        <w:t xml:space="preserve">vw_variant_summary</w:t>
      </w:r>
      <w:r>
        <w:rPr>
          <w:rFonts w:ascii="Calibri" w:cs="Calibri" w:eastAsia="Calibri" w:hAnsi="Calibri"/>
        </w:rPr>
        <w:t xml:space="preserve"> — how many distinct paths cover 80% of cases.</w:t>
      </w:r>
    </w:p>
    <w:p>
      <w:pPr>
        <w:pStyle w:val="ListParagraph"/>
        <w:numPr>
          <w:ilvl w:val="0"/>
          <w:numId w:val="2"/>
        </w:numPr>
        <w:spacing w:after="60" w:line="268"/>
      </w:pPr>
      <w:r>
        <w:rPr>
          <w:rFonts w:ascii="Calibri" w:cs="Calibri" w:eastAsia="Calibri" w:hAnsi="Calibri"/>
          <w:b/>
          <w:bCs/>
          <w:color w:val="0D9488"/>
        </w:rPr>
        <w:t xml:space="preserve">vw_automation_impact</w:t>
      </w:r>
      <w:r>
        <w:rPr>
          <w:rFonts w:ascii="Calibri" w:cs="Calibri" w:eastAsia="Calibri" w:hAnsi="Calibri"/>
        </w:rPr>
        <w:t xml:space="preserve"> — whether the AI components save time or create review work.</w:t>
      </w:r>
    </w:p>
    <w:p>
      <w:pPr>
        <w:pStyle w:val="ListParagraph"/>
        <w:numPr>
          <w:ilvl w:val="0"/>
          <w:numId w:val="2"/>
        </w:numPr>
        <w:spacing w:after="60" w:line="268"/>
      </w:pPr>
      <w:r>
        <w:rPr>
          <w:rFonts w:ascii="Calibri" w:cs="Calibri" w:eastAsia="Calibri" w:hAnsi="Calibri"/>
          <w:b/>
          <w:bCs/>
          <w:color w:val="0D9488"/>
        </w:rPr>
        <w:t xml:space="preserve">vw_stuck_cases</w:t>
      </w:r>
      <w:r>
        <w:rPr>
          <w:rFonts w:ascii="Calibri" w:cs="Calibri" w:eastAsia="Calibri" w:hAnsi="Calibri"/>
        </w:rPr>
        <w:t xml:space="preserve"> — cases sitting longer than their status allows.</w:t>
      </w:r>
    </w:p>
    <w:p>
      <w:pPr>
        <w:spacing w:after="120" w:before="0" w:line="276"/>
      </w:pPr>
      <w:r>
        <w:rPr>
          <w:rFonts w:ascii="Calibri" w:cs="Calibri" w:eastAsia="Calibri" w:hAnsi="Calibri"/>
        </w:rPr>
        <w:t xml:space="preserve">Working-time calendars (weekend/holiday aware), SLA definitions with customer-wait exclusion, and a materialised directly-follows snapshot make the analytics both accurate and fast at scale.</w:t>
      </w:r>
    </w:p>
    <w:p>
      <w:pPr>
        <w:pStyle w:val="Heading1"/>
        <w:keepNext/>
        <w:pBdr>
          <w:bottom w:val="single" w:color="E5E7EB" w:sz="4"/>
        </w:pBdr>
        <w:spacing w:after="160" w:before="360"/>
      </w:pPr>
      <w:r>
        <w:rPr>
          <w:rFonts w:ascii="Calibri" w:cs="Calibri" w:eastAsia="Calibri" w:hAnsi="Calibri"/>
          <w:b/>
          <w:bCs/>
          <w:color w:val="3730A3"/>
          <w:sz w:val="30"/>
          <w:szCs w:val="30"/>
        </w:rPr>
        <w:t xml:space="preserve">12. Backend API Reference</w:t>
      </w:r>
    </w:p>
    <w:p>
      <w:pPr>
        <w:spacing w:after="120" w:before="0" w:line="276"/>
      </w:pPr>
      <w:r>
        <w:rPr>
          <w:rFonts w:ascii="Calibri" w:cs="Calibri" w:eastAsia="Calibri" w:hAnsi="Calibri"/>
        </w:rPr>
        <w:t xml:space="preserve">The document-intelligence service exposes a compact, purpose-built API. Every endpoint returns timing instrumentation for observability.</w:t>
      </w:r>
    </w:p>
    <w:tbl>
      <w:tblPr>
        <w:tblW w:type="dxa" w:w="9360"/>
        <w:tblBorders>
          <w:top w:val="single" w:color="D1D5DB" w:sz="2"/>
          <w:left w:val="single" w:color="D1D5DB" w:sz="2"/>
          <w:bottom w:val="single" w:color="D1D5DB" w:sz="2"/>
          <w:right w:val="single" w:color="D1D5DB" w:sz="2"/>
          <w:insideH w:val="single" w:color="D1D5DB" w:sz="2"/>
          <w:insideV w:val="single" w:color="D1D5DB" w:sz="2"/>
        </w:tblBorders>
      </w:tblPr>
      <w:tblGrid>
        <w:gridCol w:w="3100"/>
        <w:gridCol w:w="6260"/>
      </w:tblGrid>
      <w:tr>
        <w:trPr>
          <w:cantSplit/>
          <w:tblHeader/>
        </w:trPr>
        <w:tc>
          <w:tcPr>
            <w:tcW w:type="dxa" w:w="3100"/>
            <w:shd w:fill="4F46E5" w:color="auto" w:val="clear"/>
            <w:tcMar>
              <w:top w:type="dxa" w:w="40"/>
              <w:left w:type="dxa" w:w="90"/>
              <w:bottom w:type="dxa" w:w="40"/>
              <w:right w:type="dxa" w:w="90"/>
            </w:tcMar>
          </w:tcPr>
          <w:p>
            <w:pPr>
              <w:spacing w:after="20" w:before="20"/>
              <w:jc w:val="left"/>
            </w:pPr>
            <w:r>
              <w:rPr>
                <w:rFonts w:ascii="Calibri" w:cs="Calibri" w:eastAsia="Calibri" w:hAnsi="Calibri"/>
                <w:b/>
                <w:bCs/>
                <w:color w:val="FFFFFF"/>
                <w:sz w:val="19"/>
                <w:szCs w:val="19"/>
              </w:rPr>
              <w:t xml:space="preserve">Method &amp; path</w:t>
            </w:r>
          </w:p>
        </w:tc>
        <w:tc>
          <w:tcPr>
            <w:tcW w:type="dxa" w:w="6260"/>
            <w:shd w:fill="4F46E5" w:color="auto" w:val="clear"/>
            <w:tcMar>
              <w:top w:type="dxa" w:w="40"/>
              <w:left w:type="dxa" w:w="90"/>
              <w:bottom w:type="dxa" w:w="40"/>
              <w:right w:type="dxa" w:w="90"/>
            </w:tcMar>
          </w:tcPr>
          <w:p>
            <w:pPr>
              <w:spacing w:after="20" w:before="20"/>
              <w:jc w:val="left"/>
            </w:pPr>
            <w:r>
              <w:rPr>
                <w:rFonts w:ascii="Calibri" w:cs="Calibri" w:eastAsia="Calibri" w:hAnsi="Calibri"/>
                <w:b/>
                <w:bCs/>
                <w:color w:val="FFFFFF"/>
                <w:sz w:val="19"/>
                <w:szCs w:val="19"/>
              </w:rPr>
              <w:t xml:space="preserve">Purpose</w:t>
            </w:r>
          </w:p>
        </w:tc>
      </w:tr>
      <w:tr>
        <w:trPr>
          <w:cantSplit/>
        </w:trPr>
        <w:tc>
          <w:tcPr>
            <w:tcW w:type="dxa" w:w="3100"/>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GET /health</w:t>
            </w:r>
          </w:p>
        </w:tc>
        <w:tc>
          <w:tcPr>
            <w:tcW w:type="dxa" w:w="6260"/>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Service and database health, active provider.</w:t>
            </w:r>
          </w:p>
        </w:tc>
      </w:tr>
      <w:tr>
        <w:trPr>
          <w:cantSplit/>
        </w:trPr>
        <w:tc>
          <w:tcPr>
            <w:tcW w:type="dxa" w:w="3100"/>
            <w:shd w:fill="EEF2FF" w:color="auto" w:val="clear"/>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GET /doc-types</w:t>
            </w:r>
          </w:p>
        </w:tc>
        <w:tc>
          <w:tcPr>
            <w:tcW w:type="dxa" w:w="6260"/>
            <w:shd w:fill="EEF2FF" w:color="auto" w:val="clear"/>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The 15 supported document types.</w:t>
            </w:r>
          </w:p>
        </w:tc>
      </w:tr>
      <w:tr>
        <w:trPr>
          <w:cantSplit/>
        </w:trPr>
        <w:tc>
          <w:tcPr>
            <w:tcW w:type="dxa" w:w="3100"/>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POST /extract</w:t>
            </w:r>
          </w:p>
        </w:tc>
        <w:tc>
          <w:tcPr>
            <w:tcW w:type="dxa" w:w="6260"/>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Preprocess + OCR + guardrails; returns fields, confidence, cleaned preview.</w:t>
            </w:r>
          </w:p>
        </w:tc>
      </w:tr>
      <w:tr>
        <w:trPr>
          <w:cantSplit/>
        </w:trPr>
        <w:tc>
          <w:tcPr>
            <w:tcW w:type="dxa" w:w="3100"/>
            <w:shd w:fill="EEF2FF" w:color="auto" w:val="clear"/>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POST /document/integrity</w:t>
            </w:r>
          </w:p>
        </w:tc>
        <w:tc>
          <w:tcPr>
            <w:tcW w:type="dxa" w:w="6260"/>
            <w:shd w:fill="EEF2FF" w:color="auto" w:val="clear"/>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Deferred forensic tampering cascade on original bytes.</w:t>
            </w:r>
          </w:p>
        </w:tc>
      </w:tr>
      <w:tr>
        <w:trPr>
          <w:cantSplit/>
        </w:trPr>
        <w:tc>
          <w:tcPr>
            <w:tcW w:type="dxa" w:w="3100"/>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POST /tampering/explain</w:t>
            </w:r>
          </w:p>
        </w:tc>
        <w:tc>
          <w:tcPr>
            <w:tcW w:type="dxa" w:w="6260"/>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Plain-language + visually-grounded explanation (MEDIUM/HIGH).</w:t>
            </w:r>
          </w:p>
        </w:tc>
      </w:tr>
      <w:tr>
        <w:trPr>
          <w:cantSplit/>
        </w:trPr>
        <w:tc>
          <w:tcPr>
            <w:tcW w:type="dxa" w:w="3100"/>
            <w:shd w:fill="EEF2FF" w:color="auto" w:val="clear"/>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POST /tampering/locate</w:t>
            </w:r>
          </w:p>
        </w:tc>
        <w:tc>
          <w:tcPr>
            <w:tcW w:type="dxa" w:w="6260"/>
            <w:shd w:fill="EEF2FF" w:color="auto" w:val="clear"/>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OCR-grounded numbered boxes over findings (MEDIUM/HIGH).</w:t>
            </w:r>
          </w:p>
        </w:tc>
      </w:tr>
      <w:tr>
        <w:trPr>
          <w:cantSplit/>
        </w:trPr>
        <w:tc>
          <w:tcPr>
            <w:tcW w:type="dxa" w:w="3100"/>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POST /face/verify</w:t>
            </w:r>
          </w:p>
        </w:tc>
        <w:tc>
          <w:tcPr>
            <w:tcW w:type="dxa" w:w="6260"/>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Cross-document face consistency check.</w:t>
            </w:r>
          </w:p>
        </w:tc>
      </w:tr>
      <w:tr>
        <w:trPr>
          <w:cantSplit/>
        </w:trPr>
        <w:tc>
          <w:tcPr>
            <w:tcW w:type="dxa" w:w="3100"/>
            <w:shd w:fill="EEF2FF" w:color="auto" w:val="clear"/>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POST /document/mask</w:t>
            </w:r>
          </w:p>
        </w:tc>
        <w:tc>
          <w:tcPr>
            <w:tcW w:type="dxa" w:w="6260"/>
            <w:shd w:fill="EEF2FF" w:color="auto" w:val="clear"/>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PII-masked render (PAN/Aadhaar redacted).</w:t>
            </w:r>
          </w:p>
        </w:tc>
      </w:tr>
      <w:tr>
        <w:trPr>
          <w:cantSplit/>
        </w:trPr>
        <w:tc>
          <w:tcPr>
            <w:tcW w:type="dxa" w:w="3100"/>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POST /application/store</w:t>
            </w:r>
          </w:p>
        </w:tc>
        <w:tc>
          <w:tcPr>
            <w:tcW w:type="dxa" w:w="6260"/>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Persist a submitted application to the dual-view audit store.</w:t>
            </w:r>
          </w:p>
        </w:tc>
      </w:tr>
      <w:tr>
        <w:trPr>
          <w:cantSplit/>
        </w:trPr>
        <w:tc>
          <w:tcPr>
            <w:tcW w:type="dxa" w:w="3100"/>
            <w:shd w:fill="EEF2FF" w:color="auto" w:val="clear"/>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/compliance/*</w:t>
            </w:r>
          </w:p>
        </w:tc>
        <w:tc>
          <w:tcPr>
            <w:tcW w:type="dxa" w:w="6260"/>
            <w:shd w:fill="EEF2FF" w:color="auto" w:val="clear"/>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Knowledge base, RAG, rules, maker-checker, policy checks, audit, stats.</w:t>
            </w:r>
          </w:p>
        </w:tc>
      </w:tr>
      <w:tr>
        <w:trPr>
          <w:cantSplit/>
        </w:trPr>
        <w:tc>
          <w:tcPr>
            <w:tcW w:type="dxa" w:w="3100"/>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/lending/*</w:t>
            </w:r>
          </w:p>
        </w:tc>
        <w:tc>
          <w:tcPr>
            <w:tcW w:type="dxa" w:w="6260"/>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Sessions, products, applications, stats, fraud, tickets, reports, notifications.</w:t>
            </w:r>
          </w:p>
        </w:tc>
      </w:tr>
    </w:tbl>
    <w:p>
      <w:pPr>
        <w:pStyle w:val="Heading1"/>
        <w:keepNext/>
        <w:pBdr>
          <w:bottom w:val="single" w:color="E5E7EB" w:sz="4"/>
        </w:pBdr>
        <w:spacing w:after="160" w:before="360"/>
      </w:pPr>
      <w:r>
        <w:rPr>
          <w:rFonts w:ascii="Calibri" w:cs="Calibri" w:eastAsia="Calibri" w:hAnsi="Calibri"/>
          <w:b/>
          <w:bCs/>
          <w:color w:val="3730A3"/>
          <w:sz w:val="30"/>
          <w:szCs w:val="30"/>
        </w:rPr>
        <w:t xml:space="preserve">13. Design System &amp; User Experience</w:t>
      </w:r>
    </w:p>
    <w:p>
      <w:pPr>
        <w:spacing w:after="120" w:before="0" w:line="276"/>
      </w:pPr>
      <w:r>
        <w:rPr>
          <w:rFonts w:ascii="Calibri" w:cs="Calibri" w:eastAsia="Calibri" w:hAnsi="Calibri"/>
        </w:rPr>
        <w:t xml:space="preserve">The entire UI is driven by a single token-based CSS design system — brand colours, surfaces, typography, radius, elevation and layout are all design tokens, and no component hard-codes a colour or font. This keeps the look cohesive and makes a future theme (such as dark mode) a token-only change.</w:t>
      </w:r>
    </w:p>
    <w:p>
      <w:pPr>
        <w:pStyle w:val="ListParagraph"/>
        <w:numPr>
          <w:ilvl w:val="0"/>
          <w:numId w:val="2"/>
        </w:numPr>
        <w:spacing w:after="60" w:line="268"/>
      </w:pPr>
      <w:r>
        <w:rPr>
          <w:rFonts w:ascii="Calibri" w:cs="Calibri" w:eastAsia="Calibri" w:hAnsi="Calibri"/>
          <w:b/>
          <w:bCs/>
        </w:rPr>
        <w:t xml:space="preserve">Brand identity</w:t>
      </w:r>
      <w:r>
        <w:rPr>
          <w:rFonts w:ascii="Calibri" w:cs="Calibri" w:eastAsia="Calibri" w:hAnsi="Calibri"/>
        </w:rPr>
        <w:t xml:space="preserve"> — indigo primary, teal for AI features, purple for escalations, with a full semantic status palette.</w:t>
      </w:r>
    </w:p>
    <w:p>
      <w:pPr>
        <w:pStyle w:val="ListParagraph"/>
        <w:numPr>
          <w:ilvl w:val="0"/>
          <w:numId w:val="2"/>
        </w:numPr>
        <w:spacing w:after="60" w:line="268"/>
      </w:pPr>
      <w:r>
        <w:rPr>
          <w:rFonts w:ascii="Calibri" w:cs="Calibri" w:eastAsia="Calibri" w:hAnsi="Calibri"/>
          <w:b/>
          <w:bCs/>
        </w:rPr>
        <w:t xml:space="preserve">Reusable component library</w:t>
      </w:r>
      <w:r>
        <w:rPr>
          <w:rFonts w:ascii="Calibri" w:cs="Calibri" w:eastAsia="Calibri" w:hAnsi="Calibri"/>
        </w:rPr>
        <w:t xml:space="preserve"> — buttons, cards, stat cards, tables, badges, progress bars, tabs, forms, timelines, pipelines and feature blocks.</w:t>
      </w:r>
    </w:p>
    <w:p>
      <w:pPr>
        <w:pStyle w:val="ListParagraph"/>
        <w:numPr>
          <w:ilvl w:val="0"/>
          <w:numId w:val="2"/>
        </w:numPr>
        <w:spacing w:after="60" w:line="268"/>
      </w:pPr>
      <w:r>
        <w:rPr>
          <w:rFonts w:ascii="Calibri" w:cs="Calibri" w:eastAsia="Calibri" w:hAnsi="Calibri"/>
          <w:b/>
          <w:bCs/>
        </w:rPr>
        <w:t xml:space="preserve">Fully responsive</w:t>
      </w:r>
      <w:r>
        <w:rPr>
          <w:rFonts w:ascii="Calibri" w:cs="Calibri" w:eastAsia="Calibri" w:hAnsi="Calibri"/>
        </w:rPr>
        <w:t xml:space="preserve"> — mobile-first with four breakpoints; the sidebar collapses to a slide-over drawer on tablet, and wide tables scroll horizontally rather than breaking the page. Touch targets are ≥40px.</w:t>
      </w:r>
    </w:p>
    <w:p>
      <w:pPr>
        <w:pStyle w:val="ListParagraph"/>
        <w:numPr>
          <w:ilvl w:val="0"/>
          <w:numId w:val="2"/>
        </w:numPr>
        <w:spacing w:after="60" w:line="268"/>
      </w:pPr>
      <w:r>
        <w:rPr>
          <w:rFonts w:ascii="Calibri" w:cs="Calibri" w:eastAsia="Calibri" w:hAnsi="Calibri"/>
          <w:b/>
          <w:bCs/>
        </w:rPr>
        <w:t xml:space="preserve">Accessible</w:t>
      </w:r>
      <w:r>
        <w:rPr>
          <w:rFonts w:ascii="Calibri" w:cs="Calibri" w:eastAsia="Calibri" w:hAnsi="Calibri"/>
        </w:rPr>
        <w:t xml:space="preserve"> — WCAG-AA text contrast, focus rings, and lucide icons instead of emoji.</w:t>
      </w:r>
    </w:p>
    <w:p>
      <w:pPr>
        <w:pStyle w:val="Heading1"/>
        <w:keepNext/>
        <w:pBdr>
          <w:bottom w:val="single" w:color="E5E7EB" w:sz="4"/>
        </w:pBdr>
        <w:spacing w:after="160" w:before="360"/>
      </w:pPr>
      <w:r>
        <w:rPr>
          <w:rFonts w:ascii="Calibri" w:cs="Calibri" w:eastAsia="Calibri" w:hAnsi="Calibri"/>
          <w:b/>
          <w:bCs/>
          <w:color w:val="3730A3"/>
          <w:sz w:val="30"/>
          <w:szCs w:val="30"/>
        </w:rPr>
        <w:t xml:space="preserve">14. Security, Privacy &amp; Governance</w:t>
      </w:r>
    </w:p>
    <w:p>
      <w:pPr>
        <w:pStyle w:val="ListParagraph"/>
        <w:numPr>
          <w:ilvl w:val="0"/>
          <w:numId w:val="2"/>
        </w:numPr>
        <w:spacing w:after="60" w:line="268"/>
      </w:pPr>
      <w:r>
        <w:rPr>
          <w:rFonts w:ascii="Calibri" w:cs="Calibri" w:eastAsia="Calibri" w:hAnsi="Calibri"/>
          <w:b/>
          <w:bCs/>
        </w:rPr>
        <w:t xml:space="preserve">On-device AI option</w:t>
      </w:r>
      <w:r>
        <w:rPr>
          <w:rFonts w:ascii="Calibri" w:cs="Calibri" w:eastAsia="Calibri" w:hAnsi="Calibri"/>
        </w:rPr>
        <w:t xml:space="preserve"> — with the Ollama provider, OCR, tampering explanations and face matching run entirely locally; no document leaves the machine.</w:t>
      </w:r>
    </w:p>
    <w:p>
      <w:pPr>
        <w:pStyle w:val="ListParagraph"/>
        <w:numPr>
          <w:ilvl w:val="0"/>
          <w:numId w:val="2"/>
        </w:numPr>
        <w:spacing w:after="60" w:line="268"/>
      </w:pPr>
      <w:r>
        <w:rPr>
          <w:rFonts w:ascii="Calibri" w:cs="Calibri" w:eastAsia="Calibri" w:hAnsi="Calibri"/>
          <w:b/>
          <w:bCs/>
        </w:rPr>
        <w:t xml:space="preserve">PII minimisation</w:t>
      </w:r>
      <w:r>
        <w:rPr>
          <w:rFonts w:ascii="Calibri" w:cs="Calibri" w:eastAsia="Calibri" w:hAnsi="Calibri"/>
        </w:rPr>
        <w:t xml:space="preserve"> — PAN and Aadhaar numbers are masked at the data layer, and the audit ledger segregates full-PII and masked views by role.</w:t>
      </w:r>
    </w:p>
    <w:p>
      <w:pPr>
        <w:pStyle w:val="ListParagraph"/>
        <w:numPr>
          <w:ilvl w:val="0"/>
          <w:numId w:val="2"/>
        </w:numPr>
        <w:spacing w:after="60" w:line="268"/>
      </w:pPr>
      <w:r>
        <w:rPr>
          <w:rFonts w:ascii="Calibri" w:cs="Calibri" w:eastAsia="Calibri" w:hAnsi="Calibri"/>
          <w:b/>
          <w:bCs/>
        </w:rPr>
        <w:t xml:space="preserve">Deterministic, auditable decisions</w:t>
      </w:r>
      <w:r>
        <w:rPr>
          <w:rFonts w:ascii="Calibri" w:cs="Calibri" w:eastAsia="Calibri" w:hAnsi="Calibri"/>
        </w:rPr>
        <w:t xml:space="preserve"> — tampering detection is deterministic; the single AI signal is capped and fenced to fraud-prone doc types; compliance rules run in a sandbox and are versioned.</w:t>
      </w:r>
    </w:p>
    <w:p>
      <w:pPr>
        <w:pStyle w:val="ListParagraph"/>
        <w:numPr>
          <w:ilvl w:val="0"/>
          <w:numId w:val="2"/>
        </w:numPr>
        <w:spacing w:after="60" w:line="268"/>
      </w:pPr>
      <w:r>
        <w:rPr>
          <w:rFonts w:ascii="Calibri" w:cs="Calibri" w:eastAsia="Calibri" w:hAnsi="Calibri"/>
          <w:b/>
          <w:bCs/>
        </w:rPr>
        <w:t xml:space="preserve">Human-in-the-loop</w:t>
      </w:r>
      <w:r>
        <w:rPr>
          <w:rFonts w:ascii="Calibri" w:cs="Calibri" w:eastAsia="Calibri" w:hAnsi="Calibri"/>
        </w:rPr>
        <w:t xml:space="preserve"> — no application is ever auto-rejected; AI outputs are advisory evidence for a human reviewer.</w:t>
      </w:r>
    </w:p>
    <w:p>
      <w:pPr>
        <w:pStyle w:val="ListParagraph"/>
        <w:numPr>
          <w:ilvl w:val="0"/>
          <w:numId w:val="2"/>
        </w:numPr>
        <w:spacing w:after="60" w:line="268"/>
      </w:pPr>
      <w:r>
        <w:rPr>
          <w:rFonts w:ascii="Calibri" w:cs="Calibri" w:eastAsia="Calibri" w:hAnsi="Calibri"/>
          <w:b/>
          <w:bCs/>
        </w:rPr>
        <w:t xml:space="preserve">Governed rule changes</w:t>
      </w:r>
      <w:r>
        <w:rPr>
          <w:rFonts w:ascii="Calibri" w:cs="Calibri" w:eastAsia="Calibri" w:hAnsi="Calibri"/>
        </w:rPr>
        <w:t xml:space="preserve"> — regulatory rules pass through a maker-checker approval workflow with a full audit trail.</w:t>
      </w:r>
    </w:p>
    <w:p>
      <w:pPr>
        <w:pStyle w:val="ListParagraph"/>
        <w:numPr>
          <w:ilvl w:val="0"/>
          <w:numId w:val="2"/>
        </w:numPr>
        <w:spacing w:after="60" w:line="268"/>
      </w:pPr>
      <w:r>
        <w:rPr>
          <w:rFonts w:ascii="Calibri" w:cs="Calibri" w:eastAsia="Calibri" w:hAnsi="Calibri"/>
          <w:b/>
          <w:bCs/>
        </w:rPr>
        <w:t xml:space="preserve">Resilience</w:t>
      </w:r>
      <w:r>
        <w:rPr>
          <w:rFonts w:ascii="Calibri" w:cs="Calibri" w:eastAsia="Calibri" w:hAnsi="Calibri"/>
        </w:rPr>
        <w:t xml:space="preserve"> — a database outage returns a clean 503 without breaking document processing; storage errors never fail a submission.</w:t>
      </w:r>
    </w:p>
    <w:p>
      <w:pPr>
        <w:pStyle w:val="ListParagraph"/>
        <w:numPr>
          <w:ilvl w:val="0"/>
          <w:numId w:val="2"/>
        </w:numPr>
        <w:spacing w:after="60" w:line="268"/>
      </w:pPr>
      <w:r>
        <w:rPr>
          <w:rFonts w:ascii="Calibri" w:cs="Calibri" w:eastAsia="Calibri" w:hAnsi="Calibri"/>
          <w:b/>
          <w:bCs/>
        </w:rPr>
        <w:t xml:space="preserve">CORS-scoped API</w:t>
      </w:r>
      <w:r>
        <w:rPr>
          <w:rFonts w:ascii="Calibri" w:cs="Calibri" w:eastAsia="Calibri" w:hAnsi="Calibri"/>
        </w:rPr>
        <w:t xml:space="preserve"> and a configurable upload size limit protect the service surface.</w:t>
      </w:r>
    </w:p>
    <w:p>
      <w:pPr>
        <w:pStyle w:val="Heading1"/>
        <w:keepNext/>
        <w:pBdr>
          <w:bottom w:val="single" w:color="E5E7EB" w:sz="4"/>
        </w:pBdr>
        <w:spacing w:after="160" w:before="360"/>
      </w:pPr>
      <w:r>
        <w:rPr>
          <w:rFonts w:ascii="Calibri" w:cs="Calibri" w:eastAsia="Calibri" w:hAnsi="Calibri"/>
          <w:b/>
          <w:bCs/>
          <w:color w:val="3730A3"/>
          <w:sz w:val="30"/>
          <w:szCs w:val="30"/>
        </w:rPr>
        <w:t xml:space="preserve">15. Deployment &amp; Operations</w:t>
      </w:r>
    </w:p>
    <w:p>
      <w:pPr>
        <w:spacing w:after="120" w:before="0" w:line="276"/>
      </w:pPr>
      <w:r>
        <w:rPr>
          <w:rFonts w:ascii="Calibri" w:cs="Calibri" w:eastAsia="Calibri" w:hAnsi="Calibri"/>
        </w:rPr>
        <w:t xml:space="preserve">The platform runs as two processes — the Vite frontend and the FastAPI backend — with the backend bootstrapping its own Python environment, dependencies and configuration on first run.</w:t>
      </w:r>
    </w:p>
    <w:tbl>
      <w:tblPr>
        <w:tblW w:type="dxa" w:w="9360"/>
        <w:tblBorders>
          <w:top w:val="single" w:color="D1D5DB" w:sz="2"/>
          <w:left w:val="single" w:color="D1D5DB" w:sz="2"/>
          <w:bottom w:val="single" w:color="D1D5DB" w:sz="2"/>
          <w:right w:val="single" w:color="D1D5DB" w:sz="2"/>
          <w:insideH w:val="single" w:color="D1D5DB" w:sz="2"/>
          <w:insideV w:val="single" w:color="D1D5DB" w:sz="2"/>
        </w:tblBorders>
      </w:tblPr>
      <w:tblGrid>
        <w:gridCol w:w="1900"/>
        <w:gridCol w:w="7460"/>
      </w:tblGrid>
      <w:tr>
        <w:trPr>
          <w:cantSplit/>
          <w:tblHeader/>
        </w:trPr>
        <w:tc>
          <w:tcPr>
            <w:tcW w:type="dxa" w:w="1900"/>
            <w:shd w:fill="4F46E5" w:color="auto" w:val="clear"/>
            <w:tcMar>
              <w:top w:type="dxa" w:w="40"/>
              <w:left w:type="dxa" w:w="90"/>
              <w:bottom w:type="dxa" w:w="40"/>
              <w:right w:type="dxa" w:w="90"/>
            </w:tcMar>
          </w:tcPr>
          <w:p>
            <w:pPr>
              <w:spacing w:after="20" w:before="20"/>
              <w:jc w:val="left"/>
            </w:pPr>
            <w:r>
              <w:rPr>
                <w:rFonts w:ascii="Calibri" w:cs="Calibri" w:eastAsia="Calibri" w:hAnsi="Calibri"/>
                <w:b/>
                <w:bCs/>
                <w:color w:val="FFFFFF"/>
                <w:sz w:val="19"/>
                <w:szCs w:val="19"/>
              </w:rPr>
              <w:t xml:space="preserve">Component</w:t>
            </w:r>
          </w:p>
        </w:tc>
        <w:tc>
          <w:tcPr>
            <w:tcW w:type="dxa" w:w="7460"/>
            <w:shd w:fill="4F46E5" w:color="auto" w:val="clear"/>
            <w:tcMar>
              <w:top w:type="dxa" w:w="40"/>
              <w:left w:type="dxa" w:w="90"/>
              <w:bottom w:type="dxa" w:w="40"/>
              <w:right w:type="dxa" w:w="90"/>
            </w:tcMar>
          </w:tcPr>
          <w:p>
            <w:pPr>
              <w:spacing w:after="20" w:before="20"/>
              <w:jc w:val="left"/>
            </w:pPr>
            <w:r>
              <w:rPr>
                <w:rFonts w:ascii="Calibri" w:cs="Calibri" w:eastAsia="Calibri" w:hAnsi="Calibri"/>
                <w:b/>
                <w:bCs/>
                <w:color w:val="FFFFFF"/>
                <w:sz w:val="19"/>
                <w:szCs w:val="19"/>
              </w:rPr>
              <w:t xml:space="preserve">Command / setting</w:t>
            </w:r>
          </w:p>
        </w:tc>
      </w:tr>
      <w:tr>
        <w:trPr>
          <w:cantSplit/>
        </w:trPr>
        <w:tc>
          <w:tcPr>
            <w:tcW w:type="dxa" w:w="1900"/>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Frontend</w:t>
            </w:r>
          </w:p>
        </w:tc>
        <w:tc>
          <w:tcPr>
            <w:tcW w:type="dxa" w:w="7460"/>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npm install &amp;&amp; npm run dev  →  http://localhost:5173</w:t>
            </w:r>
          </w:p>
        </w:tc>
      </w:tr>
      <w:tr>
        <w:trPr>
          <w:cantSplit/>
        </w:trPr>
        <w:tc>
          <w:tcPr>
            <w:tcW w:type="dxa" w:w="1900"/>
            <w:shd w:fill="EEF2FF" w:color="auto" w:val="clear"/>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Backend</w:t>
            </w:r>
          </w:p>
        </w:tc>
        <w:tc>
          <w:tcPr>
            <w:tcW w:type="dxa" w:w="7460"/>
            <w:shd w:fill="EEF2FF" w:color="auto" w:val="clear"/>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npm run ocr  →  http://localhost:8000  (interactive docs at /docs)</w:t>
            </w:r>
          </w:p>
        </w:tc>
      </w:tr>
      <w:tr>
        <w:trPr>
          <w:cantSplit/>
        </w:trPr>
        <w:tc>
          <w:tcPr>
            <w:tcW w:type="dxa" w:w="1900"/>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OCR provider</w:t>
            </w:r>
          </w:p>
        </w:tc>
        <w:tc>
          <w:tcPr>
            <w:tcW w:type="dxa" w:w="7460"/>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OCR_PROVIDER = mock | ollama | anthropic (in api/.env)</w:t>
            </w:r>
          </w:p>
        </w:tc>
      </w:tr>
      <w:tr>
        <w:trPr>
          <w:cantSplit/>
        </w:trPr>
        <w:tc>
          <w:tcPr>
            <w:tcW w:type="dxa" w:w="1900"/>
            <w:shd w:fill="EEF2FF" w:color="auto" w:val="clear"/>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Local model</w:t>
            </w:r>
          </w:p>
        </w:tc>
        <w:tc>
          <w:tcPr>
            <w:tcW w:type="dxa" w:w="7460"/>
            <w:shd w:fill="EEF2FF" w:color="auto" w:val="clear"/>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ollama pull qwen2.5vl:7b (for the ollama provider)</w:t>
            </w:r>
          </w:p>
        </w:tc>
      </w:tr>
      <w:tr>
        <w:trPr>
          <w:cantSplit/>
        </w:trPr>
        <w:tc>
          <w:tcPr>
            <w:tcW w:type="dxa" w:w="1900"/>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Database</w:t>
            </w:r>
          </w:p>
        </w:tc>
        <w:tc>
          <w:tcPr>
            <w:tcW w:type="dxa" w:w="7460"/>
            <w:tcMar>
              <w:top w:type="dxa" w:w="40"/>
              <w:left w:type="dxa" w:w="90"/>
              <w:bottom w:type="dxa" w:w="40"/>
              <w:right w:type="dxa" w:w="90"/>
            </w:tcMar>
          </w:tcPr>
          <w:p>
            <w:pPr>
              <w:spacing w:after="20" w:before="20"/>
              <w:jc w:val="left"/>
            </w:pPr>
            <w:r>
              <w:rPr>
                <w:rFonts w:ascii="Calibri" w:cs="Calibri" w:eastAsia="Calibri" w:hAnsi="Calibri"/>
                <w:b w:val="false"/>
                <w:bCs w:val="false"/>
                <w:color w:val="1F2937"/>
                <w:sz w:val="19"/>
                <w:szCs w:val="19"/>
              </w:rPr>
              <w:t xml:space="preserve">Run docs/mssql/01–05 in SSMS to build the FinSight database</w:t>
            </w:r>
          </w:p>
        </w:tc>
      </w:tr>
    </w:tbl>
    <w:p>
      <w:pPr>
        <w:spacing w:after="120" w:before="0" w:line="276"/>
      </w:pPr>
      <w:r>
        <w:rPr>
          <w:rFonts w:ascii="Calibri" w:cs="Calibri" w:eastAsia="Calibri" w:hAnsi="Calibri"/>
        </w:rPr>
        <w:t xml:space="preserve">The compliance engine needs no setup — it seeds its knowledge base, rules and search index automatically on first backend start. Every runtime behaviour (provider, preprocessing, tampering weights and tiers, database connection) is controlled through .env and config.yaml and applied on restart, with no code changes.</w:t>
      </w:r>
    </w:p>
    <w:p>
      <w:pPr>
        <w:pStyle w:val="Heading1"/>
        <w:keepNext/>
        <w:pBdr>
          <w:bottom w:val="single" w:color="E5E7EB" w:sz="4"/>
        </w:pBdr>
        <w:spacing w:after="160" w:before="360"/>
      </w:pPr>
      <w:r>
        <w:rPr>
          <w:rFonts w:ascii="Calibri" w:cs="Calibri" w:eastAsia="Calibri" w:hAnsi="Calibri"/>
          <w:b/>
          <w:bCs/>
          <w:color w:val="3730A3"/>
          <w:sz w:val="30"/>
          <w:szCs w:val="30"/>
        </w:rPr>
        <w:t xml:space="preserve">16. Conclusion</w:t>
      </w:r>
    </w:p>
    <w:p>
      <w:pPr>
        <w:spacing w:after="120" w:before="0" w:line="276"/>
      </w:pPr>
      <w:r>
        <w:rPr>
          <w:rFonts w:ascii="Calibri" w:cs="Calibri" w:eastAsia="Calibri" w:hAnsi="Calibri"/>
        </w:rPr>
        <w:t xml:space="preserve">FinSight AI delivers a complete, working retail-lending platform that automates document collection, reading, verification, fraud forensics and regulatory compliance, while keeping every credit decision in human hands. It combines a polished three-role frontend, a document-intelligence backend spanning OCR, a nine-signal tampering cascade, biometric face matching, PII masking and an RBI compliance engine, and a verified SQL Server data platform with a full process-mining foundation across four business processes.</w:t>
      </w:r>
    </w:p>
    <w:p>
      <w:pPr>
        <w:spacing w:after="120" w:before="0" w:line="276"/>
      </w:pPr>
      <w:r>
        <w:rPr>
          <w:rFonts w:ascii="Calibri" w:cs="Calibri" w:eastAsia="Calibri" w:hAnsi="Calibri"/>
        </w:rPr>
        <w:t xml:space="preserve">The result is a platform that is fast where it needs to be, thorough where it matters, and auditable throughout — built on the consistent principle that </w:t>
      </w:r>
      <w:r>
        <w:rPr>
          <w:rFonts w:ascii="Calibri" w:cs="Calibri" w:eastAsia="Calibri" w:hAnsi="Calibri"/>
          <w:b/>
          <w:bCs/>
          <w:color w:val="3730A3"/>
        </w:rPr>
        <w:t xml:space="preserve">AI accelerates the reviewer, but never replaces them.</w:t>
      </w:r>
    </w:p>
    <w:p>
      <w:pPr>
        <w:spacing w:after="200"/>
      </w:pPr>
      <w:r>
        <w:rPr>
          <w:rFonts w:ascii="Calibri" w:cs="Calibri" w:eastAsia="Calibri" w:hAnsi="Calibri"/>
        </w:rPr>
        <w:t xml:space="preserve"/>
      </w:r>
    </w:p>
    <w:p>
      <w:pPr>
        <w:pBdr>
          <w:top w:val="single" w:color="4F46E5" w:sz="6"/>
        </w:pBdr>
        <w:spacing w:before="200"/>
        <w:jc w:val="center"/>
      </w:pPr>
      <w:r>
        <w:rPr>
          <w:rFonts w:ascii="Calibri" w:cs="Calibri" w:eastAsia="Calibri" w:hAnsi="Calibri"/>
          <w:b/>
          <w:bCs/>
          <w:color w:val="6B7280"/>
          <w:sz w:val="20"/>
          <w:szCs w:val="20"/>
        </w:rPr>
        <w:t xml:space="preserve">End of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Page </w:t>
    </w:r>
    <w:r>
      <w:rPr>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pBdr>
      <w:spacing w:after="0"/>
      <w:jc w:val="right"/>
    </w:pPr>
    <w:r>
      <w:drawing>
        <wp:inline xmlns:a="http://schemas.openxmlformats.org/drawingml/2006/main" xmlns:pic="http://schemas.openxmlformats.org/drawingml/2006/picture">
          <wp:extent cx="213241" cy="274320"/>
          <wp:docPr id="1" name="FinSight logo" descr="FinSight AI logo"/>
          <wp:cNvGraphicFramePr>
            <a:graphicFrameLocks noChangeAspect="1"/>
          </wp:cNvGraphicFramePr>
          <a:graphic>
            <a:graphicData uri="http://schemas.openxmlformats.org/drawingml/2006/picture">
              <pic:pic>
                <pic:nvPicPr>
                  <pic:cNvPr id="0" name="mark.png"/>
                  <pic:cNvPicPr/>
                </pic:nvPicPr>
                <pic:blipFill>
                  <a:blip r:embed="rId1"/>
                  <a:stretch>
                    <a:fillRect/>
                  </a:stretch>
                </pic:blipFill>
                <pic:spPr>
                  <a:xfrm>
                    <a:off x="0" y="0"/>
                    <a:ext cx="213241" cy="274320"/>
                  </a:xfrm>
                  <a:prstGeom prst="rect"/>
                </pic:spPr>
              </pic:pic>
            </a:graphicData>
          </a:graphic>
        </wp:inline>
      </w:drawing>
    </w:r>
    <w:r>
      <w:t xml:space="preserve">  </w:t>
    </w:r>
    <w:r>
      <w:rPr>
        <w:rFonts w:ascii="Calibri" w:cs="Calibri" w:eastAsia="Calibri" w:hAnsi="Calibri"/>
        <w:color w:val="6B7280"/>
        <w:sz w:val="16"/>
        <w:szCs w:val="16"/>
        <w:position w:val="14"/>
      </w:rPr>
      <w:t xml:space="preserve">FinSight AI  —  Final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FinSight AI — Final Project Report</dc:title>
  <dc:creator>FinSight AI</dc:creator>
  <dc:description>Final project report for the FinSight AI lending platform</dc:description>
  <cp:lastModifiedBy>Un-named</cp:lastModifiedBy>
  <cp:revision>1</cp:revision>
  <dcterms:created xsi:type="dcterms:W3CDTF">2026-08-03T11:28:33.537Z</dcterms:created>
  <dcterms:modified xsi:type="dcterms:W3CDTF">2026-08-03T11:28:33.538Z</dcterms:modified>
</cp:coreProperties>
</file>

<file path=docProps/custom.xml><?xml version="1.0" encoding="utf-8"?>
<Properties xmlns="http://schemas.openxmlformats.org/officeDocument/2006/custom-properties" xmlns:vt="http://schemas.openxmlformats.org/officeDocument/2006/docPropsVTypes"/>
</file>