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Impact of Climate Change on Marine Ecosystems</w:t>
      </w:r>
    </w:p>
    <w:p>
      <w:r>
        <w:t>Climate change is significantly altering marine ecosystems across the globe. Rising ocean temperatures have led to widespread coral bleaching events, which threaten the biodiversity of reef systems.</w:t>
      </w:r>
    </w:p>
    <w:p>
      <w:r>
        <w:t>Furthermore, ocean acidification, caused by increased absorption of atmospheric carbon dioxide, is weakening the shells of many marine organisms, including mollusks and certain plankton species. 1</w:t>
      </w:r>
    </w:p>
    <w:p>
      <w:r>
        <w:t>Researchers have observed that fish migration patterns are shifting toward cooler waters as a direct response to warming sea temperatures. This shift disrupts established food webs and impacts commercial fishing industries.</w:t>
      </w:r>
    </w:p>
    <w:p>
      <w:r>
        <w:t>Page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Factor</w:t>
            </w:r>
          </w:p>
        </w:tc>
        <w:tc>
          <w:tcPr>
            <w:tcW w:type="dxa" w:w="4320"/>
          </w:tcPr>
          <w:p>
            <w:r>
              <w:t>Effect on Ecosystem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