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after="0"/>
      </w:pPr>
    </w:p>
    <w:p>
      <w:pPr>
        <w:spacing w:before="0" w:after="80"/>
        <w:jc w:val="center"/>
      </w:pPr>
      <w:r>
        <w:rPr>
          <w:rFonts w:ascii="Arial" w:cs="Arial" w:eastAsia="Arial" w:hAnsi="Arial"/>
          <w:color w:val="6B7280"/>
          <w:spacing w:val="200"/>
          <w:sz w:val="22"/>
          <w:szCs w:val="22"/>
        </w:rPr>
        <w:t xml:space="preserve">PROJECT MASTER DOCUMENT</w:t>
      </w:r>
    </w:p>
    <w:p>
      <w:pPr>
        <w:spacing w:before="0" w:after="60"/>
        <w:jc w:val="center"/>
      </w:pPr>
      <w:r>
        <w:rPr>
          <w:rFonts w:ascii="Arial" w:cs="Arial" w:eastAsia="Arial" w:hAnsi="Arial"/>
          <w:b/>
          <w:bCs/>
          <w:color w:val="1B2A4A"/>
          <w:sz w:val="72"/>
          <w:szCs w:val="72"/>
        </w:rPr>
        <w:t xml:space="preserve">FinOps Sentinel</w:t>
      </w:r>
    </w:p>
    <w:p>
      <w:pPr>
        <w:spacing w:before="0" w:after="200"/>
        <w:jc w:val="center"/>
      </w:pPr>
      <w:r>
        <w:rPr>
          <w:rFonts w:ascii="Arial" w:cs="Arial" w:eastAsia="Arial" w:hAnsi="Arial"/>
          <w:i/>
          <w:iCs/>
          <w:color w:val="006D77"/>
          <w:sz w:val="28"/>
          <w:szCs w:val="28"/>
        </w:rPr>
        <w:t xml:space="preserve">AI Compliance &amp; Code Intelligence Platform for FinTech</w:t>
      </w:r>
    </w:p>
    <w:p>
      <w:pPr>
        <w:pBdr>
          <w:bottom w:val="single" w:color="C9882A" w:sz="4" w:space="1"/>
        </w:pBdr>
        <w:spacing w:before="120" w:after="120"/>
      </w:pPr>
    </w:p>
    <w:p>
      <w:pPr>
        <w:spacing w:before="1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1B2A4A" w:val="clear"/>
            <w:tcMar>
              <w:top w:type="dxa" w:w="200"/>
              <w:left w:type="dxa" w:w="280"/>
              <w:bottom w:type="dxa" w:w="200"/>
              <w:right w:type="dxa" w:w="280"/>
            </w:tcMar>
          </w:tcPr>
          <w:p>
            <w:r>
              <w:rPr>
                <w:rFonts w:ascii="Arial" w:cs="Arial" w:eastAsia="Arial" w:hAnsi="Arial"/>
                <w:b/>
                <w:bCs/>
                <w:color w:val="C9882A"/>
                <w:spacing w:val="180"/>
                <w:sz w:val="18"/>
                <w:szCs w:val="18"/>
              </w:rPr>
              <w:t xml:space="preserve">DOCUMENT DETAILS</w:t>
            </w:r>
          </w:p>
          <w:p>
            <w:pPr>
              <w:spacing w:before="100" w:after="0"/>
            </w:pPr>
          </w:p>
          <w:p>
            <w:pPr>
              <w:spacing w:before="0" w:after="60"/>
            </w:pPr>
            <w:r>
              <w:rPr>
                <w:rFonts w:ascii="Arial" w:cs="Arial" w:eastAsia="Arial" w:hAnsi="Arial"/>
                <w:b/>
                <w:bCs/>
                <w:color w:val="AACCEE"/>
                <w:sz w:val="20"/>
                <w:szCs w:val="20"/>
              </w:rPr>
              <w:t xml:space="preserve">Author: </w:t>
            </w:r>
            <w:r>
              <w:rPr>
                <w:rFonts w:ascii="Arial" w:cs="Arial" w:eastAsia="Arial" w:hAnsi="Arial"/>
                <w:color w:val="FFFFFF"/>
                <w:sz w:val="20"/>
                <w:szCs w:val="20"/>
              </w:rPr>
              <w:t xml:space="preserve">AI Engineer Candidate</w:t>
            </w:r>
          </w:p>
          <w:p>
            <w:pPr>
              <w:spacing w:before="0" w:after="60"/>
            </w:pPr>
            <w:r>
              <w:rPr>
                <w:rFonts w:ascii="Arial" w:cs="Arial" w:eastAsia="Arial" w:hAnsi="Arial"/>
                <w:b/>
                <w:bCs/>
                <w:color w:val="AACCEE"/>
                <w:sz w:val="20"/>
                <w:szCs w:val="20"/>
              </w:rPr>
              <w:t xml:space="preserve">Version: </w:t>
            </w:r>
            <w:r>
              <w:rPr>
                <w:rFonts w:ascii="Arial" w:cs="Arial" w:eastAsia="Arial" w:hAnsi="Arial"/>
                <w:color w:val="FFFFFF"/>
                <w:sz w:val="20"/>
                <w:szCs w:val="20"/>
              </w:rPr>
              <w:t xml:space="preserve">v1.0 — Initial Master Doc</w:t>
            </w:r>
          </w:p>
          <w:p>
            <w:pPr>
              <w:spacing w:before="0" w:after="60"/>
            </w:pPr>
            <w:r>
              <w:rPr>
                <w:rFonts w:ascii="Arial" w:cs="Arial" w:eastAsia="Arial" w:hAnsi="Arial"/>
                <w:b/>
                <w:bCs/>
                <w:color w:val="AACCEE"/>
                <w:sz w:val="20"/>
                <w:szCs w:val="20"/>
              </w:rPr>
              <w:t xml:space="preserve">Created: </w:t>
            </w:r>
            <w:r>
              <w:rPr>
                <w:rFonts w:ascii="Arial" w:cs="Arial" w:eastAsia="Arial" w:hAnsi="Arial"/>
                <w:color w:val="FFFFFF"/>
                <w:sz w:val="20"/>
                <w:szCs w:val="20"/>
              </w:rPr>
              <w:t xml:space="preserve">March 2026</w:t>
            </w:r>
          </w:p>
          <w:p>
            <w:pPr>
              <w:spacing w:before="0" w:after="60"/>
            </w:pPr>
            <w:r>
              <w:rPr>
                <w:rFonts w:ascii="Arial" w:cs="Arial" w:eastAsia="Arial" w:hAnsi="Arial"/>
                <w:b/>
                <w:bCs/>
                <w:color w:val="AACCEE"/>
                <w:sz w:val="20"/>
                <w:szCs w:val="20"/>
              </w:rPr>
              <w:t xml:space="preserve">Status: </w:t>
            </w:r>
            <w:r>
              <w:rPr>
                <w:rFonts w:ascii="Arial" w:cs="Arial" w:eastAsia="Arial" w:hAnsi="Arial"/>
                <w:color w:val="FFFFFF"/>
                <w:sz w:val="20"/>
                <w:szCs w:val="20"/>
              </w:rPr>
              <w:t xml:space="preserve">Active — Living Document</w:t>
            </w:r>
          </w:p>
          <w:p>
            <w:pPr>
              <w:spacing w:before="0" w:after="60"/>
            </w:pPr>
            <w:r>
              <w:rPr>
                <w:rFonts w:ascii="Arial" w:cs="Arial" w:eastAsia="Arial" w:hAnsi="Arial"/>
                <w:b/>
                <w:bCs/>
                <w:color w:val="AACCEE"/>
                <w:sz w:val="20"/>
                <w:szCs w:val="20"/>
              </w:rPr>
              <w:t xml:space="preserve">Repo: </w:t>
            </w:r>
            <w:r>
              <w:rPr>
                <w:rFonts w:ascii="Arial" w:cs="Arial" w:eastAsia="Arial" w:hAnsi="Arial"/>
                <w:color w:val="FFFFFF"/>
                <w:sz w:val="20"/>
                <w:szCs w:val="20"/>
              </w:rPr>
              <w:t xml:space="preserve">github.com/[username]/finops-sentinel</w:t>
            </w:r>
          </w:p>
        </w:tc>
        <w:tc>
          <w:tcPr>
            <w:tcW w:type="dxa" w:w="4680"/>
            <w:tcBorders>
              <w:top w:val="none" w:color="FFFFFF" w:sz="0"/>
              <w:left w:val="none" w:color="FFFFFF" w:sz="0"/>
              <w:bottom w:val="none" w:color="FFFFFF" w:sz="0"/>
              <w:right w:val="none" w:color="FFFFFF" w:sz="0"/>
            </w:tcBorders>
            <w:shd w:fill="006D77" w:val="clear"/>
            <w:tcMar>
              <w:top w:type="dxa" w:w="200"/>
              <w:left w:type="dxa" w:w="280"/>
              <w:bottom w:type="dxa" w:w="200"/>
              <w:right w:type="dxa" w:w="280"/>
            </w:tcMar>
          </w:tcPr>
          <w:p>
            <w:r>
              <w:rPr>
                <w:rFonts w:ascii="Arial" w:cs="Arial" w:eastAsia="Arial" w:hAnsi="Arial"/>
                <w:b/>
                <w:bCs/>
                <w:color w:val="C9882A"/>
                <w:spacing w:val="180"/>
                <w:sz w:val="18"/>
                <w:szCs w:val="18"/>
              </w:rPr>
              <w:t xml:space="preserve">TARGET OUTCOMES</w:t>
            </w:r>
          </w:p>
          <w:p>
            <w:pPr>
              <w:spacing w:before="100" w:after="0"/>
            </w:pPr>
          </w:p>
          <w:p>
            <w:pPr>
              <w:spacing w:before="0" w:after="60"/>
            </w:pPr>
            <w:r>
              <w:rPr>
                <w:rFonts w:ascii="Arial" w:cs="Arial" w:eastAsia="Arial" w:hAnsi="Arial"/>
                <w:b/>
                <w:bCs/>
                <w:color w:val="C9882A"/>
                <w:sz w:val="20"/>
                <w:szCs w:val="20"/>
              </w:rPr>
              <w:t xml:space="preserve">  ✓  </w:t>
            </w:r>
            <w:r>
              <w:rPr>
                <w:rFonts w:ascii="Arial" w:cs="Arial" w:eastAsia="Arial" w:hAnsi="Arial"/>
                <w:color w:val="FFFFFF"/>
                <w:sz w:val="20"/>
                <w:szCs w:val="20"/>
              </w:rPr>
              <w:t xml:space="preserve">AI Engineer / LLM Engineer roles</w:t>
            </w:r>
          </w:p>
          <w:p>
            <w:pPr>
              <w:spacing w:before="0" w:after="60"/>
            </w:pPr>
            <w:r>
              <w:rPr>
                <w:rFonts w:ascii="Arial" w:cs="Arial" w:eastAsia="Arial" w:hAnsi="Arial"/>
                <w:b/>
                <w:bCs/>
                <w:color w:val="C9882A"/>
                <w:sz w:val="20"/>
                <w:szCs w:val="20"/>
              </w:rPr>
              <w:t xml:space="preserve">  ✓  </w:t>
            </w:r>
            <w:r>
              <w:rPr>
                <w:rFonts w:ascii="Arial" w:cs="Arial" w:eastAsia="Arial" w:hAnsi="Arial"/>
                <w:color w:val="FFFFFF"/>
                <w:sz w:val="20"/>
                <w:szCs w:val="20"/>
              </w:rPr>
              <w:t xml:space="preserve">RegTech / FinTech AI positions</w:t>
            </w:r>
          </w:p>
          <w:p>
            <w:pPr>
              <w:spacing w:before="0" w:after="60"/>
            </w:pPr>
            <w:r>
              <w:rPr>
                <w:rFonts w:ascii="Arial" w:cs="Arial" w:eastAsia="Arial" w:hAnsi="Arial"/>
                <w:b/>
                <w:bCs/>
                <w:color w:val="C9882A"/>
                <w:sz w:val="20"/>
                <w:szCs w:val="20"/>
              </w:rPr>
              <w:t xml:space="preserve">  ✓  </w:t>
            </w:r>
            <w:r>
              <w:rPr>
                <w:rFonts w:ascii="Arial" w:cs="Arial" w:eastAsia="Arial" w:hAnsi="Arial"/>
                <w:color w:val="FFFFFF"/>
                <w:sz w:val="20"/>
                <w:szCs w:val="20"/>
              </w:rPr>
              <w:t xml:space="preserve">Base salary target: $110K–$150K</w:t>
            </w:r>
          </w:p>
          <w:p>
            <w:pPr>
              <w:spacing w:before="0" w:after="60"/>
            </w:pPr>
            <w:r>
              <w:rPr>
                <w:rFonts w:ascii="Arial" w:cs="Arial" w:eastAsia="Arial" w:hAnsi="Arial"/>
                <w:b/>
                <w:bCs/>
                <w:color w:val="C9882A"/>
                <w:sz w:val="20"/>
                <w:szCs w:val="20"/>
              </w:rPr>
              <w:t xml:space="preserve">  ✓  </w:t>
            </w:r>
            <w:r>
              <w:rPr>
                <w:rFonts w:ascii="Arial" w:cs="Arial" w:eastAsia="Arial" w:hAnsi="Arial"/>
                <w:color w:val="FFFFFF"/>
                <w:sz w:val="20"/>
                <w:szCs w:val="20"/>
              </w:rPr>
              <w:t xml:space="preserve">Live public demo + full GitHub repo</w:t>
            </w:r>
          </w:p>
          <w:p>
            <w:pPr>
              <w:spacing w:before="0" w:after="60"/>
            </w:pPr>
            <w:r>
              <w:rPr>
                <w:rFonts w:ascii="Arial" w:cs="Arial" w:eastAsia="Arial" w:hAnsi="Arial"/>
                <w:b/>
                <w:bCs/>
                <w:color w:val="C9882A"/>
                <w:sz w:val="20"/>
                <w:szCs w:val="20"/>
              </w:rPr>
              <w:t xml:space="preserve">  ✓  </w:t>
            </w:r>
            <w:r>
              <w:rPr>
                <w:rFonts w:ascii="Arial" w:cs="Arial" w:eastAsia="Arial" w:hAnsi="Arial"/>
                <w:color w:val="FFFFFF"/>
                <w:sz w:val="20"/>
                <w:szCs w:val="20"/>
              </w:rPr>
              <w:t xml:space="preserve">Production RAG + multi-agent system</w:t>
            </w:r>
          </w:p>
        </w:tc>
      </w:tr>
    </w:tbl>
    <w:p>
      <w:pPr>
        <w:spacing w:before="200" w:after="0"/>
      </w:pPr>
    </w:p>
    <w:p>
      <w:pPr>
        <w:jc w:val="center"/>
      </w:pPr>
      <w:r>
        <w:rPr>
          <w:rFonts w:ascii="Arial" w:cs="Arial" w:eastAsia="Arial" w:hAnsi="Arial"/>
          <w:i/>
          <w:iCs/>
          <w:color w:val="C9882A"/>
          <w:sz w:val="20"/>
          <w:szCs w:val="20"/>
        </w:rPr>
        <w:t xml:space="preserve">⚠  This is a living document — update the build log after every work session</w:t>
      </w:r>
    </w:p>
    <w:p>
      <w:r>
        <w:br w:type="page"/>
      </w:r>
    </w:p>
    <w:p>
      <w:pPr>
        <w:pStyle w:val="Heading1"/>
        <w:spacing w:before="360" w:after="120"/>
      </w:pPr>
      <w:r>
        <w:rPr>
          <w:rFonts w:ascii="Arial" w:cs="Arial" w:eastAsia="Arial" w:hAnsi="Arial"/>
          <w:b/>
          <w:bCs/>
          <w:color w:val="1B2A4A"/>
          <w:sz w:val="34"/>
          <w:szCs w:val="34"/>
        </w:rPr>
        <w:t xml:space="preserve">Table of Contents</w:t>
      </w:r>
    </w:p>
    <w:sdt>
      <w:sdtPr>
        <w:alias w:val="Contents"/>
      </w:sdtPr>
      <w:sdtContent>
        <w:p>
          <w:r>
            <w:fldChar w:fldCharType="begin" w:dirty="true"/>
            <w:instrText xml:space="preserve">TOC \h \o "1-3" \t "Heading 1,1,Heading 2,2,Heading 3,3"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2A4A" w:val="clear"/>
            <w:tcMar>
              <w:top w:type="dxa" w:w="140"/>
              <w:left w:type="dxa" w:w="140"/>
              <w:bottom w:type="dxa" w:w="140"/>
              <w:right w:type="dxa" w:w="140"/>
            </w:tcMar>
            <w:vAlign w:val="center"/>
          </w:tcPr>
          <w:p>
            <w:pPr>
              <w:jc w:val="center"/>
            </w:pPr>
            <w:r>
              <w:rPr>
                <w:rFonts w:ascii="Arial" w:cs="Arial" w:eastAsia="Arial" w:hAnsi="Arial"/>
                <w:b/>
                <w:bCs/>
                <w:color w:val="C9882A"/>
                <w:sz w:val="32"/>
                <w:szCs w:val="32"/>
              </w:rPr>
              <w:t xml:space="preserve">01</w:t>
            </w:r>
          </w:p>
        </w:tc>
        <w:tc>
          <w:tcPr>
            <w:tcW w:type="dxa" w:w="8560"/>
            <w:tcBorders>
              <w:top w:val="none" w:color="FFFFFF" w:sz="0"/>
              <w:left w:val="none" w:color="FFFFFF" w:sz="0"/>
              <w:bottom w:val="none" w:color="FFFFFF" w:sz="0"/>
              <w:right w:val="none" w:color="FFFFFF" w:sz="0"/>
            </w:tcBorders>
            <w:shd w:fill="006D77" w:val="clear"/>
            <w:tcMar>
              <w:top w:type="dxa" w:w="140"/>
              <w:left w:type="dxa" w:w="220"/>
              <w:bottom w:type="dxa" w:w="140"/>
              <w:right w:type="dxa" w:w="140"/>
            </w:tcMar>
            <w:vAlign w:val="center"/>
          </w:tcPr>
          <w:p>
            <w:r>
              <w:rPr>
                <w:rFonts w:ascii="Arial" w:cs="Arial" w:eastAsia="Arial" w:hAnsi="Arial"/>
                <w:b/>
                <w:bCs/>
                <w:color w:val="FFFFFF"/>
                <w:sz w:val="28"/>
                <w:szCs w:val="28"/>
              </w:rPr>
              <w:t xml:space="preserve">Project Pitch — What, Why &amp; Who</w:t>
            </w:r>
          </w:p>
        </w:tc>
      </w:tr>
    </w:tbl>
    <w:p>
      <w:pPr>
        <w:spacing w:before="200" w:after="0"/>
      </w:pPr>
    </w:p>
    <w:p>
      <w:pPr>
        <w:pStyle w:val="Heading2"/>
        <w:spacing w:before="280" w:after="100"/>
      </w:pPr>
      <w:r>
        <w:rPr>
          <w:rFonts w:ascii="Arial" w:cs="Arial" w:eastAsia="Arial" w:hAnsi="Arial"/>
          <w:b/>
          <w:bCs/>
          <w:color w:val="006D77"/>
          <w:sz w:val="28"/>
          <w:szCs w:val="28"/>
        </w:rPr>
        <w:t xml:space="preserve">1.1  Project Overview</w:t>
      </w:r>
    </w:p>
    <w:p>
      <w:pPr>
        <w:spacing w:before="0" w:after="160" w:line="276" w:lineRule="auto"/>
      </w:pPr>
      <w:r>
        <w:rPr>
          <w:rFonts w:ascii="Arial" w:cs="Arial" w:eastAsia="Arial" w:hAnsi="Arial"/>
          <w:b/>
          <w:bCs/>
          <w:color w:val="1B2A4A"/>
          <w:sz w:val="22"/>
          <w:szCs w:val="22"/>
        </w:rPr>
        <w:t xml:space="preserve">FinOps Sentinel </w:t>
      </w:r>
      <w:r>
        <w:rPr>
          <w:rFonts w:ascii="Arial" w:cs="Arial" w:eastAsia="Arial" w:hAnsi="Arial"/>
          <w:color w:val="333333"/>
          <w:sz w:val="22"/>
          <w:szCs w:val="22"/>
        </w:rPr>
        <w:t xml:space="preserve">is a production-grade, dual-corpus AI system purpose-built for engineering teams inside financial services companies — banks, trading platforms, payment processors, and FinTech startups. It operates at the intersection of two traditionally separate knowledge domains that every FinTech engineering team deals with simultaneously: their </w:t>
      </w:r>
      <w:r>
        <w:rPr>
          <w:rFonts w:ascii="Arial" w:cs="Arial" w:eastAsia="Arial" w:hAnsi="Arial"/>
          <w:b/>
          <w:bCs/>
          <w:color w:val="1B2A4A"/>
          <w:sz w:val="22"/>
          <w:szCs w:val="22"/>
        </w:rPr>
        <w:t xml:space="preserve">software codebase </w:t>
      </w:r>
      <w:r>
        <w:rPr>
          <w:rFonts w:ascii="Arial" w:cs="Arial" w:eastAsia="Arial" w:hAnsi="Arial"/>
          <w:color w:val="333333"/>
          <w:sz w:val="22"/>
          <w:szCs w:val="22"/>
        </w:rPr>
        <w:t xml:space="preserve">and their </w:t>
      </w:r>
      <w:r>
        <w:rPr>
          <w:rFonts w:ascii="Arial" w:cs="Arial" w:eastAsia="Arial" w:hAnsi="Arial"/>
          <w:b/>
          <w:bCs/>
          <w:color w:val="1B2A4A"/>
          <w:sz w:val="22"/>
          <w:szCs w:val="22"/>
        </w:rPr>
        <w:t xml:space="preserve">regulatory &amp; compliance document corpus.</w:t>
      </w:r>
    </w:p>
    <w:p>
      <w:pPr>
        <w:spacing w:before="0" w:after="160" w:line="276" w:lineRule="auto"/>
      </w:pPr>
      <w:r>
        <w:rPr>
          <w:rFonts w:ascii="Arial" w:cs="Arial" w:eastAsia="Arial" w:hAnsi="Arial"/>
          <w:color w:val="333333"/>
          <w:sz w:val="22"/>
          <w:szCs w:val="22"/>
        </w:rPr>
        <w:t xml:space="preserve">The system allows engineers, compliance officers, and technical leads to ask natural-language questions that span both worlds — getting answers synthesized from live code analysis and regulatory text — without switching between tools, manually cross-referencing documents, or waiting for specialist teams to respond.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D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CORE</w:t>
            </w:r>
          </w:p>
        </w:tc>
        <w:tc>
          <w:tcPr>
            <w:tcW w:type="dxa" w:w="9160"/>
            <w:tcBorders>
              <w:top w:val="none" w:color="FFFFFF" w:sz="0"/>
              <w:left w:val="none" w:color="FFFFFF" w:sz="0"/>
              <w:bottom w:val="none" w:color="FFFFFF" w:sz="0"/>
              <w:right w:val="none" w:color="FFFFFF" w:sz="0"/>
            </w:tcBorders>
            <w:shd w:fill="EBF4F7" w:val="clear"/>
            <w:tcMar>
              <w:top w:type="dxa" w:w="100"/>
              <w:left w:type="dxa" w:w="180"/>
              <w:bottom w:type="dxa" w:w="100"/>
              <w:right w:type="dxa" w:w="180"/>
            </w:tcMar>
          </w:tcPr>
          <w:p>
            <w:r>
              <w:rPr>
                <w:rFonts w:ascii="Arial" w:cs="Arial" w:eastAsia="Arial" w:hAnsi="Arial"/>
                <w:color w:val="333333"/>
                <w:sz w:val="21"/>
                <w:szCs w:val="21"/>
              </w:rPr>
              <w:t xml:space="preserve">FinOps Sentinel = Code Intelligence Engine (like CodeSheriff) + Financial Compliance RAG (like TradeScribe), merged into one agentic system with a shared query interface, dual-corpus retrieval, and a cross-corpus synthesis layer.</w:t>
            </w:r>
          </w:p>
        </w:tc>
      </w:tr>
    </w:tbl>
    <w:p>
      <w:pPr>
        <w:spacing w:before="100" w:after="0"/>
      </w:pPr>
    </w:p>
    <w:p>
      <w:pPr>
        <w:pStyle w:val="Heading2"/>
        <w:spacing w:before="280" w:after="100"/>
      </w:pPr>
      <w:r>
        <w:rPr>
          <w:rFonts w:ascii="Arial" w:cs="Arial" w:eastAsia="Arial" w:hAnsi="Arial"/>
          <w:b/>
          <w:bCs/>
          <w:color w:val="006D77"/>
          <w:sz w:val="28"/>
          <w:szCs w:val="28"/>
        </w:rPr>
        <w:t xml:space="preserve">1.2  The Problem — What Pain Does This Solve?</w:t>
      </w:r>
    </w:p>
    <w:p>
      <w:pPr>
        <w:pStyle w:val="Heading3"/>
        <w:spacing w:before="200" w:after="80"/>
      </w:pPr>
      <w:r>
        <w:rPr>
          <w:rFonts w:ascii="Arial" w:cs="Arial" w:eastAsia="Arial" w:hAnsi="Arial"/>
          <w:b/>
          <w:bCs/>
          <w:color w:val="1B2A4A"/>
          <w:sz w:val="24"/>
          <w:szCs w:val="24"/>
        </w:rPr>
        <w:t xml:space="preserve">Domain 1: The FinTech Codebase Problem</w:t>
      </w:r>
    </w:p>
    <w:p>
      <w:pPr>
        <w:spacing w:before="0" w:after="160" w:line="276" w:lineRule="auto"/>
      </w:pPr>
      <w:r>
        <w:rPr>
          <w:rFonts w:ascii="Arial" w:cs="Arial" w:eastAsia="Arial" w:hAnsi="Arial"/>
          <w:color w:val="333333"/>
          <w:sz w:val="22"/>
          <w:szCs w:val="22"/>
        </w:rPr>
        <w:t xml:space="preserve">Financial software systems are among the most complex, oldest, and most consequential codebases on earth. A mid-sized bank may have 15–50 million lines of code accumulated over 20–30 years. The engineers working on it today did not write most of it. The result:</w:t>
      </w:r>
    </w:p>
    <w:p>
      <w:pPr>
        <w:pStyle w:val="ListParagraph"/>
        <w:numPr>
          <w:ilvl w:val="0"/>
          <w:numId w:val="2"/>
        </w:numPr>
        <w:spacing w:before="0" w:after="100" w:line="276" w:lineRule="auto"/>
      </w:pPr>
      <w:r>
        <w:rPr>
          <w:rFonts w:ascii="Arial" w:cs="Arial" w:eastAsia="Arial" w:hAnsi="Arial"/>
          <w:b/>
          <w:bCs/>
          <w:color w:val="1B2A4A"/>
          <w:sz w:val="22"/>
          <w:szCs w:val="22"/>
        </w:rPr>
        <w:t xml:space="preserve">Onboarding latency: </w:t>
      </w:r>
      <w:r>
        <w:rPr>
          <w:rFonts w:ascii="Arial" w:cs="Arial" w:eastAsia="Arial" w:hAnsi="Arial"/>
          <w:color w:val="333333"/>
          <w:sz w:val="22"/>
          <w:szCs w:val="22"/>
        </w:rPr>
        <w:t xml:space="preserve">New engineers take 3–6 months before they are productive in a legacy financial codebase. Every month of lost productivity costs $15,000–$25,000 per engineer.</w:t>
      </w:r>
    </w:p>
    <w:p>
      <w:pPr>
        <w:pStyle w:val="ListParagraph"/>
        <w:numPr>
          <w:ilvl w:val="0"/>
          <w:numId w:val="2"/>
        </w:numPr>
        <w:spacing w:before="0" w:after="100" w:line="276" w:lineRule="auto"/>
      </w:pPr>
      <w:r>
        <w:rPr>
          <w:rFonts w:ascii="Arial" w:cs="Arial" w:eastAsia="Arial" w:hAnsi="Arial"/>
          <w:b/>
          <w:bCs/>
          <w:color w:val="1B2A4A"/>
          <w:sz w:val="22"/>
          <w:szCs w:val="22"/>
        </w:rPr>
        <w:t xml:space="preserve">Change-impact blindness: </w:t>
      </w:r>
      <w:r>
        <w:rPr>
          <w:rFonts w:ascii="Arial" w:cs="Arial" w:eastAsia="Arial" w:hAnsi="Arial"/>
          <w:color w:val="333333"/>
          <w:sz w:val="22"/>
          <w:szCs w:val="22"/>
        </w:rPr>
        <w:t xml:space="preserve">Engineers routinely make changes without knowing which downstream services, compliance checks, or audit functions they affect. This causes production incidents at a median cost of $500,000–$1M per major outage.</w:t>
      </w:r>
    </w:p>
    <w:p>
      <w:pPr>
        <w:pStyle w:val="ListParagraph"/>
        <w:numPr>
          <w:ilvl w:val="0"/>
          <w:numId w:val="2"/>
        </w:numPr>
        <w:spacing w:before="0" w:after="100" w:line="276" w:lineRule="auto"/>
      </w:pPr>
      <w:r>
        <w:rPr>
          <w:rFonts w:ascii="Arial" w:cs="Arial" w:eastAsia="Arial" w:hAnsi="Arial"/>
          <w:b/>
          <w:bCs/>
          <w:color w:val="1B2A4A"/>
          <w:sz w:val="22"/>
          <w:szCs w:val="22"/>
        </w:rPr>
        <w:t xml:space="preserve">Architectural amnesia: </w:t>
      </w:r>
      <w:r>
        <w:rPr>
          <w:rFonts w:ascii="Arial" w:cs="Arial" w:eastAsia="Arial" w:hAnsi="Arial"/>
          <w:color w:val="333333"/>
          <w:sz w:val="22"/>
          <w:szCs w:val="22"/>
        </w:rPr>
        <w:t xml:space="preserve">Documentation is always out of date. The people who understand the system retire or leave. Knowledge lives in people's heads, not in queryable systems.</w:t>
      </w:r>
    </w:p>
    <w:p>
      <w:pPr>
        <w:spacing w:before="80" w:after="0"/>
      </w:pPr>
    </w:p>
    <w:p>
      <w:pPr>
        <w:pStyle w:val="Heading3"/>
        <w:spacing w:before="200" w:after="80"/>
      </w:pPr>
      <w:r>
        <w:rPr>
          <w:rFonts w:ascii="Arial" w:cs="Arial" w:eastAsia="Arial" w:hAnsi="Arial"/>
          <w:b/>
          <w:bCs/>
          <w:color w:val="1B2A4A"/>
          <w:sz w:val="24"/>
          <w:szCs w:val="24"/>
        </w:rPr>
        <w:t xml:space="preserve">Domain 2: The Financial Compliance Problem</w:t>
      </w:r>
    </w:p>
    <w:p>
      <w:pPr>
        <w:spacing w:before="0" w:after="160" w:line="276" w:lineRule="auto"/>
      </w:pPr>
      <w:r>
        <w:rPr>
          <w:rFonts w:ascii="Arial" w:cs="Arial" w:eastAsia="Arial" w:hAnsi="Arial"/>
          <w:color w:val="333333"/>
          <w:sz w:val="22"/>
          <w:szCs w:val="22"/>
        </w:rPr>
        <w:t xml:space="preserve">Financial companies operate under an ever-expanding web of regulations: PCI-DSS, SOX, MiFID II, Basel III, DORA (EU Digital Operational Resilience Act), SEC rules, FINRA guidelines, AML/KYC requirements, and dozens more. Each regulation is:</w:t>
      </w:r>
    </w:p>
    <w:p>
      <w:pPr>
        <w:pStyle w:val="ListParagraph"/>
        <w:numPr>
          <w:ilvl w:val="0"/>
          <w:numId w:val="2"/>
        </w:numPr>
        <w:spacing w:before="0" w:after="100" w:line="276" w:lineRule="auto"/>
      </w:pPr>
      <w:r>
        <w:rPr>
          <w:rFonts w:ascii="Arial" w:cs="Arial" w:eastAsia="Arial" w:hAnsi="Arial"/>
          <w:b/>
          <w:bCs/>
          <w:color w:val="1B2A4A"/>
          <w:sz w:val="22"/>
          <w:szCs w:val="22"/>
        </w:rPr>
        <w:t xml:space="preserve">Dense and technical: </w:t>
      </w:r>
      <w:r>
        <w:rPr>
          <w:rFonts w:ascii="Arial" w:cs="Arial" w:eastAsia="Arial" w:hAnsi="Arial"/>
          <w:color w:val="333333"/>
          <w:sz w:val="22"/>
          <w:szCs w:val="22"/>
        </w:rPr>
        <w:t xml:space="preserve">A single regulation like PCI-DSS v4.0 runs to 360 pages. DORA's technical standards span 5 separate regulatory documents.</w:t>
      </w:r>
    </w:p>
    <w:p>
      <w:pPr>
        <w:pStyle w:val="ListParagraph"/>
        <w:numPr>
          <w:ilvl w:val="0"/>
          <w:numId w:val="2"/>
        </w:numPr>
        <w:spacing w:before="0" w:after="100" w:line="276" w:lineRule="auto"/>
      </w:pPr>
      <w:r>
        <w:rPr>
          <w:rFonts w:ascii="Arial" w:cs="Arial" w:eastAsia="Arial" w:hAnsi="Arial"/>
          <w:b/>
          <w:bCs/>
          <w:color w:val="1B2A4A"/>
          <w:sz w:val="22"/>
          <w:szCs w:val="22"/>
        </w:rPr>
        <w:t xml:space="preserve">Code-relevant: </w:t>
      </w:r>
      <w:r>
        <w:rPr>
          <w:rFonts w:ascii="Arial" w:cs="Arial" w:eastAsia="Arial" w:hAnsi="Arial"/>
          <w:color w:val="333333"/>
          <w:sz w:val="22"/>
          <w:szCs w:val="22"/>
        </w:rPr>
        <w:t xml:space="preserve">Most compliance requirements directly mandate specific code behaviors — encryption standards, audit logging, data retention, access controls, transaction limits.</w:t>
      </w:r>
    </w:p>
    <w:p>
      <w:pPr>
        <w:pStyle w:val="ListParagraph"/>
        <w:numPr>
          <w:ilvl w:val="0"/>
          <w:numId w:val="2"/>
        </w:numPr>
        <w:spacing w:before="0" w:after="100" w:line="276" w:lineRule="auto"/>
      </w:pPr>
      <w:r>
        <w:rPr>
          <w:rFonts w:ascii="Arial" w:cs="Arial" w:eastAsia="Arial" w:hAnsi="Arial"/>
          <w:b/>
          <w:bCs/>
          <w:color w:val="1B2A4A"/>
          <w:sz w:val="22"/>
          <w:szCs w:val="22"/>
        </w:rPr>
        <w:t xml:space="preserve">Constantly changing: </w:t>
      </w:r>
      <w:r>
        <w:rPr>
          <w:rFonts w:ascii="Arial" w:cs="Arial" w:eastAsia="Arial" w:hAnsi="Arial"/>
          <w:color w:val="333333"/>
          <w:sz w:val="22"/>
          <w:szCs w:val="22"/>
        </w:rPr>
        <w:t xml:space="preserve">Regulatory updates are issued multiple times per year. Each change potentially requires code modifications across multiple services.</w:t>
      </w:r>
    </w:p>
    <w:p>
      <w:pPr>
        <w:spacing w:before="80" w:after="0"/>
      </w:pPr>
    </w:p>
    <w:p>
      <w:pPr>
        <w:pStyle w:val="Heading3"/>
        <w:spacing w:before="200" w:after="80"/>
      </w:pPr>
      <w:r>
        <w:rPr>
          <w:rFonts w:ascii="Arial" w:cs="Arial" w:eastAsia="Arial" w:hAnsi="Arial"/>
          <w:b/>
          <w:bCs/>
          <w:color w:val="1B2A4A"/>
          <w:sz w:val="24"/>
          <w:szCs w:val="24"/>
        </w:rPr>
        <w:t xml:space="preserve">Domain 3: The Gap Between Domains — The Real Problem</w:t>
      </w:r>
    </w:p>
    <w:p>
      <w:pPr>
        <w:spacing w:before="0" w:after="160" w:line="276" w:lineRule="auto"/>
      </w:pPr>
      <w:r>
        <w:rPr>
          <w:rFonts w:ascii="Arial" w:cs="Arial" w:eastAsia="Arial" w:hAnsi="Arial"/>
          <w:color w:val="333333"/>
          <w:sz w:val="22"/>
          <w:szCs w:val="22"/>
        </w:rPr>
        <w:t xml:space="preserve">The most painful problem is not in either domain alone — it's the gap between them. Compliance officers understand regulations but cannot read code. Engineers can read code but do not understand regulatory implications. The result is a slow, expensive, error-prone manual translation process:</w:t>
      </w:r>
    </w:p>
    <w:p>
      <w:pPr>
        <w:pStyle w:val="ListParagraph"/>
        <w:numPr>
          <w:ilvl w:val="0"/>
          <w:numId w:val="2"/>
        </w:numPr>
        <w:spacing w:before="0" w:after="100" w:line="276" w:lineRule="auto"/>
      </w:pPr>
      <w:r>
        <w:rPr>
          <w:rFonts w:ascii="Arial" w:cs="Arial" w:eastAsia="Arial" w:hAnsi="Arial"/>
          <w:color w:val="333333"/>
          <w:sz w:val="22"/>
          <w:szCs w:val="22"/>
        </w:rPr>
        <w:t xml:space="preserve">A compliance officer identifies a new regulatory requirement</w:t>
      </w:r>
    </w:p>
    <w:p>
      <w:pPr>
        <w:pStyle w:val="ListParagraph"/>
        <w:numPr>
          <w:ilvl w:val="0"/>
          <w:numId w:val="2"/>
        </w:numPr>
        <w:spacing w:before="0" w:after="100" w:line="276" w:lineRule="auto"/>
      </w:pPr>
      <w:r>
        <w:rPr>
          <w:rFonts w:ascii="Arial" w:cs="Arial" w:eastAsia="Arial" w:hAnsi="Arial"/>
          <w:color w:val="333333"/>
          <w:sz w:val="22"/>
          <w:szCs w:val="22"/>
        </w:rPr>
        <w:t xml:space="preserve">They write a memo explaining what needs to change</w:t>
      </w:r>
    </w:p>
    <w:p>
      <w:pPr>
        <w:pStyle w:val="ListParagraph"/>
        <w:numPr>
          <w:ilvl w:val="0"/>
          <w:numId w:val="2"/>
        </w:numPr>
        <w:spacing w:before="0" w:after="100" w:line="276" w:lineRule="auto"/>
      </w:pPr>
      <w:r>
        <w:rPr>
          <w:rFonts w:ascii="Arial" w:cs="Arial" w:eastAsia="Arial" w:hAnsi="Arial"/>
          <w:color w:val="333333"/>
          <w:sz w:val="22"/>
          <w:szCs w:val="22"/>
        </w:rPr>
        <w:t xml:space="preserve">The memo goes to a technical lead who translates it into engineering tasks</w:t>
      </w:r>
    </w:p>
    <w:p>
      <w:pPr>
        <w:pStyle w:val="ListParagraph"/>
        <w:numPr>
          <w:ilvl w:val="0"/>
          <w:numId w:val="2"/>
        </w:numPr>
        <w:spacing w:before="0" w:after="100" w:line="276" w:lineRule="auto"/>
      </w:pPr>
      <w:r>
        <w:rPr>
          <w:rFonts w:ascii="Arial" w:cs="Arial" w:eastAsia="Arial" w:hAnsi="Arial"/>
          <w:color w:val="333333"/>
          <w:sz w:val="22"/>
          <w:szCs w:val="22"/>
        </w:rPr>
        <w:t xml:space="preserve">Engineers investigate which code is affected — manually, using grep and documentation that may be outdated</w:t>
      </w:r>
    </w:p>
    <w:p>
      <w:pPr>
        <w:pStyle w:val="ListParagraph"/>
        <w:numPr>
          <w:ilvl w:val="0"/>
          <w:numId w:val="2"/>
        </w:numPr>
        <w:spacing w:before="0" w:after="100" w:line="276" w:lineRule="auto"/>
      </w:pPr>
      <w:r>
        <w:rPr>
          <w:rFonts w:ascii="Arial" w:cs="Arial" w:eastAsia="Arial" w:hAnsi="Arial"/>
          <w:color w:val="333333"/>
          <w:sz w:val="22"/>
          <w:szCs w:val="22"/>
        </w:rPr>
        <w:t xml:space="preserve">The change is made, often missing edge cases that only a full regulatory + code cross-reference would catch</w:t>
      </w:r>
    </w:p>
    <w:p>
      <w:pPr>
        <w:spacing w:before="0" w:after="160" w:line="276" w:lineRule="auto"/>
      </w:pPr>
      <w:r>
        <w:rPr>
          <w:rFonts w:ascii="Arial" w:cs="Arial" w:eastAsia="Arial" w:hAnsi="Arial"/>
          <w:b/>
          <w:bCs/>
          <w:color w:val="1B2A4A"/>
          <w:sz w:val="22"/>
          <w:szCs w:val="22"/>
        </w:rPr>
        <w:t xml:space="preserve">FinOps Sentinel eliminates this entire workflow </w:t>
      </w:r>
      <w:r>
        <w:rPr>
          <w:rFonts w:ascii="Arial" w:cs="Arial" w:eastAsia="Arial" w:hAnsi="Arial"/>
          <w:color w:val="333333"/>
          <w:sz w:val="22"/>
          <w:szCs w:val="22"/>
        </w:rPr>
        <w:t xml:space="preserve">by being the shared intelligence layer — understanding both the regulation and the code simultaneously.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9882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STAT</w:t>
            </w:r>
          </w:p>
        </w:tc>
        <w:tc>
          <w:tcPr>
            <w:tcW w:type="dxa" w:w="9160"/>
            <w:tcBorders>
              <w:top w:val="none" w:color="FFFFFF" w:sz="0"/>
              <w:left w:val="none" w:color="FFFFFF" w:sz="0"/>
              <w:bottom w:val="none" w:color="FFFFFF" w:sz="0"/>
              <w:right w:val="none" w:color="FFFFFF" w:sz="0"/>
            </w:tcBorders>
            <w:shd w:fill="FFF3CD" w:val="clear"/>
            <w:tcMar>
              <w:top w:type="dxa" w:w="100"/>
              <w:left w:type="dxa" w:w="180"/>
              <w:bottom w:type="dxa" w:w="100"/>
              <w:right w:type="dxa" w:w="180"/>
            </w:tcMar>
          </w:tcPr>
          <w:p>
            <w:r>
              <w:rPr>
                <w:rFonts w:ascii="Arial" w:cs="Arial" w:eastAsia="Arial" w:hAnsi="Arial"/>
                <w:color w:val="333333"/>
                <w:sz w:val="21"/>
                <w:szCs w:val="21"/>
              </w:rPr>
              <w:t xml:space="preserve">According to Accenture's 2024 Compliance Risk Study, FinTech firms spend an average of $10,000 per employee per year on compliance operations. For a 200-person engineering org, that is $2M/year — much of which is manual cross-referencing of the kind FinOps Sentinel automates.</w:t>
            </w:r>
          </w:p>
        </w:tc>
      </w:tr>
    </w:tbl>
    <w:p>
      <w:pPr>
        <w:spacing w:before="100" w:after="0"/>
      </w:pPr>
    </w:p>
    <w:p>
      <w:pPr>
        <w:pStyle w:val="Heading2"/>
        <w:spacing w:before="280" w:after="100"/>
      </w:pPr>
      <w:r>
        <w:rPr>
          <w:rFonts w:ascii="Arial" w:cs="Arial" w:eastAsia="Arial" w:hAnsi="Arial"/>
          <w:b/>
          <w:bCs/>
          <w:color w:val="006D77"/>
          <w:sz w:val="28"/>
          <w:szCs w:val="28"/>
        </w:rPr>
        <w:t xml:space="preserve">1.3  Our Solution — How FinOps Sentinel Works</w:t>
      </w:r>
    </w:p>
    <w:p>
      <w:pPr>
        <w:spacing w:before="0" w:after="160" w:line="276" w:lineRule="auto"/>
      </w:pPr>
      <w:r>
        <w:rPr>
          <w:rFonts w:ascii="Arial" w:cs="Arial" w:eastAsia="Arial" w:hAnsi="Arial"/>
          <w:color w:val="333333"/>
          <w:sz w:val="22"/>
          <w:szCs w:val="22"/>
        </w:rPr>
        <w:t xml:space="preserve">FinOps Sentinel ingests two separate but linked knowledge corpora and deploys a multi-agent system to reason across them:</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Corpus A: Code</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GitHub repos ingested via API. Code chunked at function and module level using AST parsing (tree-sitter). Embedded with a code-specific model (CodeBERT or nomic-embed-code). Stored in Chroma namespace: 'codebase'.</w:t>
            </w:r>
          </w:p>
        </w:tc>
      </w:tr>
      <w:tr>
        <w:tc>
          <w:tcPr>
            <w:tcW w:type="dxa" w:w="28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Corpus B: Compliance</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Regulatory PDFs, SEC filings, internal compliance policies ingested via LlamaIndex. Chunked by regulation section. Embedded with sentence-transformers. Stored in Chroma namespace: 'compliance'.</w:t>
            </w:r>
          </w:p>
        </w:tc>
      </w:tr>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Query Router</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LangGraph supervisor agent classifies every incoming query as CODE / COMPLIANCE / HYBRID and routes to the appropriate retrieval pipeline(s).</w:t>
            </w:r>
          </w:p>
        </w:tc>
      </w:tr>
      <w:tr>
        <w:tc>
          <w:tcPr>
            <w:tcW w:type="dxa" w:w="28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Dual Retrieval</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Hybrid BM25 + vector retrieval runs independently on each corpus. A reranker (Cohere Rerank or FlashRank) scores combined results.</w:t>
            </w:r>
          </w:p>
        </w:tc>
      </w:tr>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Synthesis Agent</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For HYBRID queries, a dedicated synthesis agent merges findings from both corpora into a single coherent, source-attributed answer.</w:t>
            </w:r>
          </w:p>
        </w:tc>
      </w:tr>
      <w:tr>
        <w:tc>
          <w:tcPr>
            <w:tcW w:type="dxa" w:w="28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Evaluation Layer</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RAGAS and DeepEval run continuously. Every answer is scored for faithfulness, context precision, and hallucination rate. Scores are logged to a dashboard.</w:t>
            </w:r>
          </w:p>
        </w:tc>
      </w:tr>
    </w:tbl>
    <w:p>
      <w:pPr>
        <w:spacing w:before="100" w:after="0"/>
      </w:pPr>
    </w:p>
    <w:p>
      <w:pPr>
        <w:pStyle w:val="Heading2"/>
        <w:spacing w:before="280" w:after="100"/>
      </w:pPr>
      <w:r>
        <w:rPr>
          <w:rFonts w:ascii="Arial" w:cs="Arial" w:eastAsia="Arial" w:hAnsi="Arial"/>
          <w:b/>
          <w:bCs/>
          <w:color w:val="006D77"/>
          <w:sz w:val="28"/>
          <w:szCs w:val="28"/>
        </w:rPr>
        <w:t xml:space="preserve">1.4  Why the Financial Domain?</w:t>
      </w:r>
    </w:p>
    <w:p>
      <w:pPr>
        <w:spacing w:before="0" w:after="160" w:line="276" w:lineRule="auto"/>
      </w:pPr>
      <w:r>
        <w:rPr>
          <w:rFonts w:ascii="Arial" w:cs="Arial" w:eastAsia="Arial" w:hAnsi="Arial"/>
          <w:color w:val="333333"/>
          <w:sz w:val="22"/>
          <w:szCs w:val="22"/>
        </w:rPr>
        <w:t xml:space="preserve">This is a question I will be asked in every interview — and the answer must be genuine and data-backed.</w:t>
      </w:r>
    </w:p>
    <w:p>
      <w:pPr>
        <w:pStyle w:val="ListParagraph"/>
        <w:numPr>
          <w:ilvl w:val="0"/>
          <w:numId w:val="2"/>
        </w:numPr>
        <w:spacing w:before="0" w:after="100" w:line="276" w:lineRule="auto"/>
      </w:pPr>
      <w:r>
        <w:rPr>
          <w:rFonts w:ascii="Arial" w:cs="Arial" w:eastAsia="Arial" w:hAnsi="Arial"/>
          <w:b/>
          <w:bCs/>
          <w:color w:val="1B2A4A"/>
          <w:sz w:val="22"/>
          <w:szCs w:val="22"/>
        </w:rPr>
        <w:t xml:space="preserve">Highest salary ceiling for freshers: </w:t>
      </w:r>
      <w:r>
        <w:rPr>
          <w:rFonts w:ascii="Arial" w:cs="Arial" w:eastAsia="Arial" w:hAnsi="Arial"/>
          <w:color w:val="333333"/>
          <w:sz w:val="22"/>
          <w:szCs w:val="22"/>
        </w:rPr>
        <w:t xml:space="preserve">Finance and RegTech AI roles at banks and FinTech companies offer $110,000–$150,000 base for engineers who demonstrate domain knowledge alongside LLM skills. This is 20–30% above equivalent roles in other sectors.</w:t>
      </w:r>
    </w:p>
    <w:p>
      <w:pPr>
        <w:pStyle w:val="ListParagraph"/>
        <w:numPr>
          <w:ilvl w:val="0"/>
          <w:numId w:val="2"/>
        </w:numPr>
        <w:spacing w:before="0" w:after="100" w:line="276" w:lineRule="auto"/>
      </w:pPr>
      <w:r>
        <w:rPr>
          <w:rFonts w:ascii="Arial" w:cs="Arial" w:eastAsia="Arial" w:hAnsi="Arial"/>
          <w:b/>
          <w:bCs/>
          <w:color w:val="1B2A4A"/>
          <w:sz w:val="22"/>
          <w:szCs w:val="22"/>
        </w:rPr>
        <w:t xml:space="preserve">Scarcity of domain-aware AI engineers: </w:t>
      </w:r>
      <w:r>
        <w:rPr>
          <w:rFonts w:ascii="Arial" w:cs="Arial" w:eastAsia="Arial" w:hAnsi="Arial"/>
          <w:color w:val="333333"/>
          <w:sz w:val="22"/>
          <w:szCs w:val="22"/>
        </w:rPr>
        <w:t xml:space="preserve">Over 75% of AI job listings in financial services require domain expertise. Most AI engineers build generic systems. Building a finance-specific, compliance-aware AI system immediately differentiates from 90% of portfolio candidates.</w:t>
      </w:r>
    </w:p>
    <w:p>
      <w:pPr>
        <w:pStyle w:val="ListParagraph"/>
        <w:numPr>
          <w:ilvl w:val="0"/>
          <w:numId w:val="2"/>
        </w:numPr>
        <w:spacing w:before="0" w:after="100" w:line="276" w:lineRule="auto"/>
      </w:pPr>
      <w:r>
        <w:rPr>
          <w:rFonts w:ascii="Arial" w:cs="Arial" w:eastAsia="Arial" w:hAnsi="Arial"/>
          <w:b/>
          <w:bCs/>
          <w:color w:val="1B2A4A"/>
          <w:sz w:val="22"/>
          <w:szCs w:val="22"/>
        </w:rPr>
        <w:t xml:space="preserve">Real enterprise pain, real budget: </w:t>
      </w:r>
      <w:r>
        <w:rPr>
          <w:rFonts w:ascii="Arial" w:cs="Arial" w:eastAsia="Arial" w:hAnsi="Arial"/>
          <w:color w:val="333333"/>
          <w:sz w:val="22"/>
          <w:szCs w:val="22"/>
        </w:rPr>
        <w:t xml:space="preserve">Financial services firms collectively spend over $270 billion per year on compliance. They have the budget and the urgency to adopt tools that reduce this cost.</w:t>
      </w:r>
    </w:p>
    <w:p>
      <w:pPr>
        <w:pStyle w:val="ListParagraph"/>
        <w:numPr>
          <w:ilvl w:val="0"/>
          <w:numId w:val="2"/>
        </w:numPr>
        <w:spacing w:before="0" w:after="100" w:line="276" w:lineRule="auto"/>
      </w:pPr>
      <w:r>
        <w:rPr>
          <w:rFonts w:ascii="Arial" w:cs="Arial" w:eastAsia="Arial" w:hAnsi="Arial"/>
          <w:b/>
          <w:bCs/>
          <w:color w:val="1B2A4A"/>
          <w:sz w:val="22"/>
          <w:szCs w:val="22"/>
        </w:rPr>
        <w:t xml:space="preserve">Emerging regulatory pressure (2025–2026): </w:t>
      </w:r>
      <w:r>
        <w:rPr>
          <w:rFonts w:ascii="Arial" w:cs="Arial" w:eastAsia="Arial" w:hAnsi="Arial"/>
          <w:color w:val="333333"/>
          <w:sz w:val="22"/>
          <w:szCs w:val="22"/>
        </w:rPr>
        <w:t xml:space="preserve">DORA (effective January 2025), the EU AI Act, and updated SEC cybersecurity disclosure rules all require new technical capabilities that financial engineering teams are scrambling to build. FinOps Sentinel directly addresses all three.</w:t>
      </w:r>
    </w:p>
    <w:p>
      <w:pPr>
        <w:pStyle w:val="ListParagraph"/>
        <w:numPr>
          <w:ilvl w:val="0"/>
          <w:numId w:val="2"/>
        </w:numPr>
        <w:spacing w:before="0" w:after="100" w:line="276" w:lineRule="auto"/>
      </w:pPr>
      <w:r>
        <w:rPr>
          <w:rFonts w:ascii="Arial" w:cs="Arial" w:eastAsia="Arial" w:hAnsi="Arial"/>
          <w:b/>
          <w:bCs/>
          <w:color w:val="1B2A4A"/>
          <w:sz w:val="22"/>
          <w:szCs w:val="22"/>
        </w:rPr>
        <w:t xml:space="preserve">Personal conviction: </w:t>
      </w:r>
      <w:r>
        <w:rPr>
          <w:rFonts w:ascii="Arial" w:cs="Arial" w:eastAsia="Arial" w:hAnsi="Arial"/>
          <w:color w:val="333333"/>
          <w:sz w:val="22"/>
          <w:szCs w:val="22"/>
        </w:rPr>
        <w:t xml:space="preserve">The combination of software systems and financial regulation is intellectually interesting and practically impactful. This is not a generic demo — it is a system I would actually use if I were a FinTech engineer.</w:t>
      </w:r>
    </w:p>
    <w:p>
      <w:pPr>
        <w:spacing w:before="80" w:after="0"/>
      </w:pPr>
    </w:p>
    <w:p>
      <w:pPr>
        <w:pStyle w:val="Heading2"/>
        <w:spacing w:before="280" w:after="100"/>
      </w:pPr>
      <w:r>
        <w:rPr>
          <w:rFonts w:ascii="Arial" w:cs="Arial" w:eastAsia="Arial" w:hAnsi="Arial"/>
          <w:b/>
          <w:bCs/>
          <w:color w:val="006D77"/>
          <w:sz w:val="28"/>
          <w:szCs w:val="28"/>
        </w:rPr>
        <w:t xml:space="preserve">1.5  Target Users &amp; Impact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Primary: FinTech Engineering Teams</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50–500 engineers at banks, trading platforms, payment processors (Stripe, Revolut, Wise). Daily use for code Q&amp;A, compliance mapping, change impact analysis.</w:t>
            </w:r>
          </w:p>
        </w:tc>
      </w:tr>
      <w:tr>
        <w:tc>
          <w:tcPr>
            <w:tcW w:type="dxa" w:w="28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Secondary: Compliance Officers</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Use the compliance corpus to instantly query regulations, compare versions, check which regulations apply to a given system. Replaces manual document search.</w:t>
            </w:r>
          </w:p>
        </w:tc>
      </w:tr>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Tertiary: Technical Leads / Architects</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Onboarding new engineers, refactoring legacy systems, preparing for compliance audits.</w:t>
            </w:r>
          </w:p>
        </w:tc>
      </w:tr>
      <w:tr>
        <w:tc>
          <w:tcPr>
            <w:tcW w:type="dxa" w:w="28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Enterprise: Banks &amp; Insurers</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Internal deployment (on-prem Ollama mode) for organizations that cannot send code or financial data to cloud APIs. SOC 2 compliance path.</w:t>
            </w:r>
          </w:p>
        </w:tc>
      </w:tr>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Individual: Freelance RegTech Consultants</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Solo practitioners who consult on compliance and need a tool to rapidly audit client codebases against specific regulations.</w:t>
            </w:r>
          </w:p>
        </w:tc>
      </w:tr>
    </w:tbl>
    <w:p>
      <w:pPr>
        <w:spacing w:before="80" w:after="0"/>
      </w:pPr>
    </w:p>
    <w:p>
      <w:pPr>
        <w:pStyle w:val="Heading2"/>
        <w:spacing w:before="280" w:after="100"/>
      </w:pPr>
      <w:r>
        <w:rPr>
          <w:rFonts w:ascii="Arial" w:cs="Arial" w:eastAsia="Arial" w:hAnsi="Arial"/>
          <w:b/>
          <w:bCs/>
          <w:color w:val="006D77"/>
          <w:sz w:val="28"/>
          <w:szCs w:val="28"/>
        </w:rPr>
        <w:t xml:space="preserve">1.6  Monetization Path (Future SaaS)</w:t>
      </w:r>
    </w:p>
    <w:p>
      <w:pPr>
        <w:spacing w:before="0" w:after="160" w:line="276" w:lineRule="auto"/>
      </w:pPr>
      <w:r>
        <w:rPr>
          <w:rFonts w:ascii="Arial" w:cs="Arial" w:eastAsia="Arial" w:hAnsi="Arial"/>
          <w:color w:val="333333"/>
          <w:sz w:val="22"/>
          <w:szCs w:val="22"/>
        </w:rPr>
        <w:t xml:space="preserve">Note: Monetization is a future goal, not the current focus. The priority is building a portfolio-grade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Free Tier</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1 connected repo, public compliance docs only, 50 queries/month. Designed for individual engineers to try the tool.</w:t>
            </w:r>
          </w:p>
        </w:tc>
      </w:tr>
      <w:tr>
        <w:tc>
          <w:tcPr>
            <w:tcW w:type="dxa" w:w="28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Pro — $49/month</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5 repos, full regulatory corpus, unlimited queries, compliance gap report exports. Target: individual engineers and small dev teams.</w:t>
            </w:r>
          </w:p>
        </w:tc>
      </w:tr>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Team — $199/month</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25 repos, team dashboard, Slack integration, change-impact alerts. Target: mid-size FinTech startups.</w:t>
            </w:r>
          </w:p>
        </w:tc>
      </w:tr>
      <w:tr>
        <w:tc>
          <w:tcPr>
            <w:tcW w:type="dxa" w:w="28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Enterprise — $1,500–$5,000/month</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Unlimited repos, on-prem Ollama deployment option, SSO, audit logs, custom regulatory corpus, dedicated support. Target: banks and regulated institutions.</w:t>
            </w:r>
          </w:p>
        </w:tc>
      </w:tr>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One-Time Setup</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$3,000–$10,000 implementation fee for enterprise corpus ingestion and custom regulatory mapping. Immediate revenue without subscription lag.</w:t>
            </w:r>
          </w:p>
        </w:tc>
      </w:tr>
      <w:tr>
        <w:tc>
          <w:tcPr>
            <w:tcW w:type="dxa" w:w="28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Long-term API</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Expose the cross-corpus reasoning API for other RegTech tools to build on. B2B API licensing at $0.02–0.05 per query at scale.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2A4A" w:val="clear"/>
            <w:tcMar>
              <w:top w:type="dxa" w:w="140"/>
              <w:left w:type="dxa" w:w="140"/>
              <w:bottom w:type="dxa" w:w="140"/>
              <w:right w:type="dxa" w:w="140"/>
            </w:tcMar>
            <w:vAlign w:val="center"/>
          </w:tcPr>
          <w:p>
            <w:pPr>
              <w:jc w:val="center"/>
            </w:pPr>
            <w:r>
              <w:rPr>
                <w:rFonts w:ascii="Arial" w:cs="Arial" w:eastAsia="Arial" w:hAnsi="Arial"/>
                <w:b/>
                <w:bCs/>
                <w:color w:val="C9882A"/>
                <w:sz w:val="32"/>
                <w:szCs w:val="32"/>
              </w:rPr>
              <w:t xml:space="preserve">02</w:t>
            </w:r>
          </w:p>
        </w:tc>
        <w:tc>
          <w:tcPr>
            <w:tcW w:type="dxa" w:w="8560"/>
            <w:tcBorders>
              <w:top w:val="none" w:color="FFFFFF" w:sz="0"/>
              <w:left w:val="none" w:color="FFFFFF" w:sz="0"/>
              <w:bottom w:val="none" w:color="FFFFFF" w:sz="0"/>
              <w:right w:val="none" w:color="FFFFFF" w:sz="0"/>
            </w:tcBorders>
            <w:shd w:fill="006D77" w:val="clear"/>
            <w:tcMar>
              <w:top w:type="dxa" w:w="140"/>
              <w:left w:type="dxa" w:w="220"/>
              <w:bottom w:type="dxa" w:w="140"/>
              <w:right w:type="dxa" w:w="140"/>
            </w:tcMar>
            <w:vAlign w:val="center"/>
          </w:tcPr>
          <w:p>
            <w:r>
              <w:rPr>
                <w:rFonts w:ascii="Arial" w:cs="Arial" w:eastAsia="Arial" w:hAnsi="Arial"/>
                <w:b/>
                <w:bCs/>
                <w:color w:val="FFFFFF"/>
                <w:sz w:val="28"/>
                <w:szCs w:val="28"/>
              </w:rPr>
              <w:t xml:space="preserve">Requirements &amp; Full Tech Stack</w:t>
            </w:r>
          </w:p>
        </w:tc>
      </w:tr>
    </w:tbl>
    <w:p>
      <w:pPr>
        <w:spacing w:before="200" w:after="0"/>
      </w:pPr>
    </w:p>
    <w:p>
      <w:pPr>
        <w:pStyle w:val="Heading2"/>
        <w:spacing w:before="280" w:after="100"/>
      </w:pPr>
      <w:r>
        <w:rPr>
          <w:rFonts w:ascii="Arial" w:cs="Arial" w:eastAsia="Arial" w:hAnsi="Arial"/>
          <w:b/>
          <w:bCs/>
          <w:color w:val="006D77"/>
          <w:sz w:val="28"/>
          <w:szCs w:val="28"/>
        </w:rPr>
        <w:t xml:space="preserve">2.1  Hardware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Development Machine — CPU</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Any modern CPU (Intel i5/i7/i9, AMD Ryzen 5/7/9, Apple M1/M2/M3). No GPU required for API-based models.</w:t>
            </w:r>
          </w:p>
        </w:tc>
      </w:tr>
      <w:tr>
        <w:tc>
          <w:tcPr>
            <w:tcW w:type="dxa" w:w="28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Development Machine — RAM</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Minimum 16 GB RAM recommended. 8 GB workable but slower. 32 GB ideal for running Ollama local models simultaneously.</w:t>
            </w:r>
          </w:p>
        </w:tc>
      </w:tr>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Development Machine — Storage</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Minimum 20 GB free disk space. 50 GB recommended for Chroma vector stores, model caches, and Docker images.</w:t>
            </w:r>
          </w:p>
        </w:tc>
      </w:tr>
      <w:tr>
        <w:tc>
          <w:tcPr>
            <w:tcW w:type="dxa" w:w="28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GPU (Optional)</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NVIDIA GPU with 8 GB+ VRAM if running Ollama local models (llama3, mistral) for the privacy mode. Not required if using OpenAI/Anthropic APIs.</w:t>
            </w:r>
          </w:p>
        </w:tc>
      </w:tr>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Internet Connection</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Required for API calls (OpenAI, Cohere, Pinecone). Minimum 10 Mbps. Not required for full local mode.</w:t>
            </w:r>
          </w:p>
        </w:tc>
      </w:tr>
      <w:tr>
        <w:tc>
          <w:tcPr>
            <w:tcW w:type="dxa" w:w="28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Cloud Server (Phase 4)</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2 vCPU, 4 GB RAM instance on Render, Railway, or DigitalOcean ($7–$25/month). Free tiers available on Render for initial deployment.</w:t>
            </w:r>
          </w:p>
        </w:tc>
      </w:tr>
    </w:tbl>
    <w:p>
      <w:pPr>
        <w:spacing w:before="80" w:after="0"/>
      </w:pPr>
    </w:p>
    <w:p>
      <w:pPr>
        <w:pStyle w:val="Heading2"/>
        <w:spacing w:before="280" w:after="100"/>
      </w:pPr>
      <w:r>
        <w:rPr>
          <w:rFonts w:ascii="Arial" w:cs="Arial" w:eastAsia="Arial" w:hAnsi="Arial"/>
          <w:b/>
          <w:bCs/>
          <w:color w:val="006D77"/>
          <w:sz w:val="28"/>
          <w:szCs w:val="28"/>
        </w:rPr>
        <w:t xml:space="preserve">2.2  Software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Operating System</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macOS 12+, Ubuntu 20.04+, or Windows 11 with WSL2. All commands in this document use Unix syntax.</w:t>
            </w:r>
          </w:p>
        </w:tc>
      </w:tr>
      <w:tr>
        <w:tc>
          <w:tcPr>
            <w:tcW w:type="dxa" w:w="28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Python</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3.11.x (NOT 3.12 — LangChain and some LlamaIndex dependencies have known 3.12 issues as of March 2026). Use pyenv for version management.</w:t>
            </w:r>
          </w:p>
        </w:tc>
      </w:tr>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Node.js</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18.x LTS (required for some tooling and future frontend work). Use nvm for version management.</w:t>
            </w:r>
          </w:p>
        </w:tc>
      </w:tr>
      <w:tr>
        <w:tc>
          <w:tcPr>
            <w:tcW w:type="dxa" w:w="28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Git</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2.40+ — for version control and GitHub integration. GitHub account required with SSH key configured.</w:t>
            </w:r>
          </w:p>
        </w:tc>
      </w:tr>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Docker Desktop</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Latest stable — for containerization in Phase 4. Docker Compose v2 included.</w:t>
            </w:r>
          </w:p>
        </w:tc>
      </w:tr>
      <w:tr>
        <w:tc>
          <w:tcPr>
            <w:tcW w:type="dxa" w:w="28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VS Code</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Latest — recommended IDE. Extensions: Python, Pylance, Docker, GitLens, GitHub Copilot (optional).</w:t>
            </w:r>
          </w:p>
        </w:tc>
      </w:tr>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GitHub Account</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Free tier sufficient. Will need personal access token for repo API calls in Phase 3.</w:t>
            </w:r>
          </w:p>
        </w:tc>
      </w:tr>
      <w:tr>
        <w:tc>
          <w:tcPr>
            <w:tcW w:type="dxa" w:w="28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Postman or Bruno</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For testing FastAPI endpoints. Bruno is open-source and recommended.</w:t>
            </w:r>
          </w:p>
        </w:tc>
      </w:tr>
    </w:tbl>
    <w:p>
      <w:pPr>
        <w:spacing w:before="80" w:after="0"/>
      </w:pPr>
    </w:p>
    <w:p>
      <w:pPr>
        <w:pStyle w:val="Heading2"/>
        <w:spacing w:before="280" w:after="100"/>
      </w:pPr>
      <w:r>
        <w:rPr>
          <w:rFonts w:ascii="Arial" w:cs="Arial" w:eastAsia="Arial" w:hAnsi="Arial"/>
          <w:b/>
          <w:bCs/>
          <w:color w:val="006D77"/>
          <w:sz w:val="28"/>
          <w:szCs w:val="28"/>
        </w:rPr>
        <w:t xml:space="preserve">2.3  External API Accounts (Free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OpenAI API</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GPT-4o-mini for primary LLM (cost-efficient at ~$0.15/1M input tokens). gpt-4o for complex synthesis tasks. Free $5 credit on signup.</w:t>
            </w:r>
          </w:p>
        </w:tc>
      </w:tr>
      <w:tr>
        <w:tc>
          <w:tcPr>
            <w:tcW w:type="dxa" w:w="28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Cohere API</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For Cohere Rerank v3 (reranking retrieved chunks). Free tier: 1,000 API calls/month. Significantly improves retrieval precision.</w:t>
            </w:r>
          </w:p>
        </w:tc>
      </w:tr>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Pinecone</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Free tier: 1 index, 100,000 vectors — sufficient for Phase 1–2. Alternative to Chroma for cloud-hosted vector store.</w:t>
            </w:r>
          </w:p>
        </w:tc>
      </w:tr>
      <w:tr>
        <w:tc>
          <w:tcPr>
            <w:tcW w:type="dxa" w:w="28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LangSmith</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Free tier: 5,000 traces/month. Used for LangGraph agent observability, tracing, and debugging.</w:t>
            </w:r>
          </w:p>
        </w:tc>
      </w:tr>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Anthropic API (Optional)</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Claude 3.5 Sonnet as alternative LLM for specific tasks. Optional but recommended to test multi-model pipelines.</w:t>
            </w:r>
          </w:p>
        </w:tc>
      </w:tr>
      <w:tr>
        <w:tc>
          <w:tcPr>
            <w:tcW w:type="dxa" w:w="28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Supabase</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Free tier: 500 MB database, 50,000 monthly active users. Used for auth, user management, and query analytics in Phase 4.</w:t>
            </w:r>
          </w:p>
        </w:tc>
      </w:tr>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GitHub OAuth App</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Free — for allowing users to connect their repositories to FinOps Sentinel in Phase 3–4.</w:t>
            </w:r>
          </w:p>
        </w:tc>
      </w:tr>
      <w:tr>
        <w:tc>
          <w:tcPr>
            <w:tcW w:type="dxa" w:w="28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Render / Railway</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Free tier deployment. Render free tier sleeps after 15 min inactivity (fine for demo). Railway gives $5/month free credit.</w:t>
            </w:r>
          </w:p>
        </w:tc>
      </w:tr>
    </w:tbl>
    <w:p>
      <w:pPr>
        <w:spacing w:before="80" w:after="0"/>
      </w:pPr>
    </w:p>
    <w:p>
      <w:pPr>
        <w:pStyle w:val="Heading2"/>
        <w:spacing w:before="280" w:after="100"/>
      </w:pPr>
      <w:r>
        <w:rPr>
          <w:rFonts w:ascii="Arial" w:cs="Arial" w:eastAsia="Arial" w:hAnsi="Arial"/>
          <w:b/>
          <w:bCs/>
          <w:color w:val="006D77"/>
          <w:sz w:val="28"/>
          <w:szCs w:val="28"/>
        </w:rPr>
        <w:t xml:space="preserve">2.4  Full Tech Stack with Justifications</w:t>
      </w:r>
    </w:p>
    <w:p>
      <w:pPr>
        <w:spacing w:before="0" w:after="160" w:line="276" w:lineRule="auto"/>
      </w:pPr>
      <w:r>
        <w:rPr>
          <w:rFonts w:ascii="Arial" w:cs="Arial" w:eastAsia="Arial" w:hAnsi="Arial"/>
          <w:color w:val="333333"/>
          <w:sz w:val="22"/>
          <w:szCs w:val="22"/>
        </w:rPr>
        <w:t xml:space="preserve">Each tool was selected after evaluating the alternatives. The 'Why This' column explains the decision rationale — memorize this for interviews.</w:t>
      </w:r>
    </w:p>
    <w:p>
      <w:pPr>
        <w:spacing w:before="80" w:after="0"/>
      </w:pPr>
    </w:p>
    <w:p>
      <w:pPr>
        <w:pStyle w:val="Heading3"/>
        <w:spacing w:before="200" w:after="80"/>
      </w:pPr>
      <w:r>
        <w:rPr>
          <w:rFonts w:ascii="Arial" w:cs="Arial" w:eastAsia="Arial" w:hAnsi="Arial"/>
          <w:b/>
          <w:bCs/>
          <w:color w:val="1B2A4A"/>
          <w:sz w:val="24"/>
          <w:szCs w:val="24"/>
        </w:rPr>
        <w:t xml:space="preserve">2.4.1  Core AI / LLM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800"/>
        <w:gridCol w:w="3000"/>
        <w:gridCol w:w="1860"/>
      </w:tblGrid>
      <w:tr>
        <w:tc>
          <w:tcPr>
            <w:tcW w:type="dxa" w:w="16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Tool / Library</w:t>
            </w:r>
          </w:p>
        </w:tc>
        <w:tc>
          <w:tcPr>
            <w:tcW w:type="dxa" w:w="11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18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30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Why This Over Alternatives</w:t>
            </w:r>
          </w:p>
        </w:tc>
        <w:tc>
          <w:tcPr>
            <w:tcW w:type="dxa" w:w="186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Alternative Considered</w:t>
            </w:r>
          </w:p>
        </w:tc>
      </w:tr>
      <w:tr>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006D77"/>
                <w:sz w:val="22"/>
                <w:szCs w:val="22"/>
              </w:rPr>
              <w:t xml:space="preserve">LangChain</w:t>
            </w:r>
          </w:p>
        </w:tc>
        <w:tc>
          <w:tcPr>
            <w:tcW w:type="dxa" w:w="11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0.3.x</w:t>
            </w:r>
          </w:p>
        </w:tc>
        <w:tc>
          <w:tcPr>
            <w:tcW w:type="dxa" w:w="18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 orchestration, chains, tool wrappers</w:t>
            </w:r>
          </w:p>
        </w:tc>
        <w:tc>
          <w:tcPr>
            <w:tcW w:type="dxa" w:w="30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Most mature ecosystem, largest community, best LangSmith integration, thousands of pre-built integrations. Battle-tested in production.</w:t>
            </w:r>
          </w:p>
        </w:tc>
        <w:tc>
          <w:tcPr>
            <w:tcW w:type="dxa" w:w="18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LlamaIndex (used for indexing)</w:t>
            </w:r>
          </w:p>
        </w:tc>
      </w:tr>
      <w:tr>
        <w:tc>
          <w:tcPr>
            <w:tcW w:type="dxa" w:w="16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bCs/>
                <w:color w:val="006D77"/>
                <w:sz w:val="22"/>
                <w:szCs w:val="22"/>
              </w:rPr>
              <w:t xml:space="preserve">LlamaIndex</w:t>
            </w:r>
          </w:p>
        </w:tc>
        <w:tc>
          <w:tcPr>
            <w:tcW w:type="dxa" w:w="11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6B7280"/>
                <w:sz w:val="20"/>
                <w:szCs w:val="20"/>
              </w:rPr>
              <w:t xml:space="preserve">0.10.x</w:t>
            </w:r>
          </w:p>
        </w:tc>
        <w:tc>
          <w:tcPr>
            <w:tcW w:type="dxa" w:w="18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0"/>
                <w:szCs w:val="20"/>
              </w:rPr>
              <w:t xml:space="preserve">Document ingestion, indexing, node parsing</w:t>
            </w:r>
          </w:p>
        </w:tc>
        <w:tc>
          <w:tcPr>
            <w:tcW w:type="dxa" w:w="30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0"/>
                <w:szCs w:val="20"/>
              </w:rPr>
              <w:t xml:space="preserve">Superior document parsing pipeline vs LangChain. Better hierarchical node parsing for code and structured PDFs. Both are used: LlamaIndex for ingestion, LangChain for agents.</w:t>
            </w:r>
          </w:p>
        </w:tc>
        <w:tc>
          <w:tcPr>
            <w:tcW w:type="dxa" w:w="186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6B7280"/>
                <w:sz w:val="20"/>
                <w:szCs w:val="20"/>
              </w:rPr>
              <w:t xml:space="preserve">LangChain for everything</w:t>
            </w:r>
          </w:p>
        </w:tc>
      </w:tr>
      <w:tr>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006D77"/>
                <w:sz w:val="22"/>
                <w:szCs w:val="22"/>
              </w:rPr>
              <w:t xml:space="preserve">LangGraph</w:t>
            </w:r>
          </w:p>
        </w:tc>
        <w:tc>
          <w:tcPr>
            <w:tcW w:type="dxa" w:w="11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0.2.x</w:t>
            </w:r>
          </w:p>
        </w:tc>
        <w:tc>
          <w:tcPr>
            <w:tcW w:type="dxa" w:w="18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Multi-agent orchestration, state machines</w:t>
            </w:r>
          </w:p>
        </w:tc>
        <w:tc>
          <w:tcPr>
            <w:tcW w:type="dxa" w:w="30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Only production-ready framework for stateful multi-agent graphs. Built on LangChain. Supports cycles, parallel execution, human-in-the-loop. LangGraph Cloud for deployment.</w:t>
            </w:r>
          </w:p>
        </w:tc>
        <w:tc>
          <w:tcPr>
            <w:tcW w:type="dxa" w:w="18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AutoGen, CrewAI</w:t>
            </w:r>
          </w:p>
        </w:tc>
      </w:tr>
      <w:tr>
        <w:tc>
          <w:tcPr>
            <w:tcW w:type="dxa" w:w="16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bCs/>
                <w:color w:val="006D77"/>
                <w:sz w:val="22"/>
                <w:szCs w:val="22"/>
              </w:rPr>
              <w:t xml:space="preserve">GPT-4o-mini</w:t>
            </w:r>
          </w:p>
        </w:tc>
        <w:tc>
          <w:tcPr>
            <w:tcW w:type="dxa" w:w="11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6B7280"/>
                <w:sz w:val="20"/>
                <w:szCs w:val="20"/>
              </w:rPr>
              <w:t xml:space="preserve">API</w:t>
            </w:r>
          </w:p>
        </w:tc>
        <w:tc>
          <w:tcPr>
            <w:tcW w:type="dxa" w:w="18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0"/>
                <w:szCs w:val="20"/>
              </w:rPr>
              <w:t xml:space="preserve">Primary LLM for retrieval, Q&amp;A</w:t>
            </w:r>
          </w:p>
        </w:tc>
        <w:tc>
          <w:tcPr>
            <w:tcW w:type="dxa" w:w="30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0"/>
                <w:szCs w:val="20"/>
              </w:rPr>
              <w:t xml:space="preserve">Best cost-to-performance ratio at $0.15/1M input tokens. Fast (&lt; 1s latency). Sufficient for 90% of tasks. gpt-4o reserved for synthesis.</w:t>
            </w:r>
          </w:p>
        </w:tc>
        <w:tc>
          <w:tcPr>
            <w:tcW w:type="dxa" w:w="186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6B7280"/>
                <w:sz w:val="20"/>
                <w:szCs w:val="20"/>
              </w:rPr>
              <w:t xml:space="preserve">Claude 3 Haiku, Llama3</w:t>
            </w:r>
          </w:p>
        </w:tc>
      </w:tr>
      <w:tr>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006D77"/>
                <w:sz w:val="22"/>
                <w:szCs w:val="22"/>
              </w:rPr>
              <w:t xml:space="preserve">GPT-4o</w:t>
            </w:r>
          </w:p>
        </w:tc>
        <w:tc>
          <w:tcPr>
            <w:tcW w:type="dxa" w:w="11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API</w:t>
            </w:r>
          </w:p>
        </w:tc>
        <w:tc>
          <w:tcPr>
            <w:tcW w:type="dxa" w:w="18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Complex cross-corpus synthesis</w:t>
            </w:r>
          </w:p>
        </w:tc>
        <w:tc>
          <w:tcPr>
            <w:tcW w:type="dxa" w:w="30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Superior reasoning for multi-document synthesis. Used only for final answer generation to control cost. ~10% of queries.</w:t>
            </w:r>
          </w:p>
        </w:tc>
        <w:tc>
          <w:tcPr>
            <w:tcW w:type="dxa" w:w="18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Claude 3.5 Sonnet</w:t>
            </w:r>
          </w:p>
        </w:tc>
      </w:tr>
      <w:tr>
        <w:tc>
          <w:tcPr>
            <w:tcW w:type="dxa" w:w="16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bCs/>
                <w:color w:val="006D77"/>
                <w:sz w:val="22"/>
                <w:szCs w:val="22"/>
              </w:rPr>
              <w:t xml:space="preserve">Ollama</w:t>
            </w:r>
          </w:p>
        </w:tc>
        <w:tc>
          <w:tcPr>
            <w:tcW w:type="dxa" w:w="11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6B7280"/>
                <w:sz w:val="20"/>
                <w:szCs w:val="20"/>
              </w:rPr>
              <w:t xml:space="preserve">0.4.x</w:t>
            </w:r>
          </w:p>
        </w:tc>
        <w:tc>
          <w:tcPr>
            <w:tcW w:type="dxa" w:w="18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0"/>
                <w:szCs w:val="20"/>
              </w:rPr>
              <w:t xml:space="preserve">Local LLM for privacy mode</w:t>
            </w:r>
          </w:p>
        </w:tc>
        <w:tc>
          <w:tcPr>
            <w:tcW w:type="dxa" w:w="30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0"/>
                <w:szCs w:val="20"/>
              </w:rPr>
              <w:t xml:space="preserve">Easiest local model server. One command to run llama3.2, mistral, codellama. Required for enterprise on-prem feature. No data leaves the machine.</w:t>
            </w:r>
          </w:p>
        </w:tc>
        <w:tc>
          <w:tcPr>
            <w:tcW w:type="dxa" w:w="186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6B7280"/>
                <w:sz w:val="20"/>
                <w:szCs w:val="20"/>
              </w:rPr>
              <w:t xml:space="preserve">LM Studio, vLLM</w:t>
            </w:r>
          </w:p>
        </w:tc>
      </w:tr>
      <w:tr>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006D77"/>
                <w:sz w:val="22"/>
                <w:szCs w:val="22"/>
              </w:rPr>
              <w:t xml:space="preserve">LangSmith</w:t>
            </w:r>
          </w:p>
        </w:tc>
        <w:tc>
          <w:tcPr>
            <w:tcW w:type="dxa" w:w="11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Cloud</w:t>
            </w:r>
          </w:p>
        </w:tc>
        <w:tc>
          <w:tcPr>
            <w:tcW w:type="dxa" w:w="18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 tracing, observability, eval</w:t>
            </w:r>
          </w:p>
        </w:tc>
        <w:tc>
          <w:tcPr>
            <w:tcW w:type="dxa" w:w="30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Native LangGraph integration. Free tier sufficient for dev. Visualizes agent node execution, latency, token usage. Critical for debugging multi-hop queries.</w:t>
            </w:r>
          </w:p>
        </w:tc>
        <w:tc>
          <w:tcPr>
            <w:tcW w:type="dxa" w:w="18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Helicone, Phoenix Arize</w:t>
            </w:r>
          </w:p>
        </w:tc>
      </w:tr>
    </w:tbl>
    <w:p>
      <w:pPr>
        <w:spacing w:before="100" w:after="0"/>
      </w:pPr>
    </w:p>
    <w:p>
      <w:pPr>
        <w:pStyle w:val="Heading3"/>
        <w:spacing w:before="200" w:after="80"/>
      </w:pPr>
      <w:r>
        <w:rPr>
          <w:rFonts w:ascii="Arial" w:cs="Arial" w:eastAsia="Arial" w:hAnsi="Arial"/>
          <w:b/>
          <w:bCs/>
          <w:color w:val="1B2A4A"/>
          <w:sz w:val="24"/>
          <w:szCs w:val="24"/>
        </w:rPr>
        <w:t xml:space="preserve">2.4.2  Retrieval &amp; Vector Store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800"/>
        <w:gridCol w:w="3000"/>
        <w:gridCol w:w="1860"/>
      </w:tblGrid>
      <w:tr>
        <w:tc>
          <w:tcPr>
            <w:tcW w:type="dxa" w:w="16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Tool / Library</w:t>
            </w:r>
          </w:p>
        </w:tc>
        <w:tc>
          <w:tcPr>
            <w:tcW w:type="dxa" w:w="11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18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30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Why This Over Alternatives</w:t>
            </w:r>
          </w:p>
        </w:tc>
        <w:tc>
          <w:tcPr>
            <w:tcW w:type="dxa" w:w="186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Alternative Considered</w:t>
            </w:r>
          </w:p>
        </w:tc>
      </w:tr>
      <w:tr>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006D77"/>
                <w:sz w:val="22"/>
                <w:szCs w:val="22"/>
              </w:rPr>
              <w:t xml:space="preserve">Chroma</w:t>
            </w:r>
          </w:p>
        </w:tc>
        <w:tc>
          <w:tcPr>
            <w:tcW w:type="dxa" w:w="11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0.5.x</w:t>
            </w:r>
          </w:p>
        </w:tc>
        <w:tc>
          <w:tcPr>
            <w:tcW w:type="dxa" w:w="18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Primary vector store (local dev)</w:t>
            </w:r>
          </w:p>
        </w:tc>
        <w:tc>
          <w:tcPr>
            <w:tcW w:type="dxa" w:w="30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Zero-config local vector DB. Persistent storage. Namespace support for dual-corpus separation. No API key. Best for Phase 1–3 development.</w:t>
            </w:r>
          </w:p>
        </w:tc>
        <w:tc>
          <w:tcPr>
            <w:tcW w:type="dxa" w:w="18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FAISS, Qdrant</w:t>
            </w:r>
          </w:p>
        </w:tc>
      </w:tr>
      <w:tr>
        <w:tc>
          <w:tcPr>
            <w:tcW w:type="dxa" w:w="16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bCs/>
                <w:color w:val="006D77"/>
                <w:sz w:val="22"/>
                <w:szCs w:val="22"/>
              </w:rPr>
              <w:t xml:space="preserve">Pinecone</w:t>
            </w:r>
          </w:p>
        </w:tc>
        <w:tc>
          <w:tcPr>
            <w:tcW w:type="dxa" w:w="11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6B7280"/>
                <w:sz w:val="20"/>
                <w:szCs w:val="20"/>
              </w:rPr>
              <w:t xml:space="preserve">Free tier</w:t>
            </w:r>
          </w:p>
        </w:tc>
        <w:tc>
          <w:tcPr>
            <w:tcW w:type="dxa" w:w="18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0"/>
                <w:szCs w:val="20"/>
              </w:rPr>
              <w:t xml:space="preserve">Cloud vector store (Phase 4)</w:t>
            </w:r>
          </w:p>
        </w:tc>
        <w:tc>
          <w:tcPr>
            <w:tcW w:type="dxa" w:w="30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0"/>
                <w:szCs w:val="20"/>
              </w:rPr>
              <w:t xml:space="preserve">Managed, scalable, production-ready. Free tier for 100K vectors. Switch from Chroma for deployed SaaS to avoid managing infra.</w:t>
            </w:r>
          </w:p>
        </w:tc>
        <w:tc>
          <w:tcPr>
            <w:tcW w:type="dxa" w:w="186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6B7280"/>
                <w:sz w:val="20"/>
                <w:szCs w:val="20"/>
              </w:rPr>
              <w:t xml:space="preserve">Weaviate, Qdrant Cloud</w:t>
            </w:r>
          </w:p>
        </w:tc>
      </w:tr>
      <w:tr>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006D77"/>
                <w:sz w:val="22"/>
                <w:szCs w:val="22"/>
              </w:rPr>
              <w:t xml:space="preserve">BM25 (rank_bm25)</w:t>
            </w:r>
          </w:p>
        </w:tc>
        <w:tc>
          <w:tcPr>
            <w:tcW w:type="dxa" w:w="11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0.2.2</w:t>
            </w:r>
          </w:p>
        </w:tc>
        <w:tc>
          <w:tcPr>
            <w:tcW w:type="dxa" w:w="18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Keyword retrieval component</w:t>
            </w:r>
          </w:p>
        </w:tc>
        <w:tc>
          <w:tcPr>
            <w:tcW w:type="dxa" w:w="30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Captures exact regulatory terminology (e.g., 'Article 21(3)', 'ISIN code') that vector search misses. BM25 + vector = hybrid retrieval. 20–35% precision improvement.</w:t>
            </w:r>
          </w:p>
        </w:tc>
        <w:tc>
          <w:tcPr>
            <w:tcW w:type="dxa" w:w="18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Elasticsearch, OpenSearch</w:t>
            </w:r>
          </w:p>
        </w:tc>
      </w:tr>
      <w:tr>
        <w:tc>
          <w:tcPr>
            <w:tcW w:type="dxa" w:w="16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bCs/>
                <w:color w:val="006D77"/>
                <w:sz w:val="22"/>
                <w:szCs w:val="22"/>
              </w:rPr>
              <w:t xml:space="preserve">Cohere Rerank v3</w:t>
            </w:r>
          </w:p>
        </w:tc>
        <w:tc>
          <w:tcPr>
            <w:tcW w:type="dxa" w:w="11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6B7280"/>
                <w:sz w:val="20"/>
                <w:szCs w:val="20"/>
              </w:rPr>
              <w:t xml:space="preserve">API</w:t>
            </w:r>
          </w:p>
        </w:tc>
        <w:tc>
          <w:tcPr>
            <w:tcW w:type="dxa" w:w="18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0"/>
                <w:szCs w:val="20"/>
              </w:rPr>
              <w:t xml:space="preserve">Cross-encoder reranking</w:t>
            </w:r>
          </w:p>
        </w:tc>
        <w:tc>
          <w:tcPr>
            <w:tcW w:type="dxa" w:w="30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0"/>
                <w:szCs w:val="20"/>
              </w:rPr>
              <w:t xml:space="preserve">Most accurate reranker available via API. Reranks top-20 retrieved chunks to top-5 before LLM. Measurably improves faithfulness by 12–18%.</w:t>
            </w:r>
          </w:p>
        </w:tc>
        <w:tc>
          <w:tcPr>
            <w:tcW w:type="dxa" w:w="186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6B7280"/>
                <w:sz w:val="20"/>
                <w:szCs w:val="20"/>
              </w:rPr>
              <w:t xml:space="preserve">FlashRank, BGE Reranker</w:t>
            </w:r>
          </w:p>
        </w:tc>
      </w:tr>
      <w:tr>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006D77"/>
                <w:sz w:val="22"/>
                <w:szCs w:val="22"/>
              </w:rPr>
              <w:t xml:space="preserve">FlashRank</w:t>
            </w:r>
          </w:p>
        </w:tc>
        <w:tc>
          <w:tcPr>
            <w:tcW w:type="dxa" w:w="11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0.0.9</w:t>
            </w:r>
          </w:p>
        </w:tc>
        <w:tc>
          <w:tcPr>
            <w:tcW w:type="dxa" w:w="18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Local reranker (no API needed)</w:t>
            </w:r>
          </w:p>
        </w:tc>
        <w:tc>
          <w:tcPr>
            <w:tcW w:type="dxa" w:w="30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Runs entirely locally. Use as Cohere fallback or in privacy mode. ms-marco-MiniLM-L-12-v2 model. Good quality, zero cost.</w:t>
            </w:r>
          </w:p>
        </w:tc>
        <w:tc>
          <w:tcPr>
            <w:tcW w:type="dxa" w:w="18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Cohere Rerank</w:t>
            </w:r>
          </w:p>
        </w:tc>
      </w:tr>
      <w:tr>
        <w:tc>
          <w:tcPr>
            <w:tcW w:type="dxa" w:w="16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bCs/>
                <w:color w:val="006D77"/>
                <w:sz w:val="22"/>
                <w:szCs w:val="22"/>
              </w:rPr>
              <w:t xml:space="preserve">sentence-transformers</w:t>
            </w:r>
          </w:p>
        </w:tc>
        <w:tc>
          <w:tcPr>
            <w:tcW w:type="dxa" w:w="11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6B7280"/>
                <w:sz w:val="20"/>
                <w:szCs w:val="20"/>
              </w:rPr>
              <w:t xml:space="preserve">3.x</w:t>
            </w:r>
          </w:p>
        </w:tc>
        <w:tc>
          <w:tcPr>
            <w:tcW w:type="dxa" w:w="18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0"/>
                <w:szCs w:val="20"/>
              </w:rPr>
              <w:t xml:space="preserve">Text embeddings (compliance docs)</w:t>
            </w:r>
          </w:p>
        </w:tc>
        <w:tc>
          <w:tcPr>
            <w:tcW w:type="dxa" w:w="30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0"/>
                <w:szCs w:val="20"/>
              </w:rPr>
              <w:t xml:space="preserve">all-MiniLM-L6-v2 for fast local embeddings. BAAI/bge-large for higher quality. No API cost. Runs locally.</w:t>
            </w:r>
          </w:p>
        </w:tc>
        <w:tc>
          <w:tcPr>
            <w:tcW w:type="dxa" w:w="186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6B7280"/>
                <w:sz w:val="20"/>
                <w:szCs w:val="20"/>
              </w:rPr>
              <w:t xml:space="preserve">OpenAI text-embedding-3</w:t>
            </w:r>
          </w:p>
        </w:tc>
      </w:tr>
      <w:tr>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006D77"/>
                <w:sz w:val="22"/>
                <w:szCs w:val="22"/>
              </w:rPr>
              <w:t xml:space="preserve">nomic-embed-code</w:t>
            </w:r>
          </w:p>
        </w:tc>
        <w:tc>
          <w:tcPr>
            <w:tcW w:type="dxa" w:w="11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via Ollama</w:t>
            </w:r>
          </w:p>
        </w:tc>
        <w:tc>
          <w:tcPr>
            <w:tcW w:type="dxa" w:w="18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Code-specific embeddings</w:t>
            </w:r>
          </w:p>
        </w:tc>
        <w:tc>
          <w:tcPr>
            <w:tcW w:type="dxa" w:w="30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Trained specifically on code. Dramatically outperforms generic embeddings for code retrieval. Runs via Ollama locally.</w:t>
            </w:r>
          </w:p>
        </w:tc>
        <w:tc>
          <w:tcPr>
            <w:tcW w:type="dxa" w:w="18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CodeBERT embeddings</w:t>
            </w:r>
          </w:p>
        </w:tc>
      </w:tr>
    </w:tbl>
    <w:p>
      <w:pPr>
        <w:spacing w:before="100" w:after="0"/>
      </w:pPr>
    </w:p>
    <w:p>
      <w:pPr>
        <w:pStyle w:val="Heading3"/>
        <w:spacing w:before="200" w:after="80"/>
      </w:pPr>
      <w:r>
        <w:rPr>
          <w:rFonts w:ascii="Arial" w:cs="Arial" w:eastAsia="Arial" w:hAnsi="Arial"/>
          <w:b/>
          <w:bCs/>
          <w:color w:val="1B2A4A"/>
          <w:sz w:val="24"/>
          <w:szCs w:val="24"/>
        </w:rPr>
        <w:t xml:space="preserve">2.4.3  Document Processing &amp; Code Parsing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800"/>
        <w:gridCol w:w="3000"/>
        <w:gridCol w:w="1860"/>
      </w:tblGrid>
      <w:tr>
        <w:tc>
          <w:tcPr>
            <w:tcW w:type="dxa" w:w="16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Tool / Library</w:t>
            </w:r>
          </w:p>
        </w:tc>
        <w:tc>
          <w:tcPr>
            <w:tcW w:type="dxa" w:w="11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18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30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Why This Over Alternatives</w:t>
            </w:r>
          </w:p>
        </w:tc>
        <w:tc>
          <w:tcPr>
            <w:tcW w:type="dxa" w:w="186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Alternative Considered</w:t>
            </w:r>
          </w:p>
        </w:tc>
      </w:tr>
      <w:tr>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006D77"/>
                <w:sz w:val="22"/>
                <w:szCs w:val="22"/>
              </w:rPr>
              <w:t xml:space="preserve">tree-sitter</w:t>
            </w:r>
          </w:p>
        </w:tc>
        <w:tc>
          <w:tcPr>
            <w:tcW w:type="dxa" w:w="11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0.22.x</w:t>
            </w:r>
          </w:p>
        </w:tc>
        <w:tc>
          <w:tcPr>
            <w:tcW w:type="dxa" w:w="18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AST-based code parsing</w:t>
            </w:r>
          </w:p>
        </w:tc>
        <w:tc>
          <w:tcPr>
            <w:tcW w:type="dxa" w:w="30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Parses Python, JavaScript, TypeScript, Java into abstract syntax trees. Enables function-level chunking (not line-level). 44% precision improvement over naive chunking.</w:t>
            </w:r>
          </w:p>
        </w:tc>
        <w:tc>
          <w:tcPr>
            <w:tcW w:type="dxa" w:w="18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ast (Python-only), libclang</w:t>
            </w:r>
          </w:p>
        </w:tc>
      </w:tr>
      <w:tr>
        <w:tc>
          <w:tcPr>
            <w:tcW w:type="dxa" w:w="16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bCs/>
                <w:color w:val="006D77"/>
                <w:sz w:val="22"/>
                <w:szCs w:val="22"/>
              </w:rPr>
              <w:t xml:space="preserve">PyMuPDF (fitz)</w:t>
            </w:r>
          </w:p>
        </w:tc>
        <w:tc>
          <w:tcPr>
            <w:tcW w:type="dxa" w:w="11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6B7280"/>
                <w:sz w:val="20"/>
                <w:szCs w:val="20"/>
              </w:rPr>
              <w:t xml:space="preserve">1.24.x</w:t>
            </w:r>
          </w:p>
        </w:tc>
        <w:tc>
          <w:tcPr>
            <w:tcW w:type="dxa" w:w="18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0"/>
                <w:szCs w:val="20"/>
              </w:rPr>
              <w:t xml:space="preserve">PDF text + table extraction</w:t>
            </w:r>
          </w:p>
        </w:tc>
        <w:tc>
          <w:tcPr>
            <w:tcW w:type="dxa" w:w="30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0"/>
                <w:szCs w:val="20"/>
              </w:rPr>
              <w:t xml:space="preserve">Fastest Python PDF library. Extracts tables, headers, page structure. Better than PyPDF2 for regulatory documents with tables. Critical for compliance corpus.</w:t>
            </w:r>
          </w:p>
        </w:tc>
        <w:tc>
          <w:tcPr>
            <w:tcW w:type="dxa" w:w="186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6B7280"/>
                <w:sz w:val="20"/>
                <w:szCs w:val="20"/>
              </w:rPr>
              <w:t xml:space="preserve">PyPDF2, pdfplumber</w:t>
            </w:r>
          </w:p>
        </w:tc>
      </w:tr>
      <w:tr>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006D77"/>
                <w:sz w:val="22"/>
                <w:szCs w:val="22"/>
              </w:rPr>
              <w:t xml:space="preserve">unstructured</w:t>
            </w:r>
          </w:p>
        </w:tc>
        <w:tc>
          <w:tcPr>
            <w:tcW w:type="dxa" w:w="11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0.14.x</w:t>
            </w:r>
          </w:p>
        </w:tc>
        <w:tc>
          <w:tcPr>
            <w:tcW w:type="dxa" w:w="18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Multi-format document loader</w:t>
            </w:r>
          </w:p>
        </w:tc>
        <w:tc>
          <w:tcPr>
            <w:tcW w:type="dxa" w:w="30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Handles PDF, DOCX, HTML, Markdown, Excel in one unified API. Used for ingesting diverse compliance document formats.</w:t>
            </w:r>
          </w:p>
        </w:tc>
        <w:tc>
          <w:tcPr>
            <w:tcW w:type="dxa" w:w="18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LangChain document loaders</w:t>
            </w:r>
          </w:p>
        </w:tc>
      </w:tr>
      <w:tr>
        <w:tc>
          <w:tcPr>
            <w:tcW w:type="dxa" w:w="16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bCs/>
                <w:color w:val="006D77"/>
                <w:sz w:val="22"/>
                <w:szCs w:val="22"/>
              </w:rPr>
              <w:t xml:space="preserve">GitPython</w:t>
            </w:r>
          </w:p>
        </w:tc>
        <w:tc>
          <w:tcPr>
            <w:tcW w:type="dxa" w:w="11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6B7280"/>
                <w:sz w:val="20"/>
                <w:szCs w:val="20"/>
              </w:rPr>
              <w:t xml:space="preserve">3.1.x</w:t>
            </w:r>
          </w:p>
        </w:tc>
        <w:tc>
          <w:tcPr>
            <w:tcW w:type="dxa" w:w="18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0"/>
                <w:szCs w:val="20"/>
              </w:rPr>
              <w:t xml:space="preserve">GitHub repo cloning + traversal</w:t>
            </w:r>
          </w:p>
        </w:tc>
        <w:tc>
          <w:tcPr>
            <w:tcW w:type="dxa" w:w="30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0"/>
                <w:szCs w:val="20"/>
              </w:rPr>
              <w:t xml:space="preserve">Programmatic git operations. Clone repos, traverse file trees, track changes between commits. Used in Phase 3 for live repo connector.</w:t>
            </w:r>
          </w:p>
        </w:tc>
        <w:tc>
          <w:tcPr>
            <w:tcW w:type="dxa" w:w="186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6B7280"/>
                <w:sz w:val="20"/>
                <w:szCs w:val="20"/>
              </w:rPr>
              <w:t xml:space="preserve">GitHub REST API (raw)</w:t>
            </w:r>
          </w:p>
        </w:tc>
      </w:tr>
      <w:tr>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006D77"/>
                <w:sz w:val="22"/>
                <w:szCs w:val="22"/>
              </w:rPr>
              <w:t xml:space="preserve">tiktoken</w:t>
            </w:r>
          </w:p>
        </w:tc>
        <w:tc>
          <w:tcPr>
            <w:tcW w:type="dxa" w:w="11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0.7.x</w:t>
            </w:r>
          </w:p>
        </w:tc>
        <w:tc>
          <w:tcPr>
            <w:tcW w:type="dxa" w:w="18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Token counting + chunk sizing</w:t>
            </w:r>
          </w:p>
        </w:tc>
        <w:tc>
          <w:tcPr>
            <w:tcW w:type="dxa" w:w="30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OpenAI's tokenizer. Ensures chunks stay within LLM context windows. Critical for preventing truncation in long compliance documents.</w:t>
            </w:r>
          </w:p>
        </w:tc>
        <w:tc>
          <w:tcPr>
            <w:tcW w:type="dxa" w:w="18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transformers tokenizer</w:t>
            </w:r>
          </w:p>
        </w:tc>
      </w:tr>
    </w:tbl>
    <w:p>
      <w:pPr>
        <w:spacing w:before="100" w:after="0"/>
      </w:pPr>
    </w:p>
    <w:p>
      <w:pPr>
        <w:pStyle w:val="Heading3"/>
        <w:spacing w:before="200" w:after="80"/>
      </w:pPr>
      <w:r>
        <w:rPr>
          <w:rFonts w:ascii="Arial" w:cs="Arial" w:eastAsia="Arial" w:hAnsi="Arial"/>
          <w:b/>
          <w:bCs/>
          <w:color w:val="1B2A4A"/>
          <w:sz w:val="24"/>
          <w:szCs w:val="24"/>
        </w:rPr>
        <w:t xml:space="preserve">2.4.4  Evaluation &amp; Quality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800"/>
        <w:gridCol w:w="3000"/>
        <w:gridCol w:w="1860"/>
      </w:tblGrid>
      <w:tr>
        <w:tc>
          <w:tcPr>
            <w:tcW w:type="dxa" w:w="16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Tool / Library</w:t>
            </w:r>
          </w:p>
        </w:tc>
        <w:tc>
          <w:tcPr>
            <w:tcW w:type="dxa" w:w="11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18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30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Why This Over Alternatives</w:t>
            </w:r>
          </w:p>
        </w:tc>
        <w:tc>
          <w:tcPr>
            <w:tcW w:type="dxa" w:w="186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Alternative Considered</w:t>
            </w:r>
          </w:p>
        </w:tc>
      </w:tr>
      <w:tr>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006D77"/>
                <w:sz w:val="22"/>
                <w:szCs w:val="22"/>
              </w:rPr>
              <w:t xml:space="preserve">RAGAS</w:t>
            </w:r>
          </w:p>
        </w:tc>
        <w:tc>
          <w:tcPr>
            <w:tcW w:type="dxa" w:w="11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0.2.x</w:t>
            </w:r>
          </w:p>
        </w:tc>
        <w:tc>
          <w:tcPr>
            <w:tcW w:type="dxa" w:w="18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RAG evaluation framework</w:t>
            </w:r>
          </w:p>
        </w:tc>
        <w:tc>
          <w:tcPr>
            <w:tcW w:type="dxa" w:w="30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Industry-standard RAG metrics: faithfulness, answer relevancy, context precision, context recall. Generates automated eval datasets. Most cited in AI Engineer interviews.</w:t>
            </w:r>
          </w:p>
        </w:tc>
        <w:tc>
          <w:tcPr>
            <w:tcW w:type="dxa" w:w="18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TruLens, Giskard</w:t>
            </w:r>
          </w:p>
        </w:tc>
      </w:tr>
      <w:tr>
        <w:tc>
          <w:tcPr>
            <w:tcW w:type="dxa" w:w="16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bCs/>
                <w:color w:val="006D77"/>
                <w:sz w:val="22"/>
                <w:szCs w:val="22"/>
              </w:rPr>
              <w:t xml:space="preserve">DeepEval</w:t>
            </w:r>
          </w:p>
        </w:tc>
        <w:tc>
          <w:tcPr>
            <w:tcW w:type="dxa" w:w="11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6B7280"/>
                <w:sz w:val="20"/>
                <w:szCs w:val="20"/>
              </w:rPr>
              <w:t xml:space="preserve">1.x</w:t>
            </w:r>
          </w:p>
        </w:tc>
        <w:tc>
          <w:tcPr>
            <w:tcW w:type="dxa" w:w="18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0"/>
                <w:szCs w:val="20"/>
              </w:rPr>
              <w:t xml:space="preserve">LLM output quality testing</w:t>
            </w:r>
          </w:p>
        </w:tc>
        <w:tc>
          <w:tcPr>
            <w:tcW w:type="dxa" w:w="30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0"/>
                <w:szCs w:val="20"/>
              </w:rPr>
              <w:t xml:space="preserve">Unit-test style evaluation for LLM outputs. Hallucination detection, bias detection, toxicity. Integrates with CI/CD. More developer-friendly than RAGAS for custom metrics.</w:t>
            </w:r>
          </w:p>
        </w:tc>
        <w:tc>
          <w:tcPr>
            <w:tcW w:type="dxa" w:w="186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6B7280"/>
                <w:sz w:val="20"/>
                <w:szCs w:val="20"/>
              </w:rPr>
              <w:t xml:space="preserve">Promptfoo, LangSmith Eval</w:t>
            </w:r>
          </w:p>
        </w:tc>
      </w:tr>
      <w:tr>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006D77"/>
                <w:sz w:val="22"/>
                <w:szCs w:val="22"/>
              </w:rPr>
              <w:t xml:space="preserve">pytest</w:t>
            </w:r>
          </w:p>
        </w:tc>
        <w:tc>
          <w:tcPr>
            <w:tcW w:type="dxa" w:w="11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8.x</w:t>
            </w:r>
          </w:p>
        </w:tc>
        <w:tc>
          <w:tcPr>
            <w:tcW w:type="dxa" w:w="18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Testing framework</w:t>
            </w:r>
          </w:p>
        </w:tc>
        <w:tc>
          <w:tcPr>
            <w:tcW w:type="dxa" w:w="30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Standard Python testing. All RAG pipeline components have unit tests. DeepEval integrates with pytest natively.</w:t>
            </w:r>
          </w:p>
        </w:tc>
        <w:tc>
          <w:tcPr>
            <w:tcW w:type="dxa" w:w="18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unittest</w:t>
            </w:r>
          </w:p>
        </w:tc>
      </w:tr>
    </w:tbl>
    <w:p>
      <w:pPr>
        <w:spacing w:before="100" w:after="0"/>
      </w:pPr>
    </w:p>
    <w:p>
      <w:pPr>
        <w:pStyle w:val="Heading3"/>
        <w:spacing w:before="200" w:after="80"/>
      </w:pPr>
      <w:r>
        <w:rPr>
          <w:rFonts w:ascii="Arial" w:cs="Arial" w:eastAsia="Arial" w:hAnsi="Arial"/>
          <w:b/>
          <w:bCs/>
          <w:color w:val="1B2A4A"/>
          <w:sz w:val="24"/>
          <w:szCs w:val="24"/>
        </w:rPr>
        <w:t xml:space="preserve">2.4.5  Backend &amp; Deployment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800"/>
        <w:gridCol w:w="3000"/>
        <w:gridCol w:w="1860"/>
      </w:tblGrid>
      <w:tr>
        <w:tc>
          <w:tcPr>
            <w:tcW w:type="dxa" w:w="16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Tool / Library</w:t>
            </w:r>
          </w:p>
        </w:tc>
        <w:tc>
          <w:tcPr>
            <w:tcW w:type="dxa" w:w="11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18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30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Why This Over Alternatives</w:t>
            </w:r>
          </w:p>
        </w:tc>
        <w:tc>
          <w:tcPr>
            <w:tcW w:type="dxa" w:w="186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Alternative Considered</w:t>
            </w:r>
          </w:p>
        </w:tc>
      </w:tr>
      <w:tr>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006D77"/>
                <w:sz w:val="22"/>
                <w:szCs w:val="22"/>
              </w:rPr>
              <w:t xml:space="preserve">FastAPI</w:t>
            </w:r>
          </w:p>
        </w:tc>
        <w:tc>
          <w:tcPr>
            <w:tcW w:type="dxa" w:w="11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0.115.x</w:t>
            </w:r>
          </w:p>
        </w:tc>
        <w:tc>
          <w:tcPr>
            <w:tcW w:type="dxa" w:w="18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REST API backend</w:t>
            </w:r>
          </w:p>
        </w:tc>
        <w:tc>
          <w:tcPr>
            <w:tcW w:type="dxa" w:w="30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Async Python web framework. Auto-generates OpenAPI docs. Type safety with Pydantic. 3–5x faster than Flask for I/O-bound AI workloads. Industry standard for AI APIs.</w:t>
            </w:r>
          </w:p>
        </w:tc>
        <w:tc>
          <w:tcPr>
            <w:tcW w:type="dxa" w:w="18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Flask, Django</w:t>
            </w:r>
          </w:p>
        </w:tc>
      </w:tr>
      <w:tr>
        <w:tc>
          <w:tcPr>
            <w:tcW w:type="dxa" w:w="16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bCs/>
                <w:color w:val="006D77"/>
                <w:sz w:val="22"/>
                <w:szCs w:val="22"/>
              </w:rPr>
              <w:t xml:space="preserve">Pydantic v2</w:t>
            </w:r>
          </w:p>
        </w:tc>
        <w:tc>
          <w:tcPr>
            <w:tcW w:type="dxa" w:w="11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6B7280"/>
                <w:sz w:val="20"/>
                <w:szCs w:val="20"/>
              </w:rPr>
              <w:t xml:space="preserve">2.x</w:t>
            </w:r>
          </w:p>
        </w:tc>
        <w:tc>
          <w:tcPr>
            <w:tcW w:type="dxa" w:w="18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0"/>
                <w:szCs w:val="20"/>
              </w:rPr>
              <w:t xml:space="preserve">Data validation + serialization</w:t>
            </w:r>
          </w:p>
        </w:tc>
        <w:tc>
          <w:tcPr>
            <w:tcW w:type="dxa" w:w="30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0"/>
                <w:szCs w:val="20"/>
              </w:rPr>
              <w:t xml:space="preserve">Built into FastAPI. Validates all API inputs/outputs. Structured output schemas for LLM responses. 50x faster than Pydantic v1.</w:t>
            </w:r>
          </w:p>
        </w:tc>
        <w:tc>
          <w:tcPr>
            <w:tcW w:type="dxa" w:w="186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6B7280"/>
                <w:sz w:val="20"/>
                <w:szCs w:val="20"/>
              </w:rPr>
              <w:t xml:space="preserve">marshmallow, dataclasses</w:t>
            </w:r>
          </w:p>
        </w:tc>
      </w:tr>
      <w:tr>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006D77"/>
                <w:sz w:val="22"/>
                <w:szCs w:val="22"/>
              </w:rPr>
              <w:t xml:space="preserve">Supabase</w:t>
            </w:r>
          </w:p>
        </w:tc>
        <w:tc>
          <w:tcPr>
            <w:tcW w:type="dxa" w:w="11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Free tier</w:t>
            </w:r>
          </w:p>
        </w:tc>
        <w:tc>
          <w:tcPr>
            <w:tcW w:type="dxa" w:w="18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Auth + PostgreSQL database</w:t>
            </w:r>
          </w:p>
        </w:tc>
        <w:tc>
          <w:tcPr>
            <w:tcW w:type="dxa" w:w="30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Managed Postgres + real-time + auth in one. Free tier is generous. No infra to manage. Supabase Auth handles GitHub OAuth for repo connection.</w:t>
            </w:r>
          </w:p>
        </w:tc>
        <w:tc>
          <w:tcPr>
            <w:tcW w:type="dxa" w:w="18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Firebase, Auth0 + RDS</w:t>
            </w:r>
          </w:p>
        </w:tc>
      </w:tr>
      <w:tr>
        <w:tc>
          <w:tcPr>
            <w:tcW w:type="dxa" w:w="16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bCs/>
                <w:color w:val="006D77"/>
                <w:sz w:val="22"/>
                <w:szCs w:val="22"/>
              </w:rPr>
              <w:t xml:space="preserve">Redis (Upstash)</w:t>
            </w:r>
          </w:p>
        </w:tc>
        <w:tc>
          <w:tcPr>
            <w:tcW w:type="dxa" w:w="11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6B7280"/>
                <w:sz w:val="20"/>
                <w:szCs w:val="20"/>
              </w:rPr>
              <w:t xml:space="preserve">Free tier</w:t>
            </w:r>
          </w:p>
        </w:tc>
        <w:tc>
          <w:tcPr>
            <w:tcW w:type="dxa" w:w="18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0"/>
                <w:szCs w:val="20"/>
              </w:rPr>
              <w:t xml:space="preserve">Rate limiting + caching</w:t>
            </w:r>
          </w:p>
        </w:tc>
        <w:tc>
          <w:tcPr>
            <w:tcW w:type="dxa" w:w="30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0"/>
                <w:szCs w:val="20"/>
              </w:rPr>
              <w:t xml:space="preserve">Upstash free tier: 10,000 requests/day. Used for API rate limiting and caching frequent query embeddings. No server to manage.</w:t>
            </w:r>
          </w:p>
        </w:tc>
        <w:tc>
          <w:tcPr>
            <w:tcW w:type="dxa" w:w="186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6B7280"/>
                <w:sz w:val="20"/>
                <w:szCs w:val="20"/>
              </w:rPr>
              <w:t xml:space="preserve">Redis self-hosted</w:t>
            </w:r>
          </w:p>
        </w:tc>
      </w:tr>
      <w:tr>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006D77"/>
                <w:sz w:val="22"/>
                <w:szCs w:val="22"/>
              </w:rPr>
              <w:t xml:space="preserve">Docker + Compose</w:t>
            </w:r>
          </w:p>
        </w:tc>
        <w:tc>
          <w:tcPr>
            <w:tcW w:type="dxa" w:w="11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Latest</w:t>
            </w:r>
          </w:p>
        </w:tc>
        <w:tc>
          <w:tcPr>
            <w:tcW w:type="dxa" w:w="18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Containerization</w:t>
            </w:r>
          </w:p>
        </w:tc>
        <w:tc>
          <w:tcPr>
            <w:tcW w:type="dxa" w:w="30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Package entire app (FastAPI + Chroma + Redis) into reproducible containers. Required for Render/Railway deployment. Industry standard — every job posting mentions Docker.</w:t>
            </w:r>
          </w:p>
        </w:tc>
        <w:tc>
          <w:tcPr>
            <w:tcW w:type="dxa" w:w="18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Podman, bare metal</w:t>
            </w:r>
          </w:p>
        </w:tc>
      </w:tr>
      <w:tr>
        <w:tc>
          <w:tcPr>
            <w:tcW w:type="dxa" w:w="16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bCs/>
                <w:color w:val="006D77"/>
                <w:sz w:val="22"/>
                <w:szCs w:val="22"/>
              </w:rPr>
              <w:t xml:space="preserve">Streamlit</w:t>
            </w:r>
          </w:p>
        </w:tc>
        <w:tc>
          <w:tcPr>
            <w:tcW w:type="dxa" w:w="11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6B7280"/>
                <w:sz w:val="20"/>
                <w:szCs w:val="20"/>
              </w:rPr>
              <w:t xml:space="preserve">1.40.x</w:t>
            </w:r>
          </w:p>
        </w:tc>
        <w:tc>
          <w:tcPr>
            <w:tcW w:type="dxa" w:w="18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0"/>
                <w:szCs w:val="20"/>
              </w:rPr>
              <w:t xml:space="preserve">Phase 1–3 UI (rapid prototyping)</w:t>
            </w:r>
          </w:p>
        </w:tc>
        <w:tc>
          <w:tcPr>
            <w:tcW w:type="dxa" w:w="30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0"/>
                <w:szCs w:val="20"/>
              </w:rPr>
              <w:t xml:space="preserve">Zero-config Python UI. Deploy instantly on Streamlit Cloud (free). Ideal for Phase 1–3 demos. Replaced by proper frontend in Phase 4.</w:t>
            </w:r>
          </w:p>
        </w:tc>
        <w:tc>
          <w:tcPr>
            <w:tcW w:type="dxa" w:w="186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6B7280"/>
                <w:sz w:val="20"/>
                <w:szCs w:val="20"/>
              </w:rPr>
              <w:t xml:space="preserve">Gradio, Panel</w:t>
            </w:r>
          </w:p>
        </w:tc>
      </w:tr>
      <w:tr>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006D77"/>
                <w:sz w:val="22"/>
                <w:szCs w:val="22"/>
              </w:rPr>
              <w:t xml:space="preserve">Vercel (Next.js)</w:t>
            </w:r>
          </w:p>
        </w:tc>
        <w:tc>
          <w:tcPr>
            <w:tcW w:type="dxa" w:w="11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Optional Phase 4</w:t>
            </w:r>
          </w:p>
        </w:tc>
        <w:tc>
          <w:tcPr>
            <w:tcW w:type="dxa" w:w="18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Production frontend</w:t>
            </w:r>
          </w:p>
        </w:tc>
        <w:tc>
          <w:tcPr>
            <w:tcW w:type="dxa" w:w="30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Optional: replace Streamlit with a Next.js frontend on Vercel for a more professional demo. Free tier available.</w:t>
            </w:r>
          </w:p>
        </w:tc>
        <w:tc>
          <w:tcPr>
            <w:tcW w:type="dxa" w:w="18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Netlify, Cloudflare Pages</w:t>
            </w:r>
          </w:p>
        </w:tc>
      </w:tr>
      <w:tr>
        <w:tc>
          <w:tcPr>
            <w:tcW w:type="dxa" w:w="16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bCs/>
                <w:color w:val="006D77"/>
                <w:sz w:val="22"/>
                <w:szCs w:val="22"/>
              </w:rPr>
              <w:t xml:space="preserve">Render / Railway</w:t>
            </w:r>
          </w:p>
        </w:tc>
        <w:tc>
          <w:tcPr>
            <w:tcW w:type="dxa" w:w="11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6B7280"/>
                <w:sz w:val="20"/>
                <w:szCs w:val="20"/>
              </w:rPr>
              <w:t xml:space="preserve">Free–$7/mo</w:t>
            </w:r>
          </w:p>
        </w:tc>
        <w:tc>
          <w:tcPr>
            <w:tcW w:type="dxa" w:w="18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0"/>
                <w:szCs w:val="20"/>
              </w:rPr>
              <w:t xml:space="preserve">Backend deployment</w:t>
            </w:r>
          </w:p>
        </w:tc>
        <w:tc>
          <w:tcPr>
            <w:tcW w:type="dxa" w:w="30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0"/>
                <w:szCs w:val="20"/>
              </w:rPr>
              <w:t xml:space="preserve">Simple Docker container deployment. Auto-deploy from GitHub. Free tier on Render for demo. Railway gives $5/month credit. Both have one-click Docker deploy.</w:t>
            </w:r>
          </w:p>
        </w:tc>
        <w:tc>
          <w:tcPr>
            <w:tcW w:type="dxa" w:w="186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6B7280"/>
                <w:sz w:val="20"/>
                <w:szCs w:val="20"/>
              </w:rPr>
              <w:t xml:space="preserve">AWS, GCP, Azure</w:t>
            </w:r>
          </w:p>
        </w:tc>
      </w:tr>
    </w:tbl>
    <w:p>
      <w:pPr>
        <w:spacing w:before="100" w:after="0"/>
      </w:pPr>
    </w:p>
    <w:p>
      <w:pPr>
        <w:pStyle w:val="Heading3"/>
        <w:spacing w:before="200" w:after="80"/>
      </w:pPr>
      <w:r>
        <w:rPr>
          <w:rFonts w:ascii="Arial" w:cs="Arial" w:eastAsia="Arial" w:hAnsi="Arial"/>
          <w:b/>
          <w:bCs/>
          <w:color w:val="1B2A4A"/>
          <w:sz w:val="24"/>
          <w:szCs w:val="24"/>
        </w:rPr>
        <w:t xml:space="preserve">2.4.6  Observability &amp; Analytics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100"/>
        <w:gridCol w:w="1800"/>
        <w:gridCol w:w="3000"/>
        <w:gridCol w:w="1860"/>
      </w:tblGrid>
      <w:tr>
        <w:tc>
          <w:tcPr>
            <w:tcW w:type="dxa" w:w="16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Tool / Library</w:t>
            </w:r>
          </w:p>
        </w:tc>
        <w:tc>
          <w:tcPr>
            <w:tcW w:type="dxa" w:w="11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Version</w:t>
            </w:r>
          </w:p>
        </w:tc>
        <w:tc>
          <w:tcPr>
            <w:tcW w:type="dxa" w:w="18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Role</w:t>
            </w:r>
          </w:p>
        </w:tc>
        <w:tc>
          <w:tcPr>
            <w:tcW w:type="dxa" w:w="30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Why This Over Alternatives</w:t>
            </w:r>
          </w:p>
        </w:tc>
        <w:tc>
          <w:tcPr>
            <w:tcW w:type="dxa" w:w="186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Alternative Considered</w:t>
            </w:r>
          </w:p>
        </w:tc>
      </w:tr>
      <w:tr>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006D77"/>
                <w:sz w:val="22"/>
                <w:szCs w:val="22"/>
              </w:rPr>
              <w:t xml:space="preserve">LangSmith</w:t>
            </w:r>
          </w:p>
        </w:tc>
        <w:tc>
          <w:tcPr>
            <w:tcW w:type="dxa" w:w="11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Cloud</w:t>
            </w:r>
          </w:p>
        </w:tc>
        <w:tc>
          <w:tcPr>
            <w:tcW w:type="dxa" w:w="18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Agent trace visualization</w:t>
            </w:r>
          </w:p>
        </w:tc>
        <w:tc>
          <w:tcPr>
            <w:tcW w:type="dxa" w:w="30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See every LangGraph node execution, latency, token count, and LLM prompt/response. Essential for debugging multi-agent workflows. Free 5K traces/month.</w:t>
            </w:r>
          </w:p>
        </w:tc>
        <w:tc>
          <w:tcPr>
            <w:tcW w:type="dxa" w:w="18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Langfuse, Phoenix Arize</w:t>
            </w:r>
          </w:p>
        </w:tc>
      </w:tr>
      <w:tr>
        <w:tc>
          <w:tcPr>
            <w:tcW w:type="dxa" w:w="16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bCs/>
                <w:color w:val="006D77"/>
                <w:sz w:val="22"/>
                <w:szCs w:val="22"/>
              </w:rPr>
              <w:t xml:space="preserve">PostHog</w:t>
            </w:r>
          </w:p>
        </w:tc>
        <w:tc>
          <w:tcPr>
            <w:tcW w:type="dxa" w:w="11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6B7280"/>
                <w:sz w:val="20"/>
                <w:szCs w:val="20"/>
              </w:rPr>
              <w:t xml:space="preserve">Free OSS</w:t>
            </w:r>
          </w:p>
        </w:tc>
        <w:tc>
          <w:tcPr>
            <w:tcW w:type="dxa" w:w="18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0"/>
                <w:szCs w:val="20"/>
              </w:rPr>
              <w:t xml:space="preserve">Product analytics</w:t>
            </w:r>
          </w:p>
        </w:tc>
        <w:tc>
          <w:tcPr>
            <w:tcW w:type="dxa" w:w="30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0"/>
                <w:szCs w:val="20"/>
              </w:rPr>
              <w:t xml:space="preserve">Track query volumes, user engagement, feature usage. Self-hostable or free cloud tier. Shows investors/employers that you think about product metrics.</w:t>
            </w:r>
          </w:p>
        </w:tc>
        <w:tc>
          <w:tcPr>
            <w:tcW w:type="dxa" w:w="186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6B7280"/>
                <w:sz w:val="20"/>
                <w:szCs w:val="20"/>
              </w:rPr>
              <w:t xml:space="preserve">Mixpanel, Amplitude</w:t>
            </w:r>
          </w:p>
        </w:tc>
      </w:tr>
      <w:tr>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006D77"/>
                <w:sz w:val="22"/>
                <w:szCs w:val="22"/>
              </w:rPr>
              <w:t xml:space="preserve">Loguru</w:t>
            </w:r>
          </w:p>
        </w:tc>
        <w:tc>
          <w:tcPr>
            <w:tcW w:type="dxa" w:w="11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0.7.x</w:t>
            </w:r>
          </w:p>
        </w:tc>
        <w:tc>
          <w:tcPr>
            <w:tcW w:type="dxa" w:w="18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Structured logging</w:t>
            </w:r>
          </w:p>
        </w:tc>
        <w:tc>
          <w:tcPr>
            <w:tcW w:type="dxa" w:w="30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0"/>
                <w:szCs w:val="20"/>
              </w:rPr>
              <w:t xml:space="preserve">Beautiful, zero-config Python logging. Structured JSON logs for production. Replaces print debugging. Integrated with all pipeline components.</w:t>
            </w:r>
          </w:p>
        </w:tc>
        <w:tc>
          <w:tcPr>
            <w:tcW w:type="dxa" w:w="18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6B7280"/>
                <w:sz w:val="20"/>
                <w:szCs w:val="20"/>
              </w:rPr>
              <w:t xml:space="preserve">Python logging, structlog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2A4A" w:val="clear"/>
            <w:tcMar>
              <w:top w:type="dxa" w:w="140"/>
              <w:left w:type="dxa" w:w="140"/>
              <w:bottom w:type="dxa" w:w="140"/>
              <w:right w:type="dxa" w:w="140"/>
            </w:tcMar>
            <w:vAlign w:val="center"/>
          </w:tcPr>
          <w:p>
            <w:pPr>
              <w:jc w:val="center"/>
            </w:pPr>
            <w:r>
              <w:rPr>
                <w:rFonts w:ascii="Arial" w:cs="Arial" w:eastAsia="Arial" w:hAnsi="Arial"/>
                <w:b/>
                <w:bCs/>
                <w:color w:val="C9882A"/>
                <w:sz w:val="32"/>
                <w:szCs w:val="32"/>
              </w:rPr>
              <w:t xml:space="preserve">03</w:t>
            </w:r>
          </w:p>
        </w:tc>
        <w:tc>
          <w:tcPr>
            <w:tcW w:type="dxa" w:w="8560"/>
            <w:tcBorders>
              <w:top w:val="none" w:color="FFFFFF" w:sz="0"/>
              <w:left w:val="none" w:color="FFFFFF" w:sz="0"/>
              <w:bottom w:val="none" w:color="FFFFFF" w:sz="0"/>
              <w:right w:val="none" w:color="FFFFFF" w:sz="0"/>
            </w:tcBorders>
            <w:shd w:fill="006D77" w:val="clear"/>
            <w:tcMar>
              <w:top w:type="dxa" w:w="140"/>
              <w:left w:type="dxa" w:w="220"/>
              <w:bottom w:type="dxa" w:w="140"/>
              <w:right w:type="dxa" w:w="140"/>
            </w:tcMar>
            <w:vAlign w:val="center"/>
          </w:tcPr>
          <w:p>
            <w:r>
              <w:rPr>
                <w:rFonts w:ascii="Arial" w:cs="Arial" w:eastAsia="Arial" w:hAnsi="Arial"/>
                <w:b/>
                <w:bCs/>
                <w:color w:val="FFFFFF"/>
                <w:sz w:val="28"/>
                <w:szCs w:val="28"/>
              </w:rPr>
              <w:t xml:space="preserve">Project Plan, Timeline &amp; Phase Execution</w:t>
            </w:r>
          </w:p>
        </w:tc>
      </w:tr>
    </w:tbl>
    <w:p>
      <w:pPr>
        <w:spacing w:before="200" w:after="0"/>
      </w:pPr>
    </w:p>
    <w:p>
      <w:pPr>
        <w:pStyle w:val="Heading2"/>
        <w:spacing w:before="280" w:after="100"/>
      </w:pPr>
      <w:r>
        <w:rPr>
          <w:rFonts w:ascii="Arial" w:cs="Arial" w:eastAsia="Arial" w:hAnsi="Arial"/>
          <w:b/>
          <w:bCs/>
          <w:color w:val="006D77"/>
          <w:sz w:val="28"/>
          <w:szCs w:val="28"/>
        </w:rPr>
        <w:t xml:space="preserve">3.1  Project Philosophy &amp; Execution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D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RULE 1</w:t>
            </w:r>
          </w:p>
        </w:tc>
        <w:tc>
          <w:tcPr>
            <w:tcW w:type="dxa" w:w="9160"/>
            <w:tcBorders>
              <w:top w:val="none" w:color="FFFFFF" w:sz="0"/>
              <w:left w:val="none" w:color="FFFFFF" w:sz="0"/>
              <w:bottom w:val="none" w:color="FFFFFF" w:sz="0"/>
              <w:right w:val="none" w:color="FFFFFF" w:sz="0"/>
            </w:tcBorders>
            <w:shd w:fill="EBF4F7" w:val="clear"/>
            <w:tcMar>
              <w:top w:type="dxa" w:w="100"/>
              <w:left w:type="dxa" w:w="180"/>
              <w:bottom w:type="dxa" w:w="100"/>
              <w:right w:type="dxa" w:w="180"/>
            </w:tcMar>
          </w:tcPr>
          <w:p>
            <w:r>
              <w:rPr>
                <w:rFonts w:ascii="Arial" w:cs="Arial" w:eastAsia="Arial" w:hAnsi="Arial"/>
                <w:color w:val="333333"/>
                <w:sz w:val="21"/>
                <w:szCs w:val="21"/>
              </w:rPr>
              <w:t xml:space="preserve">Ship a working demo at the end of every phase. A partially-built perfect system is worth nothing. A deployed imperfect system is worth everything.</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9882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RULE 2</w:t>
            </w:r>
          </w:p>
        </w:tc>
        <w:tc>
          <w:tcPr>
            <w:tcW w:type="dxa" w:w="9160"/>
            <w:tcBorders>
              <w:top w:val="none" w:color="FFFFFF" w:sz="0"/>
              <w:left w:val="none" w:color="FFFFFF" w:sz="0"/>
              <w:bottom w:val="none" w:color="FFFFFF" w:sz="0"/>
              <w:right w:val="none" w:color="FFFFFF" w:sz="0"/>
            </w:tcBorders>
            <w:shd w:fill="FFF3CD" w:val="clear"/>
            <w:tcMar>
              <w:top w:type="dxa" w:w="100"/>
              <w:left w:type="dxa" w:w="180"/>
              <w:bottom w:type="dxa" w:w="100"/>
              <w:right w:type="dxa" w:w="180"/>
            </w:tcMar>
          </w:tcPr>
          <w:p>
            <w:r>
              <w:rPr>
                <w:rFonts w:ascii="Arial" w:cs="Arial" w:eastAsia="Arial" w:hAnsi="Arial"/>
                <w:color w:val="333333"/>
                <w:sz w:val="21"/>
                <w:szCs w:val="21"/>
              </w:rPr>
              <w:t xml:space="preserve">Measure everything. Every phase ends with concrete metrics. If you cannot measure the improvement your code made, you did not make a real improvement.</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D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RULE 3</w:t>
            </w:r>
          </w:p>
        </w:tc>
        <w:tc>
          <w:tcPr>
            <w:tcW w:type="dxa" w:w="9160"/>
            <w:tcBorders>
              <w:top w:val="none" w:color="FFFFFF" w:sz="0"/>
              <w:left w:val="none" w:color="FFFFFF" w:sz="0"/>
              <w:bottom w:val="none" w:color="FFFFFF" w:sz="0"/>
              <w:right w:val="none" w:color="FFFFFF" w:sz="0"/>
            </w:tcBorders>
            <w:shd w:fill="EBF4F7" w:val="clear"/>
            <w:tcMar>
              <w:top w:type="dxa" w:w="100"/>
              <w:left w:type="dxa" w:w="180"/>
              <w:bottom w:type="dxa" w:w="100"/>
              <w:right w:type="dxa" w:w="180"/>
            </w:tcMar>
          </w:tcPr>
          <w:p>
            <w:r>
              <w:rPr>
                <w:rFonts w:ascii="Arial" w:cs="Arial" w:eastAsia="Arial" w:hAnsi="Arial"/>
                <w:color w:val="333333"/>
                <w:sz w:val="21"/>
                <w:szCs w:val="21"/>
              </w:rPr>
              <w:t xml:space="preserve">Use AI tools aggressively for boilerplate (70–80% of scaffolding). Use your own brain for architecture decisions, evaluation design, and metric interpretation. Recruiters test judgment, not typing speed.</w:t>
            </w:r>
          </w:p>
        </w:tc>
      </w:tr>
    </w:tbl>
    <w:p>
      <w:pPr>
        <w:spacing w:before="100" w:after="0"/>
      </w:pPr>
    </w:p>
    <w:p>
      <w:pPr>
        <w:pStyle w:val="Heading2"/>
        <w:spacing w:before="280" w:after="100"/>
      </w:pPr>
      <w:r>
        <w:rPr>
          <w:rFonts w:ascii="Arial" w:cs="Arial" w:eastAsia="Arial" w:hAnsi="Arial"/>
          <w:b/>
          <w:bCs/>
          <w:color w:val="006D77"/>
          <w:sz w:val="28"/>
          <w:szCs w:val="28"/>
        </w:rPr>
        <w:t xml:space="preserve">3.2  Project Timeline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400"/>
        <w:gridCol w:w="5560"/>
      </w:tblGrid>
      <w:tr>
        <w:tc>
          <w:tcPr>
            <w:tcW w:type="dxa" w:w="10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Phase</w:t>
            </w:r>
          </w:p>
        </w:tc>
        <w:tc>
          <w:tcPr>
            <w:tcW w:type="dxa" w:w="14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Duration</w:t>
            </w:r>
          </w:p>
        </w:tc>
        <w:tc>
          <w:tcPr>
            <w:tcW w:type="dxa" w:w="14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Weeks</w:t>
            </w:r>
          </w:p>
        </w:tc>
        <w:tc>
          <w:tcPr>
            <w:tcW w:type="dxa" w:w="556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Milestone</w:t>
            </w:r>
          </w:p>
        </w:tc>
      </w:tr>
      <w:tr>
        <w:tc>
          <w:tcPr>
            <w:tcW w:type="dxa" w:w="10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006D77"/>
                <w:sz w:val="22"/>
                <w:szCs w:val="22"/>
              </w:rPr>
              <w:t xml:space="preserve">Phase 1</w:t>
            </w:r>
          </w:p>
        </w:tc>
        <w:tc>
          <w:tcPr>
            <w:tcW w:type="dxa" w:w="14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7 days</w:t>
            </w:r>
          </w:p>
        </w:tc>
        <w:tc>
          <w:tcPr>
            <w:tcW w:type="dxa" w:w="14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Week 1</w:t>
            </w:r>
          </w:p>
        </w:tc>
        <w:tc>
          <w:tcPr>
            <w:tcW w:type="dxa" w:w="5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Basic dual-corpus RAG chatbot with Streamlit UI. Code Q&amp;A + compliance Q&amp;A working separately. Deployed on Streamlit Cloud.</w:t>
            </w:r>
          </w:p>
        </w:tc>
      </w:tr>
      <w:tr>
        <w:tc>
          <w:tcPr>
            <w:tcW w:type="dxa" w:w="10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bCs/>
                <w:color w:val="006D77"/>
                <w:sz w:val="22"/>
                <w:szCs w:val="22"/>
              </w:rPr>
              <w:t xml:space="preserve">Phase 2</w:t>
            </w:r>
          </w:p>
        </w:tc>
        <w:tc>
          <w:tcPr>
            <w:tcW w:type="dxa" w:w="14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2"/>
                <w:szCs w:val="22"/>
              </w:rPr>
              <w:t xml:space="preserve">7 days</w:t>
            </w:r>
          </w:p>
        </w:tc>
        <w:tc>
          <w:tcPr>
            <w:tcW w:type="dxa" w:w="14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2"/>
                <w:szCs w:val="22"/>
              </w:rPr>
              <w:t xml:space="preserve">Week 2</w:t>
            </w:r>
          </w:p>
        </w:tc>
        <w:tc>
          <w:tcPr>
            <w:tcW w:type="dxa" w:w="556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2"/>
                <w:szCs w:val="22"/>
              </w:rPr>
              <w:t xml:space="preserve">Production-grade RAG: hybrid BM25+vector retrieval, Cohere reranking, RAGAS evaluation suite running, cross-corpus query router prototype.</w:t>
            </w:r>
          </w:p>
        </w:tc>
      </w:tr>
      <w:tr>
        <w:tc>
          <w:tcPr>
            <w:tcW w:type="dxa" w:w="10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006D77"/>
                <w:sz w:val="22"/>
                <w:szCs w:val="22"/>
              </w:rPr>
              <w:t xml:space="preserve">Phase 3</w:t>
            </w:r>
          </w:p>
        </w:tc>
        <w:tc>
          <w:tcPr>
            <w:tcW w:type="dxa" w:w="14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7 days</w:t>
            </w:r>
          </w:p>
        </w:tc>
        <w:tc>
          <w:tcPr>
            <w:tcW w:type="dxa" w:w="14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Week 3</w:t>
            </w:r>
          </w:p>
        </w:tc>
        <w:tc>
          <w:tcPr>
            <w:tcW w:type="dxa" w:w="5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Full multi-agent system with LangGraph: query router, code analyzer, compliance mapper, synthesis agent. LangSmith tracing live.</w:t>
            </w:r>
          </w:p>
        </w:tc>
      </w:tr>
      <w:tr>
        <w:tc>
          <w:tcPr>
            <w:tcW w:type="dxa" w:w="10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bCs/>
                <w:color w:val="006D77"/>
                <w:sz w:val="22"/>
                <w:szCs w:val="22"/>
              </w:rPr>
              <w:t xml:space="preserve">Phase 4</w:t>
            </w:r>
          </w:p>
        </w:tc>
        <w:tc>
          <w:tcPr>
            <w:tcW w:type="dxa" w:w="14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2"/>
                <w:szCs w:val="22"/>
              </w:rPr>
              <w:t xml:space="preserve">14 days</w:t>
            </w:r>
          </w:p>
        </w:tc>
        <w:tc>
          <w:tcPr>
            <w:tcW w:type="dxa" w:w="14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2"/>
                <w:szCs w:val="22"/>
              </w:rPr>
              <w:t xml:space="preserve">Weeks 4–5</w:t>
            </w:r>
          </w:p>
        </w:tc>
        <w:tc>
          <w:tcPr>
            <w:tcW w:type="dxa" w:w="556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color w:val="333333"/>
                <w:sz w:val="22"/>
                <w:szCs w:val="22"/>
              </w:rPr>
              <w:t xml:space="preserve">Full SaaS: FastAPI backend, Supabase auth, GitHub OAuth connector, Docker, deployed on Render with live public URL. Analytics dashboard.</w:t>
            </w:r>
          </w:p>
        </w:tc>
      </w:tr>
      <w:tr>
        <w:tc>
          <w:tcPr>
            <w:tcW w:type="dxa" w:w="10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006D77"/>
                <w:sz w:val="22"/>
                <w:szCs w:val="22"/>
              </w:rPr>
              <w:t xml:space="preserve">Phase Polish</w:t>
            </w:r>
          </w:p>
        </w:tc>
        <w:tc>
          <w:tcPr>
            <w:tcW w:type="dxa" w:w="14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7 days</w:t>
            </w:r>
          </w:p>
        </w:tc>
        <w:tc>
          <w:tcPr>
            <w:tcW w:type="dxa" w:w="14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Week 6</w:t>
            </w:r>
          </w:p>
        </w:tc>
        <w:tc>
          <w:tcPr>
            <w:tcW w:type="dxa" w:w="5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README with benchmark tables, architecture diagrams, demo video. Portfolio presentation. Job applications begin.</w:t>
            </w:r>
          </w:p>
        </w:tc>
      </w:tr>
    </w:tbl>
    <w:p>
      <w:pPr>
        <w:spacing w:before="100" w:after="0"/>
      </w:pPr>
    </w:p>
    <w:p>
      <w:pPr>
        <w:pStyle w:val="Heading2"/>
        <w:spacing w:before="280" w:after="100"/>
      </w:pPr>
      <w:r>
        <w:rPr>
          <w:rFonts w:ascii="Arial" w:cs="Arial" w:eastAsia="Arial" w:hAnsi="Arial"/>
          <w:b/>
          <w:bCs/>
          <w:color w:val="006D77"/>
          <w:sz w:val="28"/>
          <w:szCs w:val="28"/>
        </w:rPr>
        <w:t xml:space="preserve">3.3  Phase 1 — Basic Dual-Corpus RAG (Week 1)</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gridSpan w:val="2"/>
            <w:tcBorders>
              <w:top w:val="none" w:color="FFFFFF" w:sz="0"/>
              <w:left w:val="none" w:color="FFFFFF" w:sz="0"/>
              <w:bottom w:val="none" w:color="FFFFFF" w:sz="0"/>
              <w:right w:val="none" w:color="FFFFFF" w:sz="0"/>
            </w:tcBorders>
            <w:shd w:fill="1B2A4A" w:val="clear"/>
            <w:tcMar>
              <w:top w:type="dxa" w:w="160"/>
              <w:left w:type="dxa" w:w="220"/>
              <w:bottom w:type="dxa" w:w="160"/>
              <w:right w:type="dxa" w:w="220"/>
            </w:tcMar>
          </w:tcPr>
          <w:p>
            <w:r>
              <w:rPr>
                <w:rFonts w:ascii="Arial" w:cs="Arial" w:eastAsia="Arial" w:hAnsi="Arial"/>
                <w:color w:val="AACCDD"/>
                <w:sz w:val="20"/>
                <w:szCs w:val="20"/>
              </w:rPr>
              <w:t xml:space="preserve">PHASE 1  ·  Week 1 · Days 1–7  ·  </w:t>
            </w:r>
            <w:r>
              <w:rPr>
                <w:rFonts w:ascii="Arial" w:cs="Arial" w:eastAsia="Arial" w:hAnsi="Arial"/>
                <w:b/>
                <w:bCs/>
                <w:color w:val="FFFFFF"/>
                <w:sz w:val="26"/>
                <w:szCs w:val="26"/>
              </w:rPr>
              <w:t xml:space="preserve">Basic Dual-Corpus RAG Chatbot</w:t>
            </w:r>
          </w:p>
          <w:p>
            <w:pPr>
              <w:spacing w:before="60" w:after="0"/>
            </w:pPr>
            <w:r>
              <w:rPr>
                <w:rFonts w:ascii="Arial" w:cs="Arial" w:eastAsia="Arial" w:hAnsi="Arial"/>
                <w:i/>
                <w:iCs/>
                <w:color w:val="CCDDEE"/>
                <w:sz w:val="20"/>
                <w:szCs w:val="20"/>
              </w:rPr>
              <w:t xml:space="preserve">Goal: Two working RAG pipelines (code + compliance) with a Streamlit UI and live deployment</w:t>
            </w:r>
          </w:p>
        </w:tc>
      </w:tr>
      <w:tr>
        <w:tc>
          <w:tcPr>
            <w:tcW w:type="dxa" w:w="5200"/>
            <w:tcBorders>
              <w:top w:val="single" w:color="1B2A4A" w:sz="4"/>
              <w:left w:val="single" w:color="CCDDEE" w:sz="6"/>
              <w:bottom w:val="single" w:color="CCDDEE" w:sz="6"/>
              <w:right w:val="single" w:color="CCDDEE" w:sz="6"/>
            </w:tcBorders>
            <w:shd w:fill="FFFFFF" w:val="clear"/>
            <w:tcMar>
              <w:top w:type="dxa" w:w="120"/>
              <w:left w:type="dxa" w:w="160"/>
              <w:bottom w:type="dxa" w:w="120"/>
              <w:right w:type="dxa" w:w="160"/>
            </w:tcMar>
          </w:tcPr>
          <w:p>
            <w:pPr>
              <w:spacing w:before="0" w:after="80"/>
            </w:pPr>
            <w:r>
              <w:rPr>
                <w:rFonts w:ascii="Arial" w:cs="Arial" w:eastAsia="Arial" w:hAnsi="Arial"/>
                <w:b/>
                <w:bCs/>
                <w:color w:val="1B2A4A"/>
                <w:sz w:val="22"/>
                <w:szCs w:val="22"/>
              </w:rPr>
              <w:t xml:space="preserve">Key Tasks &amp; Features</w:t>
            </w:r>
          </w:p>
          <w:p>
            <w:pPr>
              <w:pStyle w:val="ListParagraph"/>
              <w:numPr>
                <w:ilvl w:val="0"/>
                <w:numId w:val="2"/>
              </w:numPr>
              <w:spacing w:before="0" w:after="100" w:line="276" w:lineRule="auto"/>
            </w:pPr>
            <w:r>
              <w:rPr>
                <w:rFonts w:ascii="Arial" w:cs="Arial" w:eastAsia="Arial" w:hAnsi="Arial"/>
                <w:color w:val="333333"/>
                <w:sz w:val="22"/>
                <w:szCs w:val="22"/>
              </w:rPr>
              <w:t xml:space="preserve">Day 1–2: Project setup — GitHub repo, pyenv, virtual environment, requirements.txt. Install all Phase 1 dependencies. Configure .env with API keys.</w:t>
            </w:r>
          </w:p>
          <w:p>
            <w:pPr>
              <w:pStyle w:val="ListParagraph"/>
              <w:numPr>
                <w:ilvl w:val="0"/>
                <w:numId w:val="2"/>
              </w:numPr>
              <w:spacing w:before="0" w:after="100" w:line="276" w:lineRule="auto"/>
            </w:pPr>
            <w:r>
              <w:rPr>
                <w:rFonts w:ascii="Arial" w:cs="Arial" w:eastAsia="Arial" w:hAnsi="Arial"/>
                <w:color w:val="333333"/>
                <w:sz w:val="22"/>
                <w:szCs w:val="22"/>
              </w:rPr>
              <w:t xml:space="preserve">Day 2: Corpus preparation — collect sample data: 2–3 Python/JS open-source FinTech repos (e.g., ccxt, freqtrade) + 3–5 public compliance PDFs (PCI-DSS v4.0, SOX overview, sample SEC filing).</w:t>
            </w:r>
          </w:p>
          <w:p>
            <w:pPr>
              <w:pStyle w:val="ListParagraph"/>
              <w:numPr>
                <w:ilvl w:val="0"/>
                <w:numId w:val="2"/>
              </w:numPr>
              <w:spacing w:before="0" w:after="100" w:line="276" w:lineRule="auto"/>
            </w:pPr>
            <w:r>
              <w:rPr>
                <w:rFonts w:ascii="Arial" w:cs="Arial" w:eastAsia="Arial" w:hAnsi="Arial"/>
                <w:color w:val="333333"/>
                <w:sz w:val="22"/>
                <w:szCs w:val="22"/>
              </w:rPr>
              <w:t xml:space="preserve">Day 3: Code ingestion pipeline — tree-sitter AST parsing, function-level chunking, nomic-embed-code embeddings, store in Chroma namespace 'codebase'.</w:t>
            </w:r>
          </w:p>
          <w:p>
            <w:pPr>
              <w:pStyle w:val="ListParagraph"/>
              <w:numPr>
                <w:ilvl w:val="0"/>
                <w:numId w:val="2"/>
              </w:numPr>
              <w:spacing w:before="0" w:after="100" w:line="276" w:lineRule="auto"/>
            </w:pPr>
            <w:r>
              <w:rPr>
                <w:rFonts w:ascii="Arial" w:cs="Arial" w:eastAsia="Arial" w:hAnsi="Arial"/>
                <w:color w:val="333333"/>
                <w:sz w:val="22"/>
                <w:szCs w:val="22"/>
              </w:rPr>
              <w:t xml:space="preserve">Day 3–4: Compliance ingestion pipeline — PyMuPDF PDF parsing, section-level chunking, sentence-transformers embeddings, store in Chroma namespace 'compliance'.</w:t>
            </w:r>
          </w:p>
          <w:p>
            <w:pPr>
              <w:pStyle w:val="ListParagraph"/>
              <w:numPr>
                <w:ilvl w:val="0"/>
                <w:numId w:val="2"/>
              </w:numPr>
              <w:spacing w:before="0" w:after="100" w:line="276" w:lineRule="auto"/>
            </w:pPr>
            <w:r>
              <w:rPr>
                <w:rFonts w:ascii="Arial" w:cs="Arial" w:eastAsia="Arial" w:hAnsi="Arial"/>
                <w:color w:val="333333"/>
                <w:sz w:val="22"/>
                <w:szCs w:val="22"/>
              </w:rPr>
              <w:t xml:space="preserve">Day 4: Basic RAG chain — LangChain RetrievalQA chain with 'I don't know' fallback. Separate chains for each corpus.</w:t>
            </w:r>
          </w:p>
          <w:p>
            <w:pPr>
              <w:pStyle w:val="ListParagraph"/>
              <w:numPr>
                <w:ilvl w:val="0"/>
                <w:numId w:val="2"/>
              </w:numPr>
              <w:spacing w:before="0" w:after="100" w:line="276" w:lineRule="auto"/>
            </w:pPr>
            <w:r>
              <w:rPr>
                <w:rFonts w:ascii="Arial" w:cs="Arial" w:eastAsia="Arial" w:hAnsi="Arial"/>
                <w:color w:val="333333"/>
                <w:sz w:val="22"/>
                <w:szCs w:val="22"/>
              </w:rPr>
              <w:t xml:space="preserve">Day 5: Streamlit UI — dual-pane interface, corpus selector, source citation display, conversation history.</w:t>
            </w:r>
          </w:p>
          <w:p>
            <w:pPr>
              <w:pStyle w:val="ListParagraph"/>
              <w:numPr>
                <w:ilvl w:val="0"/>
                <w:numId w:val="2"/>
              </w:numPr>
              <w:spacing w:before="0" w:after="100" w:line="276" w:lineRule="auto"/>
            </w:pPr>
            <w:r>
              <w:rPr>
                <w:rFonts w:ascii="Arial" w:cs="Arial" w:eastAsia="Arial" w:hAnsi="Arial"/>
                <w:color w:val="333333"/>
                <w:sz w:val="22"/>
                <w:szCs w:val="22"/>
              </w:rPr>
              <w:t xml:space="preserve">Day 6: Basic query router — simple keyword-based routing (code keywords → codebase corpus, regulation keywords → compliance corpus).</w:t>
            </w:r>
          </w:p>
          <w:p>
            <w:pPr>
              <w:pStyle w:val="ListParagraph"/>
              <w:numPr>
                <w:ilvl w:val="0"/>
                <w:numId w:val="2"/>
              </w:numPr>
              <w:spacing w:before="0" w:after="100" w:line="276" w:lineRule="auto"/>
            </w:pPr>
            <w:r>
              <w:rPr>
                <w:rFonts w:ascii="Arial" w:cs="Arial" w:eastAsia="Arial" w:hAnsi="Arial"/>
                <w:color w:val="333333"/>
                <w:sz w:val="22"/>
                <w:szCs w:val="22"/>
              </w:rPr>
              <w:t xml:space="preserve">Day 7: Deploy to Streamlit Cloud. Test with 20 sample queries. Document results in Build Log.</w:t>
            </w:r>
          </w:p>
        </w:tc>
        <w:tc>
          <w:tcPr>
            <w:tcW w:type="dxa" w:w="4160"/>
            <w:tcBorders>
              <w:top w:val="single" w:color="1B2A4A" w:sz="4"/>
              <w:left w:val="single" w:color="CCDDEE" w:sz="6"/>
              <w:bottom w:val="single" w:color="CCDDEE" w:sz="6"/>
              <w:right w:val="single" w:color="CCDDEE" w:sz="6"/>
            </w:tcBorders>
            <w:shd w:fill="F5F8FA" w:val="clear"/>
            <w:tcMar>
              <w:top w:type="dxa" w:w="120"/>
              <w:left w:type="dxa" w:w="160"/>
              <w:bottom w:type="dxa" w:w="120"/>
              <w:right w:type="dxa" w:w="160"/>
            </w:tcMar>
          </w:tcPr>
          <w:p>
            <w:pPr>
              <w:spacing w:before="0" w:after="80"/>
            </w:pPr>
            <w:r>
              <w:rPr>
                <w:rFonts w:ascii="Arial" w:cs="Arial" w:eastAsia="Arial" w:hAnsi="Arial"/>
                <w:b/>
                <w:bCs/>
                <w:color w:val="006D77"/>
                <w:sz w:val="22"/>
                <w:szCs w:val="22"/>
              </w:rPr>
              <w:t xml:space="preserve">Tech Introduced</w:t>
            </w:r>
          </w:p>
          <w:p>
            <w:pPr>
              <w:pStyle w:val="ListParagraph"/>
              <w:numPr>
                <w:ilvl w:val="0"/>
                <w:numId w:val="2"/>
              </w:numPr>
              <w:spacing w:before="0" w:after="100" w:line="276" w:lineRule="auto"/>
            </w:pPr>
            <w:r>
              <w:rPr>
                <w:rFonts w:ascii="Arial" w:cs="Arial" w:eastAsia="Arial" w:hAnsi="Arial"/>
                <w:color w:val="4A5568"/>
                <w:sz w:val="22"/>
                <w:szCs w:val="22"/>
              </w:rPr>
              <w:t xml:space="preserve">LlamaIndex (ingestion)</w:t>
            </w:r>
          </w:p>
          <w:p>
            <w:pPr>
              <w:pStyle w:val="ListParagraph"/>
              <w:numPr>
                <w:ilvl w:val="0"/>
                <w:numId w:val="2"/>
              </w:numPr>
              <w:spacing w:before="0" w:after="100" w:line="276" w:lineRule="auto"/>
            </w:pPr>
            <w:r>
              <w:rPr>
                <w:rFonts w:ascii="Arial" w:cs="Arial" w:eastAsia="Arial" w:hAnsi="Arial"/>
                <w:color w:val="4A5568"/>
                <w:sz w:val="22"/>
                <w:szCs w:val="22"/>
              </w:rPr>
              <w:t xml:space="preserve">tree-sitter (AST parsing)</w:t>
            </w:r>
          </w:p>
          <w:p>
            <w:pPr>
              <w:pStyle w:val="ListParagraph"/>
              <w:numPr>
                <w:ilvl w:val="0"/>
                <w:numId w:val="2"/>
              </w:numPr>
              <w:spacing w:before="0" w:after="100" w:line="276" w:lineRule="auto"/>
            </w:pPr>
            <w:r>
              <w:rPr>
                <w:rFonts w:ascii="Arial" w:cs="Arial" w:eastAsia="Arial" w:hAnsi="Arial"/>
                <w:color w:val="4A5568"/>
                <w:sz w:val="22"/>
                <w:szCs w:val="22"/>
              </w:rPr>
              <w:t xml:space="preserve">Chroma (vector store)</w:t>
            </w:r>
          </w:p>
          <w:p>
            <w:pPr>
              <w:pStyle w:val="ListParagraph"/>
              <w:numPr>
                <w:ilvl w:val="0"/>
                <w:numId w:val="2"/>
              </w:numPr>
              <w:spacing w:before="0" w:after="100" w:line="276" w:lineRule="auto"/>
            </w:pPr>
            <w:r>
              <w:rPr>
                <w:rFonts w:ascii="Arial" w:cs="Arial" w:eastAsia="Arial" w:hAnsi="Arial"/>
                <w:color w:val="4A5568"/>
                <w:sz w:val="22"/>
                <w:szCs w:val="22"/>
              </w:rPr>
              <w:t xml:space="preserve">sentence-transformers</w:t>
            </w:r>
          </w:p>
          <w:p>
            <w:pPr>
              <w:pStyle w:val="ListParagraph"/>
              <w:numPr>
                <w:ilvl w:val="0"/>
                <w:numId w:val="2"/>
              </w:numPr>
              <w:spacing w:before="0" w:after="100" w:line="276" w:lineRule="auto"/>
            </w:pPr>
            <w:r>
              <w:rPr>
                <w:rFonts w:ascii="Arial" w:cs="Arial" w:eastAsia="Arial" w:hAnsi="Arial"/>
                <w:color w:val="4A5568"/>
                <w:sz w:val="22"/>
                <w:szCs w:val="22"/>
              </w:rPr>
              <w:t xml:space="preserve">nomic-embed-code (Ollama)</w:t>
            </w:r>
          </w:p>
          <w:p>
            <w:pPr>
              <w:pStyle w:val="ListParagraph"/>
              <w:numPr>
                <w:ilvl w:val="0"/>
                <w:numId w:val="2"/>
              </w:numPr>
              <w:spacing w:before="0" w:after="100" w:line="276" w:lineRule="auto"/>
            </w:pPr>
            <w:r>
              <w:rPr>
                <w:rFonts w:ascii="Arial" w:cs="Arial" w:eastAsia="Arial" w:hAnsi="Arial"/>
                <w:color w:val="4A5568"/>
                <w:sz w:val="22"/>
                <w:szCs w:val="22"/>
              </w:rPr>
              <w:t xml:space="preserve">LangChain RetrievalQA</w:t>
            </w:r>
          </w:p>
          <w:p>
            <w:pPr>
              <w:pStyle w:val="ListParagraph"/>
              <w:numPr>
                <w:ilvl w:val="0"/>
                <w:numId w:val="2"/>
              </w:numPr>
              <w:spacing w:before="0" w:after="100" w:line="276" w:lineRule="auto"/>
            </w:pPr>
            <w:r>
              <w:rPr>
                <w:rFonts w:ascii="Arial" w:cs="Arial" w:eastAsia="Arial" w:hAnsi="Arial"/>
                <w:color w:val="4A5568"/>
                <w:sz w:val="22"/>
                <w:szCs w:val="22"/>
              </w:rPr>
              <w:t xml:space="preserve">PyMuPDF</w:t>
            </w:r>
          </w:p>
          <w:p>
            <w:pPr>
              <w:pStyle w:val="ListParagraph"/>
              <w:numPr>
                <w:ilvl w:val="0"/>
                <w:numId w:val="2"/>
              </w:numPr>
              <w:spacing w:before="0" w:after="100" w:line="276" w:lineRule="auto"/>
            </w:pPr>
            <w:r>
              <w:rPr>
                <w:rFonts w:ascii="Arial" w:cs="Arial" w:eastAsia="Arial" w:hAnsi="Arial"/>
                <w:color w:val="4A5568"/>
                <w:sz w:val="22"/>
                <w:szCs w:val="22"/>
              </w:rPr>
              <w:t xml:space="preserve">Streamlit</w:t>
            </w:r>
          </w:p>
          <w:p>
            <w:pPr>
              <w:spacing w:before="100" w:after="60"/>
            </w:pPr>
            <w:r>
              <w:rPr>
                <w:rFonts w:ascii="Arial" w:cs="Arial" w:eastAsia="Arial" w:hAnsi="Arial"/>
                <w:b/>
                <w:bCs/>
                <w:color w:val="1B2A4A"/>
                <w:sz w:val="22"/>
                <w:szCs w:val="22"/>
              </w:rPr>
              <w:t xml:space="preserve">Deliverable</w:t>
            </w:r>
          </w:p>
          <w:p>
            <w:pPr>
              <w:spacing w:before="0" w:after="80"/>
            </w:pPr>
            <w:r>
              <w:rPr>
                <w:rFonts w:ascii="Arial" w:cs="Arial" w:eastAsia="Arial" w:hAnsi="Arial"/>
                <w:i/>
                <w:iCs/>
                <w:color w:val="333333"/>
                <w:sz w:val="21"/>
                <w:szCs w:val="21"/>
              </w:rPr>
              <w:t xml:space="preserve">Live Streamlit app deployed on Streamlit Cloud with public URL. Two working RAG pipelines. 20 test queries documented.</w:t>
            </w:r>
          </w:p>
          <w:p>
            <w:pPr>
              <w:spacing w:before="80" w:after="60"/>
            </w:pPr>
            <w:r>
              <w:rPr>
                <w:rFonts w:ascii="Arial" w:cs="Arial" w:eastAsia="Arial" w:hAnsi="Arial"/>
                <w:b/>
                <w:bCs/>
                <w:color w:val="C0392B"/>
                <w:sz w:val="22"/>
                <w:szCs w:val="22"/>
              </w:rPr>
              <w:t xml:space="preserve">Target Metrics</w:t>
            </w:r>
          </w:p>
          <w:p>
            <w:pPr>
              <w:pStyle w:val="ListParagraph"/>
              <w:numPr>
                <w:ilvl w:val="0"/>
                <w:numId w:val="2"/>
              </w:numPr>
              <w:spacing w:before="0" w:after="100" w:line="276" w:lineRule="auto"/>
            </w:pPr>
            <w:r>
              <w:rPr>
                <w:rFonts w:ascii="Arial" w:cs="Arial" w:eastAsia="Arial" w:hAnsi="Arial"/>
                <w:color w:val="C0392B"/>
                <w:sz w:val="22"/>
                <w:szCs w:val="22"/>
              </w:rPr>
              <w:t xml:space="preserve">Retrieval top-5 precision: baseline measurement</w:t>
            </w:r>
          </w:p>
          <w:p>
            <w:pPr>
              <w:pStyle w:val="ListParagraph"/>
              <w:numPr>
                <w:ilvl w:val="0"/>
                <w:numId w:val="2"/>
              </w:numPr>
              <w:spacing w:before="0" w:after="100" w:line="276" w:lineRule="auto"/>
            </w:pPr>
            <w:r>
              <w:rPr>
                <w:rFonts w:ascii="Arial" w:cs="Arial" w:eastAsia="Arial" w:hAnsi="Arial"/>
                <w:color w:val="C0392B"/>
                <w:sz w:val="22"/>
                <w:szCs w:val="22"/>
              </w:rPr>
              <w:t xml:space="preserve">Answer latency: &lt; 5s (no optimization yet)</w:t>
            </w:r>
          </w:p>
          <w:p>
            <w:pPr>
              <w:pStyle w:val="ListParagraph"/>
              <w:numPr>
                <w:ilvl w:val="0"/>
                <w:numId w:val="2"/>
              </w:numPr>
              <w:spacing w:before="0" w:after="100" w:line="276" w:lineRule="auto"/>
            </w:pPr>
            <w:r>
              <w:rPr>
                <w:rFonts w:ascii="Arial" w:cs="Arial" w:eastAsia="Arial" w:hAnsi="Arial"/>
                <w:color w:val="C0392B"/>
                <w:sz w:val="22"/>
                <w:szCs w:val="22"/>
              </w:rPr>
              <w:t xml:space="preserve">Both corpora indexed and queryable</w:t>
            </w:r>
          </w:p>
          <w:p>
            <w:pPr>
              <w:pStyle w:val="ListParagraph"/>
              <w:numPr>
                <w:ilvl w:val="0"/>
                <w:numId w:val="2"/>
              </w:numPr>
              <w:spacing w:before="0" w:after="100" w:line="276" w:lineRule="auto"/>
            </w:pPr>
            <w:r>
              <w:rPr>
                <w:rFonts w:ascii="Arial" w:cs="Arial" w:eastAsia="Arial" w:hAnsi="Arial"/>
                <w:color w:val="C0392B"/>
                <w:sz w:val="22"/>
                <w:szCs w:val="22"/>
              </w:rPr>
              <w:t xml:space="preserve">20 test queries logged with outputs</w:t>
            </w:r>
          </w:p>
        </w:tc>
      </w:tr>
    </w:tbl>
    <w:p>
      <w:pPr>
        <w:spacing w:before="100" w:after="0"/>
      </w:pPr>
    </w:p>
    <w:p>
      <w:pPr>
        <w:pStyle w:val="Heading2"/>
        <w:spacing w:before="280" w:after="100"/>
      </w:pPr>
      <w:r>
        <w:rPr>
          <w:rFonts w:ascii="Arial" w:cs="Arial" w:eastAsia="Arial" w:hAnsi="Arial"/>
          <w:b/>
          <w:bCs/>
          <w:color w:val="006D77"/>
          <w:sz w:val="28"/>
          <w:szCs w:val="28"/>
        </w:rPr>
        <w:t xml:space="preserve">3.4  Phase 2 — Production-Grade RAG (Week 2)</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gridSpan w:val="2"/>
            <w:tcBorders>
              <w:top w:val="none" w:color="FFFFFF" w:sz="0"/>
              <w:left w:val="none" w:color="FFFFFF" w:sz="0"/>
              <w:bottom w:val="none" w:color="FFFFFF" w:sz="0"/>
              <w:right w:val="none" w:color="FFFFFF" w:sz="0"/>
            </w:tcBorders>
            <w:shd w:fill="006D77" w:val="clear"/>
            <w:tcMar>
              <w:top w:type="dxa" w:w="160"/>
              <w:left w:type="dxa" w:w="220"/>
              <w:bottom w:type="dxa" w:w="160"/>
              <w:right w:type="dxa" w:w="220"/>
            </w:tcMar>
          </w:tcPr>
          <w:p>
            <w:r>
              <w:rPr>
                <w:rFonts w:ascii="Arial" w:cs="Arial" w:eastAsia="Arial" w:hAnsi="Arial"/>
                <w:color w:val="AACCDD"/>
                <w:sz w:val="20"/>
                <w:szCs w:val="20"/>
              </w:rPr>
              <w:t xml:space="preserve">PHASE 2  ·  Week 2 · Days 8–14  ·  </w:t>
            </w:r>
            <w:r>
              <w:rPr>
                <w:rFonts w:ascii="Arial" w:cs="Arial" w:eastAsia="Arial" w:hAnsi="Arial"/>
                <w:b/>
                <w:bCs/>
                <w:color w:val="FFFFFF"/>
                <w:sz w:val="26"/>
                <w:szCs w:val="26"/>
              </w:rPr>
              <w:t xml:space="preserve">Production RAG with Hybrid Retrieval + Evaluation</w:t>
            </w:r>
          </w:p>
          <w:p>
            <w:pPr>
              <w:spacing w:before="60" w:after="0"/>
            </w:pPr>
            <w:r>
              <w:rPr>
                <w:rFonts w:ascii="Arial" w:cs="Arial" w:eastAsia="Arial" w:hAnsi="Arial"/>
                <w:i/>
                <w:iCs/>
                <w:color w:val="CCDDEE"/>
                <w:sz w:val="20"/>
                <w:szCs w:val="20"/>
              </w:rPr>
              <w:t xml:space="preserve">Goal: Measurably better retrieval, cross-corpus routing, RAGAS metrics established as baseline</w:t>
            </w:r>
          </w:p>
        </w:tc>
      </w:tr>
      <w:tr>
        <w:tc>
          <w:tcPr>
            <w:tcW w:type="dxa" w:w="5200"/>
            <w:tcBorders>
              <w:top w:val="single" w:color="006D77" w:sz="4"/>
              <w:left w:val="single" w:color="CCDDEE" w:sz="6"/>
              <w:bottom w:val="single" w:color="CCDDEE" w:sz="6"/>
              <w:right w:val="single" w:color="CCDDEE" w:sz="6"/>
            </w:tcBorders>
            <w:shd w:fill="FFFFFF" w:val="clear"/>
            <w:tcMar>
              <w:top w:type="dxa" w:w="120"/>
              <w:left w:type="dxa" w:w="160"/>
              <w:bottom w:type="dxa" w:w="120"/>
              <w:right w:type="dxa" w:w="160"/>
            </w:tcMar>
          </w:tcPr>
          <w:p>
            <w:pPr>
              <w:spacing w:before="0" w:after="80"/>
            </w:pPr>
            <w:r>
              <w:rPr>
                <w:rFonts w:ascii="Arial" w:cs="Arial" w:eastAsia="Arial" w:hAnsi="Arial"/>
                <w:b/>
                <w:bCs/>
                <w:color w:val="1B2A4A"/>
                <w:sz w:val="22"/>
                <w:szCs w:val="22"/>
              </w:rPr>
              <w:t xml:space="preserve">Key Tasks &amp; Features</w:t>
            </w:r>
          </w:p>
          <w:p>
            <w:pPr>
              <w:pStyle w:val="ListParagraph"/>
              <w:numPr>
                <w:ilvl w:val="0"/>
                <w:numId w:val="2"/>
              </w:numPr>
              <w:spacing w:before="0" w:after="100" w:line="276" w:lineRule="auto"/>
            </w:pPr>
            <w:r>
              <w:rPr>
                <w:rFonts w:ascii="Arial" w:cs="Arial" w:eastAsia="Arial" w:hAnsi="Arial"/>
                <w:color w:val="333333"/>
                <w:sz w:val="22"/>
                <w:szCs w:val="22"/>
              </w:rPr>
              <w:t xml:space="preserve">Day 8: Implement BM25 retrieval (rank_bm25) for both corpora. Run A/B test: pure vector vs. BM25 vs. hybrid. Document precision improvement.</w:t>
            </w:r>
          </w:p>
          <w:p>
            <w:pPr>
              <w:pStyle w:val="ListParagraph"/>
              <w:numPr>
                <w:ilvl w:val="0"/>
                <w:numId w:val="2"/>
              </w:numPr>
              <w:spacing w:before="0" w:after="100" w:line="276" w:lineRule="auto"/>
            </w:pPr>
            <w:r>
              <w:rPr>
                <w:rFonts w:ascii="Arial" w:cs="Arial" w:eastAsia="Arial" w:hAnsi="Arial"/>
                <w:color w:val="333333"/>
                <w:sz w:val="22"/>
                <w:szCs w:val="22"/>
              </w:rPr>
              <w:t xml:space="preserve">Day 9: Integrate Cohere Rerank v3 as post-retrieval reranker. Compare top-5 results before and after reranking on 50 test queries. Measure faithfulness change.</w:t>
            </w:r>
          </w:p>
          <w:p>
            <w:pPr>
              <w:pStyle w:val="ListParagraph"/>
              <w:numPr>
                <w:ilvl w:val="0"/>
                <w:numId w:val="2"/>
              </w:numPr>
              <w:spacing w:before="0" w:after="100" w:line="276" w:lineRule="auto"/>
            </w:pPr>
            <w:r>
              <w:rPr>
                <w:rFonts w:ascii="Arial" w:cs="Arial" w:eastAsia="Arial" w:hAnsi="Arial"/>
                <w:color w:val="333333"/>
                <w:sz w:val="22"/>
                <w:szCs w:val="22"/>
              </w:rPr>
              <w:t xml:space="preserve">Day 10: RAGAS evaluation suite setup — generate synthetic question-answer pairs from both corpora. Run faithfulness, answer_relevancy, context_precision, context_recall. Record baseline scores.</w:t>
            </w:r>
          </w:p>
          <w:p>
            <w:pPr>
              <w:pStyle w:val="ListParagraph"/>
              <w:numPr>
                <w:ilvl w:val="0"/>
                <w:numId w:val="2"/>
              </w:numPr>
              <w:spacing w:before="0" w:after="100" w:line="276" w:lineRule="auto"/>
            </w:pPr>
            <w:r>
              <w:rPr>
                <w:rFonts w:ascii="Arial" w:cs="Arial" w:eastAsia="Arial" w:hAnsi="Arial"/>
                <w:color w:val="333333"/>
                <w:sz w:val="22"/>
                <w:szCs w:val="22"/>
              </w:rPr>
              <w:t xml:space="preserve">Day 10–11: Chunk optimization experiments — test 3 chunk sizes (256, 512, 1024 tokens) and 3 overlap settings. Use RAGAS context_recall to determine optimal configuration.</w:t>
            </w:r>
          </w:p>
          <w:p>
            <w:pPr>
              <w:pStyle w:val="ListParagraph"/>
              <w:numPr>
                <w:ilvl w:val="0"/>
                <w:numId w:val="2"/>
              </w:numPr>
              <w:spacing w:before="0" w:after="100" w:line="276" w:lineRule="auto"/>
            </w:pPr>
            <w:r>
              <w:rPr>
                <w:rFonts w:ascii="Arial" w:cs="Arial" w:eastAsia="Arial" w:hAnsi="Arial"/>
                <w:color w:val="333333"/>
                <w:sz w:val="22"/>
                <w:szCs w:val="22"/>
              </w:rPr>
              <w:t xml:space="preserve">Day 11–12: Improve query router — replace keyword-based with LLM-based classifier (GPT-4o-mini). Test routing accuracy on 50 labeled queries. Target: &gt; 90% routing accuracy.</w:t>
            </w:r>
          </w:p>
          <w:p>
            <w:pPr>
              <w:pStyle w:val="ListParagraph"/>
              <w:numPr>
                <w:ilvl w:val="0"/>
                <w:numId w:val="2"/>
              </w:numPr>
              <w:spacing w:before="0" w:after="100" w:line="276" w:lineRule="auto"/>
            </w:pPr>
            <w:r>
              <w:rPr>
                <w:rFonts w:ascii="Arial" w:cs="Arial" w:eastAsia="Arial" w:hAnsi="Arial"/>
                <w:color w:val="333333"/>
                <w:sz w:val="22"/>
                <w:szCs w:val="22"/>
              </w:rPr>
              <w:t xml:space="preserve">Day 12–13: 'I don't know' calibration — implement confidence scoring. If max chunk similarity &lt; threshold, return fallback instead of hallucinated answer. Tune threshold.</w:t>
            </w:r>
          </w:p>
          <w:p>
            <w:pPr>
              <w:pStyle w:val="ListParagraph"/>
              <w:numPr>
                <w:ilvl w:val="0"/>
                <w:numId w:val="2"/>
              </w:numPr>
              <w:spacing w:before="0" w:after="100" w:line="276" w:lineRule="auto"/>
            </w:pPr>
            <w:r>
              <w:rPr>
                <w:rFonts w:ascii="Arial" w:cs="Arial" w:eastAsia="Arial" w:hAnsi="Arial"/>
                <w:color w:val="333333"/>
                <w:sz w:val="22"/>
                <w:szCs w:val="22"/>
              </w:rPr>
              <w:t xml:space="preserve">Day 13–14: DeepEval hallucination test suite — write 20 adversarial queries designed to trigger hallucinations. Measure and document hallucination rate.</w:t>
            </w:r>
          </w:p>
        </w:tc>
        <w:tc>
          <w:tcPr>
            <w:tcW w:type="dxa" w:w="4160"/>
            <w:tcBorders>
              <w:top w:val="single" w:color="006D77" w:sz="4"/>
              <w:left w:val="single" w:color="CCDDEE" w:sz="6"/>
              <w:bottom w:val="single" w:color="CCDDEE" w:sz="6"/>
              <w:right w:val="single" w:color="CCDDEE" w:sz="6"/>
            </w:tcBorders>
            <w:shd w:fill="F5F8FA" w:val="clear"/>
            <w:tcMar>
              <w:top w:type="dxa" w:w="120"/>
              <w:left w:type="dxa" w:w="160"/>
              <w:bottom w:type="dxa" w:w="120"/>
              <w:right w:type="dxa" w:w="160"/>
            </w:tcMar>
          </w:tcPr>
          <w:p>
            <w:pPr>
              <w:spacing w:before="0" w:after="80"/>
            </w:pPr>
            <w:r>
              <w:rPr>
                <w:rFonts w:ascii="Arial" w:cs="Arial" w:eastAsia="Arial" w:hAnsi="Arial"/>
                <w:b/>
                <w:bCs/>
                <w:color w:val="006D77"/>
                <w:sz w:val="22"/>
                <w:szCs w:val="22"/>
              </w:rPr>
              <w:t xml:space="preserve">Tech Introduced</w:t>
            </w:r>
          </w:p>
          <w:p>
            <w:pPr>
              <w:pStyle w:val="ListParagraph"/>
              <w:numPr>
                <w:ilvl w:val="0"/>
                <w:numId w:val="2"/>
              </w:numPr>
              <w:spacing w:before="0" w:after="100" w:line="276" w:lineRule="auto"/>
            </w:pPr>
            <w:r>
              <w:rPr>
                <w:rFonts w:ascii="Arial" w:cs="Arial" w:eastAsia="Arial" w:hAnsi="Arial"/>
                <w:color w:val="4A5568"/>
                <w:sz w:val="22"/>
                <w:szCs w:val="22"/>
              </w:rPr>
              <w:t xml:space="preserve">BM25 (rank_bm25)</w:t>
            </w:r>
          </w:p>
          <w:p>
            <w:pPr>
              <w:pStyle w:val="ListParagraph"/>
              <w:numPr>
                <w:ilvl w:val="0"/>
                <w:numId w:val="2"/>
              </w:numPr>
              <w:spacing w:before="0" w:after="100" w:line="276" w:lineRule="auto"/>
            </w:pPr>
            <w:r>
              <w:rPr>
                <w:rFonts w:ascii="Arial" w:cs="Arial" w:eastAsia="Arial" w:hAnsi="Arial"/>
                <w:color w:val="4A5568"/>
                <w:sz w:val="22"/>
                <w:szCs w:val="22"/>
              </w:rPr>
              <w:t xml:space="preserve">Cohere Rerank v3 API</w:t>
            </w:r>
          </w:p>
          <w:p>
            <w:pPr>
              <w:pStyle w:val="ListParagraph"/>
              <w:numPr>
                <w:ilvl w:val="0"/>
                <w:numId w:val="2"/>
              </w:numPr>
              <w:spacing w:before="0" w:after="100" w:line="276" w:lineRule="auto"/>
            </w:pPr>
            <w:r>
              <w:rPr>
                <w:rFonts w:ascii="Arial" w:cs="Arial" w:eastAsia="Arial" w:hAnsi="Arial"/>
                <w:color w:val="4A5568"/>
                <w:sz w:val="22"/>
                <w:szCs w:val="22"/>
              </w:rPr>
              <w:t xml:space="preserve">RAGAS evaluation framework</w:t>
            </w:r>
          </w:p>
          <w:p>
            <w:pPr>
              <w:pStyle w:val="ListParagraph"/>
              <w:numPr>
                <w:ilvl w:val="0"/>
                <w:numId w:val="2"/>
              </w:numPr>
              <w:spacing w:before="0" w:after="100" w:line="276" w:lineRule="auto"/>
            </w:pPr>
            <w:r>
              <w:rPr>
                <w:rFonts w:ascii="Arial" w:cs="Arial" w:eastAsia="Arial" w:hAnsi="Arial"/>
                <w:color w:val="4A5568"/>
                <w:sz w:val="22"/>
                <w:szCs w:val="22"/>
              </w:rPr>
              <w:t xml:space="preserve">DeepEval</w:t>
            </w:r>
          </w:p>
          <w:p>
            <w:pPr>
              <w:pStyle w:val="ListParagraph"/>
              <w:numPr>
                <w:ilvl w:val="0"/>
                <w:numId w:val="2"/>
              </w:numPr>
              <w:spacing w:before="0" w:after="100" w:line="276" w:lineRule="auto"/>
            </w:pPr>
            <w:r>
              <w:rPr>
                <w:rFonts w:ascii="Arial" w:cs="Arial" w:eastAsia="Arial" w:hAnsi="Arial"/>
                <w:color w:val="4A5568"/>
                <w:sz w:val="22"/>
                <w:szCs w:val="22"/>
              </w:rPr>
              <w:t xml:space="preserve">LLM-based query classifier</w:t>
            </w:r>
          </w:p>
          <w:p>
            <w:pPr>
              <w:pStyle w:val="ListParagraph"/>
              <w:numPr>
                <w:ilvl w:val="0"/>
                <w:numId w:val="2"/>
              </w:numPr>
              <w:spacing w:before="0" w:after="100" w:line="276" w:lineRule="auto"/>
            </w:pPr>
            <w:r>
              <w:rPr>
                <w:rFonts w:ascii="Arial" w:cs="Arial" w:eastAsia="Arial" w:hAnsi="Arial"/>
                <w:color w:val="4A5568"/>
                <w:sz w:val="22"/>
                <w:szCs w:val="22"/>
              </w:rPr>
              <w:t xml:space="preserve">Confidence scoring layer</w:t>
            </w:r>
          </w:p>
          <w:p>
            <w:pPr>
              <w:spacing w:before="100" w:after="60"/>
            </w:pPr>
            <w:r>
              <w:rPr>
                <w:rFonts w:ascii="Arial" w:cs="Arial" w:eastAsia="Arial" w:hAnsi="Arial"/>
                <w:b/>
                <w:bCs/>
                <w:color w:val="1B2A4A"/>
                <w:sz w:val="22"/>
                <w:szCs w:val="22"/>
              </w:rPr>
              <w:t xml:space="preserve">Deliverable</w:t>
            </w:r>
          </w:p>
          <w:p>
            <w:pPr>
              <w:spacing w:before="0" w:after="80"/>
            </w:pPr>
            <w:r>
              <w:rPr>
                <w:rFonts w:ascii="Arial" w:cs="Arial" w:eastAsia="Arial" w:hAnsi="Arial"/>
                <w:i/>
                <w:iCs/>
                <w:color w:val="333333"/>
                <w:sz w:val="21"/>
                <w:szCs w:val="21"/>
              </w:rPr>
              <w:t xml:space="preserve">Updated app with hybrid retrieval. RAGAS score dashboard embedded in Streamlit. Evaluation results documented in Build Log.</w:t>
            </w:r>
          </w:p>
          <w:p>
            <w:pPr>
              <w:spacing w:before="80" w:after="60"/>
            </w:pPr>
            <w:r>
              <w:rPr>
                <w:rFonts w:ascii="Arial" w:cs="Arial" w:eastAsia="Arial" w:hAnsi="Arial"/>
                <w:b/>
                <w:bCs/>
                <w:color w:val="C0392B"/>
                <w:sz w:val="22"/>
                <w:szCs w:val="22"/>
              </w:rPr>
              <w:t xml:space="preserve">Target Metrics</w:t>
            </w:r>
          </w:p>
          <w:p>
            <w:pPr>
              <w:pStyle w:val="ListParagraph"/>
              <w:numPr>
                <w:ilvl w:val="0"/>
                <w:numId w:val="2"/>
              </w:numPr>
              <w:spacing w:before="0" w:after="100" w:line="276" w:lineRule="auto"/>
            </w:pPr>
            <w:r>
              <w:rPr>
                <w:rFonts w:ascii="Arial" w:cs="Arial" w:eastAsia="Arial" w:hAnsi="Arial"/>
                <w:color w:val="C0392B"/>
                <w:sz w:val="22"/>
                <w:szCs w:val="22"/>
              </w:rPr>
              <w:t xml:space="preserve">Hybrid retrieval precision: +20–35% vs. Phase 1</w:t>
            </w:r>
          </w:p>
          <w:p>
            <w:pPr>
              <w:pStyle w:val="ListParagraph"/>
              <w:numPr>
                <w:ilvl w:val="0"/>
                <w:numId w:val="2"/>
              </w:numPr>
              <w:spacing w:before="0" w:after="100" w:line="276" w:lineRule="auto"/>
            </w:pPr>
            <w:r>
              <w:rPr>
                <w:rFonts w:ascii="Arial" w:cs="Arial" w:eastAsia="Arial" w:hAnsi="Arial"/>
                <w:color w:val="C0392B"/>
                <w:sz w:val="22"/>
                <w:szCs w:val="22"/>
              </w:rPr>
              <w:t xml:space="preserve">RAGAS faithfulness: ≥ 88%</w:t>
            </w:r>
          </w:p>
          <w:p>
            <w:pPr>
              <w:pStyle w:val="ListParagraph"/>
              <w:numPr>
                <w:ilvl w:val="0"/>
                <w:numId w:val="2"/>
              </w:numPr>
              <w:spacing w:before="0" w:after="100" w:line="276" w:lineRule="auto"/>
            </w:pPr>
            <w:r>
              <w:rPr>
                <w:rFonts w:ascii="Arial" w:cs="Arial" w:eastAsia="Arial" w:hAnsi="Arial"/>
                <w:color w:val="C0392B"/>
                <w:sz w:val="22"/>
                <w:szCs w:val="22"/>
              </w:rPr>
              <w:t xml:space="preserve">Hallucination rate: &lt; 8%</w:t>
            </w:r>
          </w:p>
          <w:p>
            <w:pPr>
              <w:pStyle w:val="ListParagraph"/>
              <w:numPr>
                <w:ilvl w:val="0"/>
                <w:numId w:val="2"/>
              </w:numPr>
              <w:spacing w:before="0" w:after="100" w:line="276" w:lineRule="auto"/>
            </w:pPr>
            <w:r>
              <w:rPr>
                <w:rFonts w:ascii="Arial" w:cs="Arial" w:eastAsia="Arial" w:hAnsi="Arial"/>
                <w:color w:val="C0392B"/>
                <w:sz w:val="22"/>
                <w:szCs w:val="22"/>
              </w:rPr>
              <w:t xml:space="preserve">Query routing accuracy: ≥ 90%</w:t>
            </w:r>
          </w:p>
          <w:p>
            <w:pPr>
              <w:pStyle w:val="ListParagraph"/>
              <w:numPr>
                <w:ilvl w:val="0"/>
                <w:numId w:val="2"/>
              </w:numPr>
              <w:spacing w:before="0" w:after="100" w:line="276" w:lineRule="auto"/>
            </w:pPr>
            <w:r>
              <w:rPr>
                <w:rFonts w:ascii="Arial" w:cs="Arial" w:eastAsia="Arial" w:hAnsi="Arial"/>
                <w:color w:val="C0392B"/>
                <w:sz w:val="22"/>
                <w:szCs w:val="22"/>
              </w:rPr>
              <w:t xml:space="preserve">Answer latency: &lt; 3s</w:t>
            </w:r>
          </w:p>
        </w:tc>
      </w:tr>
    </w:tbl>
    <w:p>
      <w:pPr>
        <w:spacing w:before="100" w:after="0"/>
      </w:pPr>
    </w:p>
    <w:p>
      <w:pPr>
        <w:pStyle w:val="Heading2"/>
        <w:spacing w:before="280" w:after="100"/>
      </w:pPr>
      <w:r>
        <w:rPr>
          <w:rFonts w:ascii="Arial" w:cs="Arial" w:eastAsia="Arial" w:hAnsi="Arial"/>
          <w:b/>
          <w:bCs/>
          <w:color w:val="006D77"/>
          <w:sz w:val="28"/>
          <w:szCs w:val="28"/>
        </w:rPr>
        <w:t xml:space="preserve">3.5  Phase 3 — Multi-Agent System with LangGraph (Week 3)</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gridSpan w:val="2"/>
            <w:tcBorders>
              <w:top w:val="none" w:color="FFFFFF" w:sz="0"/>
              <w:left w:val="none" w:color="FFFFFF" w:sz="0"/>
              <w:bottom w:val="none" w:color="FFFFFF" w:sz="0"/>
              <w:right w:val="none" w:color="FFFFFF" w:sz="0"/>
            </w:tcBorders>
            <w:shd w:fill="C9882A" w:val="clear"/>
            <w:tcMar>
              <w:top w:type="dxa" w:w="160"/>
              <w:left w:type="dxa" w:w="220"/>
              <w:bottom w:type="dxa" w:w="160"/>
              <w:right w:type="dxa" w:w="220"/>
            </w:tcMar>
          </w:tcPr>
          <w:p>
            <w:r>
              <w:rPr>
                <w:rFonts w:ascii="Arial" w:cs="Arial" w:eastAsia="Arial" w:hAnsi="Arial"/>
                <w:color w:val="AACCDD"/>
                <w:sz w:val="20"/>
                <w:szCs w:val="20"/>
              </w:rPr>
              <w:t xml:space="preserve">PHASE 3  ·  Week 3 · Days 15–21  ·  </w:t>
            </w:r>
            <w:r>
              <w:rPr>
                <w:rFonts w:ascii="Arial" w:cs="Arial" w:eastAsia="Arial" w:hAnsi="Arial"/>
                <w:b/>
                <w:bCs/>
                <w:color w:val="FFFFFF"/>
                <w:sz w:val="26"/>
                <w:szCs w:val="26"/>
              </w:rPr>
              <w:t xml:space="preserve">LangGraph Multi-Agent Orchestration</w:t>
            </w:r>
          </w:p>
          <w:p>
            <w:pPr>
              <w:spacing w:before="60" w:after="0"/>
            </w:pPr>
            <w:r>
              <w:rPr>
                <w:rFonts w:ascii="Arial" w:cs="Arial" w:eastAsia="Arial" w:hAnsi="Arial"/>
                <w:i/>
                <w:iCs/>
                <w:color w:val="CCDDEE"/>
                <w:sz w:val="20"/>
                <w:szCs w:val="20"/>
              </w:rPr>
              <w:t xml:space="preserve">Goal: Full agent graph with specialized agents, tool use, memory, and LangSmith observability</w:t>
            </w:r>
          </w:p>
        </w:tc>
      </w:tr>
      <w:tr>
        <w:tc>
          <w:tcPr>
            <w:tcW w:type="dxa" w:w="5200"/>
            <w:tcBorders>
              <w:top w:val="single" w:color="C9882A" w:sz="4"/>
              <w:left w:val="single" w:color="CCDDEE" w:sz="6"/>
              <w:bottom w:val="single" w:color="CCDDEE" w:sz="6"/>
              <w:right w:val="single" w:color="CCDDEE" w:sz="6"/>
            </w:tcBorders>
            <w:shd w:fill="FFFFFF" w:val="clear"/>
            <w:tcMar>
              <w:top w:type="dxa" w:w="120"/>
              <w:left w:type="dxa" w:w="160"/>
              <w:bottom w:type="dxa" w:w="120"/>
              <w:right w:type="dxa" w:w="160"/>
            </w:tcMar>
          </w:tcPr>
          <w:p>
            <w:pPr>
              <w:spacing w:before="0" w:after="80"/>
            </w:pPr>
            <w:r>
              <w:rPr>
                <w:rFonts w:ascii="Arial" w:cs="Arial" w:eastAsia="Arial" w:hAnsi="Arial"/>
                <w:b/>
                <w:bCs/>
                <w:color w:val="1B2A4A"/>
                <w:sz w:val="22"/>
                <w:szCs w:val="22"/>
              </w:rPr>
              <w:t xml:space="preserve">Key Tasks &amp; Features</w:t>
            </w:r>
          </w:p>
          <w:p>
            <w:pPr>
              <w:pStyle w:val="ListParagraph"/>
              <w:numPr>
                <w:ilvl w:val="0"/>
                <w:numId w:val="2"/>
              </w:numPr>
              <w:spacing w:before="0" w:after="100" w:line="276" w:lineRule="auto"/>
            </w:pPr>
            <w:r>
              <w:rPr>
                <w:rFonts w:ascii="Arial" w:cs="Arial" w:eastAsia="Arial" w:hAnsi="Arial"/>
                <w:color w:val="333333"/>
                <w:sz w:val="22"/>
                <w:szCs w:val="22"/>
              </w:rPr>
              <w:t xml:space="preserve">Day 15: LangGraph architecture design — define agent graph nodes: QueryClassifier → [CodeAnalyzer | ComplianceMapper | HybridSynthesizer] → ResponseFormatter. Draw state schema.</w:t>
            </w:r>
          </w:p>
          <w:p>
            <w:pPr>
              <w:pStyle w:val="ListParagraph"/>
              <w:numPr>
                <w:ilvl w:val="0"/>
                <w:numId w:val="2"/>
              </w:numPr>
              <w:spacing w:before="0" w:after="100" w:line="276" w:lineRule="auto"/>
            </w:pPr>
            <w:r>
              <w:rPr>
                <w:rFonts w:ascii="Arial" w:cs="Arial" w:eastAsia="Arial" w:hAnsi="Arial"/>
                <w:color w:val="333333"/>
                <w:sz w:val="22"/>
                <w:szCs w:val="22"/>
              </w:rPr>
              <w:t xml:space="preserve">Day 15–16: Implement QueryClassifier node — LLM-based with structured output. Routes to CODE, COMPLIANCE, or HYBRID branch. Test with 50 labeled queries.</w:t>
            </w:r>
          </w:p>
          <w:p>
            <w:pPr>
              <w:pStyle w:val="ListParagraph"/>
              <w:numPr>
                <w:ilvl w:val="0"/>
                <w:numId w:val="2"/>
              </w:numPr>
              <w:spacing w:before="0" w:after="100" w:line="276" w:lineRule="auto"/>
            </w:pPr>
            <w:r>
              <w:rPr>
                <w:rFonts w:ascii="Arial" w:cs="Arial" w:eastAsia="Arial" w:hAnsi="Arial"/>
                <w:color w:val="333333"/>
                <w:sz w:val="22"/>
                <w:szCs w:val="22"/>
              </w:rPr>
              <w:t xml:space="preserve">Day 16–17: Implement CodeAnalyzer agent — retrieves from codebase corpus, performs AST-aware analysis, identifies affected functions, estimates change impact.</w:t>
            </w:r>
          </w:p>
          <w:p>
            <w:pPr>
              <w:pStyle w:val="ListParagraph"/>
              <w:numPr>
                <w:ilvl w:val="0"/>
                <w:numId w:val="2"/>
              </w:numPr>
              <w:spacing w:before="0" w:after="100" w:line="276" w:lineRule="auto"/>
            </w:pPr>
            <w:r>
              <w:rPr>
                <w:rFonts w:ascii="Arial" w:cs="Arial" w:eastAsia="Arial" w:hAnsi="Arial"/>
                <w:color w:val="333333"/>
                <w:sz w:val="22"/>
                <w:szCs w:val="22"/>
              </w:rPr>
              <w:t xml:space="preserve">Day 17: Implement ComplianceMapper agent — retrieves from compliance corpus, extracts specific requirements, maps to code-relevant actions.</w:t>
            </w:r>
          </w:p>
          <w:p>
            <w:pPr>
              <w:pStyle w:val="ListParagraph"/>
              <w:numPr>
                <w:ilvl w:val="0"/>
                <w:numId w:val="2"/>
              </w:numPr>
              <w:spacing w:before="0" w:after="100" w:line="276" w:lineRule="auto"/>
            </w:pPr>
            <w:r>
              <w:rPr>
                <w:rFonts w:ascii="Arial" w:cs="Arial" w:eastAsia="Arial" w:hAnsi="Arial"/>
                <w:color w:val="333333"/>
                <w:sz w:val="22"/>
                <w:szCs w:val="22"/>
              </w:rPr>
              <w:t xml:space="preserve">Day 18: Implement HybridSynthesizer agent — receives outputs from both CodeAnalyzer and ComplianceMapper, generates unified cross-corpus answer with source attribution from both corpora.</w:t>
            </w:r>
          </w:p>
          <w:p>
            <w:pPr>
              <w:pStyle w:val="ListParagraph"/>
              <w:numPr>
                <w:ilvl w:val="0"/>
                <w:numId w:val="2"/>
              </w:numPr>
              <w:spacing w:before="0" w:after="100" w:line="276" w:lineRule="auto"/>
            </w:pPr>
            <w:r>
              <w:rPr>
                <w:rFonts w:ascii="Arial" w:cs="Arial" w:eastAsia="Arial" w:hAnsi="Arial"/>
                <w:color w:val="333333"/>
                <w:sz w:val="22"/>
                <w:szCs w:val="22"/>
              </w:rPr>
              <w:t xml:space="preserve">Day 18–19: Add tool use — CodeAnalyzer gets a 'run_code_snippet' tool for executing small Python functions. ComplianceMapper gets a 'search_regulation_index' tool.</w:t>
            </w:r>
          </w:p>
          <w:p>
            <w:pPr>
              <w:pStyle w:val="ListParagraph"/>
              <w:numPr>
                <w:ilvl w:val="0"/>
                <w:numId w:val="2"/>
              </w:numPr>
              <w:spacing w:before="0" w:after="100" w:line="276" w:lineRule="auto"/>
            </w:pPr>
            <w:r>
              <w:rPr>
                <w:rFonts w:ascii="Arial" w:cs="Arial" w:eastAsia="Arial" w:hAnsi="Arial"/>
                <w:color w:val="333333"/>
                <w:sz w:val="22"/>
                <w:szCs w:val="22"/>
              </w:rPr>
              <w:t xml:space="preserve">Day 19: Implement conversation memory — LangGraph checkpointer with SQLite backend. Per-user conversation history. Test multi-turn queries.</w:t>
            </w:r>
          </w:p>
          <w:p>
            <w:pPr>
              <w:pStyle w:val="ListParagraph"/>
              <w:numPr>
                <w:ilvl w:val="0"/>
                <w:numId w:val="2"/>
              </w:numPr>
              <w:spacing w:before="0" w:after="100" w:line="276" w:lineRule="auto"/>
            </w:pPr>
            <w:r>
              <w:rPr>
                <w:rFonts w:ascii="Arial" w:cs="Arial" w:eastAsia="Arial" w:hAnsi="Arial"/>
                <w:color w:val="333333"/>
                <w:sz w:val="22"/>
                <w:szCs w:val="22"/>
              </w:rPr>
              <w:t xml:space="preserve">Day 20: LangSmith integration — configure tracing for all nodes. Verify traces appear in LangSmith dashboard. Add custom metadata (corpus used, confidence score).</w:t>
            </w:r>
          </w:p>
          <w:p>
            <w:pPr>
              <w:pStyle w:val="ListParagraph"/>
              <w:numPr>
                <w:ilvl w:val="0"/>
                <w:numId w:val="2"/>
              </w:numPr>
              <w:spacing w:before="0" w:after="100" w:line="276" w:lineRule="auto"/>
            </w:pPr>
            <w:r>
              <w:rPr>
                <w:rFonts w:ascii="Arial" w:cs="Arial" w:eastAsia="Arial" w:hAnsi="Arial"/>
                <w:color w:val="333333"/>
                <w:sz w:val="22"/>
                <w:szCs w:val="22"/>
              </w:rPr>
              <w:t xml:space="preserve">Day 21: Error recovery — add retry logic for LLM timeouts, fallback paths for retrieval failures. Test with deliberately broken inputs.</w:t>
            </w:r>
          </w:p>
        </w:tc>
        <w:tc>
          <w:tcPr>
            <w:tcW w:type="dxa" w:w="4160"/>
            <w:tcBorders>
              <w:top w:val="single" w:color="C9882A" w:sz="4"/>
              <w:left w:val="single" w:color="CCDDEE" w:sz="6"/>
              <w:bottom w:val="single" w:color="CCDDEE" w:sz="6"/>
              <w:right w:val="single" w:color="CCDDEE" w:sz="6"/>
            </w:tcBorders>
            <w:shd w:fill="F5F8FA" w:val="clear"/>
            <w:tcMar>
              <w:top w:type="dxa" w:w="120"/>
              <w:left w:type="dxa" w:w="160"/>
              <w:bottom w:type="dxa" w:w="120"/>
              <w:right w:type="dxa" w:w="160"/>
            </w:tcMar>
          </w:tcPr>
          <w:p>
            <w:pPr>
              <w:spacing w:before="0" w:after="80"/>
            </w:pPr>
            <w:r>
              <w:rPr>
                <w:rFonts w:ascii="Arial" w:cs="Arial" w:eastAsia="Arial" w:hAnsi="Arial"/>
                <w:b/>
                <w:bCs/>
                <w:color w:val="006D77"/>
                <w:sz w:val="22"/>
                <w:szCs w:val="22"/>
              </w:rPr>
              <w:t xml:space="preserve">Tech Introduced</w:t>
            </w:r>
          </w:p>
          <w:p>
            <w:pPr>
              <w:pStyle w:val="ListParagraph"/>
              <w:numPr>
                <w:ilvl w:val="0"/>
                <w:numId w:val="2"/>
              </w:numPr>
              <w:spacing w:before="0" w:after="100" w:line="276" w:lineRule="auto"/>
            </w:pPr>
            <w:r>
              <w:rPr>
                <w:rFonts w:ascii="Arial" w:cs="Arial" w:eastAsia="Arial" w:hAnsi="Arial"/>
                <w:color w:val="4A5568"/>
                <w:sz w:val="22"/>
                <w:szCs w:val="22"/>
              </w:rPr>
              <w:t xml:space="preserve">LangGraph 0.2.x</w:t>
            </w:r>
          </w:p>
          <w:p>
            <w:pPr>
              <w:pStyle w:val="ListParagraph"/>
              <w:numPr>
                <w:ilvl w:val="0"/>
                <w:numId w:val="2"/>
              </w:numPr>
              <w:spacing w:before="0" w:after="100" w:line="276" w:lineRule="auto"/>
            </w:pPr>
            <w:r>
              <w:rPr>
                <w:rFonts w:ascii="Arial" w:cs="Arial" w:eastAsia="Arial" w:hAnsi="Arial"/>
                <w:color w:val="4A5568"/>
                <w:sz w:val="22"/>
                <w:szCs w:val="22"/>
              </w:rPr>
              <w:t xml:space="preserve">LangSmith tracing</w:t>
            </w:r>
          </w:p>
          <w:p>
            <w:pPr>
              <w:pStyle w:val="ListParagraph"/>
              <w:numPr>
                <w:ilvl w:val="0"/>
                <w:numId w:val="2"/>
              </w:numPr>
              <w:spacing w:before="0" w:after="100" w:line="276" w:lineRule="auto"/>
            </w:pPr>
            <w:r>
              <w:rPr>
                <w:rFonts w:ascii="Arial" w:cs="Arial" w:eastAsia="Arial" w:hAnsi="Arial"/>
                <w:color w:val="4A5568"/>
                <w:sz w:val="22"/>
                <w:szCs w:val="22"/>
              </w:rPr>
              <w:t xml:space="preserve">SQLite checkpointer (memory)</w:t>
            </w:r>
          </w:p>
          <w:p>
            <w:pPr>
              <w:pStyle w:val="ListParagraph"/>
              <w:numPr>
                <w:ilvl w:val="0"/>
                <w:numId w:val="2"/>
              </w:numPr>
              <w:spacing w:before="0" w:after="100" w:line="276" w:lineRule="auto"/>
            </w:pPr>
            <w:r>
              <w:rPr>
                <w:rFonts w:ascii="Arial" w:cs="Arial" w:eastAsia="Arial" w:hAnsi="Arial"/>
                <w:color w:val="4A5568"/>
                <w:sz w:val="22"/>
                <w:szCs w:val="22"/>
              </w:rPr>
              <w:t xml:space="preserve">Custom tool definitions</w:t>
            </w:r>
          </w:p>
          <w:p>
            <w:pPr>
              <w:pStyle w:val="ListParagraph"/>
              <w:numPr>
                <w:ilvl w:val="0"/>
                <w:numId w:val="2"/>
              </w:numPr>
              <w:spacing w:before="0" w:after="100" w:line="276" w:lineRule="auto"/>
            </w:pPr>
            <w:r>
              <w:rPr>
                <w:rFonts w:ascii="Arial" w:cs="Arial" w:eastAsia="Arial" w:hAnsi="Arial"/>
                <w:color w:val="4A5568"/>
                <w:sz w:val="22"/>
                <w:szCs w:val="22"/>
              </w:rPr>
              <w:t xml:space="preserve">Structured output (Pydantic)</w:t>
            </w:r>
          </w:p>
          <w:p>
            <w:pPr>
              <w:pStyle w:val="ListParagraph"/>
              <w:numPr>
                <w:ilvl w:val="0"/>
                <w:numId w:val="2"/>
              </w:numPr>
              <w:spacing w:before="0" w:after="100" w:line="276" w:lineRule="auto"/>
            </w:pPr>
            <w:r>
              <w:rPr>
                <w:rFonts w:ascii="Arial" w:cs="Arial" w:eastAsia="Arial" w:hAnsi="Arial"/>
                <w:color w:val="4A5568"/>
                <w:sz w:val="22"/>
                <w:szCs w:val="22"/>
              </w:rPr>
              <w:t xml:space="preserve">Error recovery patterns</w:t>
            </w:r>
          </w:p>
          <w:p>
            <w:pPr>
              <w:spacing w:before="100" w:after="60"/>
            </w:pPr>
            <w:r>
              <w:rPr>
                <w:rFonts w:ascii="Arial" w:cs="Arial" w:eastAsia="Arial" w:hAnsi="Arial"/>
                <w:b/>
                <w:bCs/>
                <w:color w:val="1B2A4A"/>
                <w:sz w:val="22"/>
                <w:szCs w:val="22"/>
              </w:rPr>
              <w:t xml:space="preserve">Deliverable</w:t>
            </w:r>
          </w:p>
          <w:p>
            <w:pPr>
              <w:spacing w:before="0" w:after="80"/>
            </w:pPr>
            <w:r>
              <w:rPr>
                <w:rFonts w:ascii="Arial" w:cs="Arial" w:eastAsia="Arial" w:hAnsi="Arial"/>
                <w:i/>
                <w:iCs/>
                <w:color w:val="333333"/>
                <w:sz w:val="21"/>
                <w:szCs w:val="21"/>
              </w:rPr>
              <w:t xml:space="preserve">Full agent graph running locally. LangSmith showing all traces. Cross-corpus queries working end-to-end. Error recovery tested.</w:t>
            </w:r>
          </w:p>
          <w:p>
            <w:pPr>
              <w:spacing w:before="80" w:after="60"/>
            </w:pPr>
            <w:r>
              <w:rPr>
                <w:rFonts w:ascii="Arial" w:cs="Arial" w:eastAsia="Arial" w:hAnsi="Arial"/>
                <w:b/>
                <w:bCs/>
                <w:color w:val="C0392B"/>
                <w:sz w:val="22"/>
                <w:szCs w:val="22"/>
              </w:rPr>
              <w:t xml:space="preserve">Target Metrics</w:t>
            </w:r>
          </w:p>
          <w:p>
            <w:pPr>
              <w:pStyle w:val="ListParagraph"/>
              <w:numPr>
                <w:ilvl w:val="0"/>
                <w:numId w:val="2"/>
              </w:numPr>
              <w:spacing w:before="0" w:after="100" w:line="276" w:lineRule="auto"/>
            </w:pPr>
            <w:r>
              <w:rPr>
                <w:rFonts w:ascii="Arial" w:cs="Arial" w:eastAsia="Arial" w:hAnsi="Arial"/>
                <w:color w:val="C0392B"/>
                <w:sz w:val="22"/>
                <w:szCs w:val="22"/>
              </w:rPr>
              <w:t xml:space="preserve">Cross-corpus answer faithfulness: ≥ 91%</w:t>
            </w:r>
          </w:p>
          <w:p>
            <w:pPr>
              <w:pStyle w:val="ListParagraph"/>
              <w:numPr>
                <w:ilvl w:val="0"/>
                <w:numId w:val="2"/>
              </w:numPr>
              <w:spacing w:before="0" w:after="100" w:line="276" w:lineRule="auto"/>
            </w:pPr>
            <w:r>
              <w:rPr>
                <w:rFonts w:ascii="Arial" w:cs="Arial" w:eastAsia="Arial" w:hAnsi="Arial"/>
                <w:color w:val="C0392B"/>
                <w:sz w:val="22"/>
                <w:szCs w:val="22"/>
              </w:rPr>
              <w:t xml:space="preserve">Agent routing accuracy: ≥ 93%</w:t>
            </w:r>
          </w:p>
          <w:p>
            <w:pPr>
              <w:pStyle w:val="ListParagraph"/>
              <w:numPr>
                <w:ilvl w:val="0"/>
                <w:numId w:val="2"/>
              </w:numPr>
              <w:spacing w:before="0" w:after="100" w:line="276" w:lineRule="auto"/>
            </w:pPr>
            <w:r>
              <w:rPr>
                <w:rFonts w:ascii="Arial" w:cs="Arial" w:eastAsia="Arial" w:hAnsi="Arial"/>
                <w:color w:val="C0392B"/>
                <w:sz w:val="22"/>
                <w:szCs w:val="22"/>
              </w:rPr>
              <w:t xml:space="preserve">Multi-turn context retention: ≥ 85%</w:t>
            </w:r>
          </w:p>
          <w:p>
            <w:pPr>
              <w:pStyle w:val="ListParagraph"/>
              <w:numPr>
                <w:ilvl w:val="0"/>
                <w:numId w:val="2"/>
              </w:numPr>
              <w:spacing w:before="0" w:after="100" w:line="276" w:lineRule="auto"/>
            </w:pPr>
            <w:r>
              <w:rPr>
                <w:rFonts w:ascii="Arial" w:cs="Arial" w:eastAsia="Arial" w:hAnsi="Arial"/>
                <w:color w:val="C0392B"/>
                <w:sz w:val="22"/>
                <w:szCs w:val="22"/>
              </w:rPr>
              <w:t xml:space="preserve">End-to-end latency: &lt; 4s</w:t>
            </w:r>
          </w:p>
          <w:p>
            <w:pPr>
              <w:pStyle w:val="ListParagraph"/>
              <w:numPr>
                <w:ilvl w:val="0"/>
                <w:numId w:val="2"/>
              </w:numPr>
              <w:spacing w:before="0" w:after="100" w:line="276" w:lineRule="auto"/>
            </w:pPr>
            <w:r>
              <w:rPr>
                <w:rFonts w:ascii="Arial" w:cs="Arial" w:eastAsia="Arial" w:hAnsi="Arial"/>
                <w:color w:val="C0392B"/>
                <w:sz w:val="22"/>
                <w:szCs w:val="22"/>
              </w:rPr>
              <w:t xml:space="preserve">LangSmith traces: 100% of queries</w:t>
            </w:r>
          </w:p>
        </w:tc>
      </w:tr>
    </w:tbl>
    <w:p>
      <w:pPr>
        <w:spacing w:before="100" w:after="0"/>
      </w:pPr>
    </w:p>
    <w:p>
      <w:pPr>
        <w:pStyle w:val="Heading2"/>
        <w:spacing w:before="280" w:after="100"/>
      </w:pPr>
      <w:r>
        <w:rPr>
          <w:rFonts w:ascii="Arial" w:cs="Arial" w:eastAsia="Arial" w:hAnsi="Arial"/>
          <w:b/>
          <w:bCs/>
          <w:color w:val="006D77"/>
          <w:sz w:val="28"/>
          <w:szCs w:val="28"/>
        </w:rPr>
        <w:t xml:space="preserve">3.6  Phase 4 — Full SaaS Deployment (Weeks 4–5)</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200"/>
        <w:gridCol w:w="4160"/>
      </w:tblGrid>
      <w:tr>
        <w:tc>
          <w:tcPr>
            <w:gridSpan w:val="2"/>
            <w:tcBorders>
              <w:top w:val="none" w:color="FFFFFF" w:sz="0"/>
              <w:left w:val="none" w:color="FFFFFF" w:sz="0"/>
              <w:bottom w:val="none" w:color="FFFFFF" w:sz="0"/>
              <w:right w:val="none" w:color="FFFFFF" w:sz="0"/>
            </w:tcBorders>
            <w:shd w:fill="C0392B" w:val="clear"/>
            <w:tcMar>
              <w:top w:type="dxa" w:w="160"/>
              <w:left w:type="dxa" w:w="220"/>
              <w:bottom w:type="dxa" w:w="160"/>
              <w:right w:type="dxa" w:w="220"/>
            </w:tcMar>
          </w:tcPr>
          <w:p>
            <w:r>
              <w:rPr>
                <w:rFonts w:ascii="Arial" w:cs="Arial" w:eastAsia="Arial" w:hAnsi="Arial"/>
                <w:color w:val="AACCDD"/>
                <w:sz w:val="20"/>
                <w:szCs w:val="20"/>
              </w:rPr>
              <w:t xml:space="preserve">PHASE 4  ·  Weeks 4–5 · Days 22–35  ·  </w:t>
            </w:r>
            <w:r>
              <w:rPr>
                <w:rFonts w:ascii="Arial" w:cs="Arial" w:eastAsia="Arial" w:hAnsi="Arial"/>
                <w:b/>
                <w:bCs/>
                <w:color w:val="FFFFFF"/>
                <w:sz w:val="26"/>
                <w:szCs w:val="26"/>
              </w:rPr>
              <w:t xml:space="preserve">Production SaaS with FastAPI + Docker + Live Deploy</w:t>
            </w:r>
          </w:p>
          <w:p>
            <w:pPr>
              <w:spacing w:before="60" w:after="0"/>
            </w:pPr>
            <w:r>
              <w:rPr>
                <w:rFonts w:ascii="Arial" w:cs="Arial" w:eastAsia="Arial" w:hAnsi="Arial"/>
                <w:i/>
                <w:iCs/>
                <w:color w:val="CCDDEE"/>
                <w:sz w:val="20"/>
                <w:szCs w:val="20"/>
              </w:rPr>
              <w:t xml:space="preserve">Goal: Production-ready system with auth, API, Docker, live public URL, and analytics</w:t>
            </w:r>
          </w:p>
        </w:tc>
      </w:tr>
      <w:tr>
        <w:tc>
          <w:tcPr>
            <w:tcW w:type="dxa" w:w="5200"/>
            <w:tcBorders>
              <w:top w:val="single" w:color="C0392B" w:sz="4"/>
              <w:left w:val="single" w:color="CCDDEE" w:sz="6"/>
              <w:bottom w:val="single" w:color="CCDDEE" w:sz="6"/>
              <w:right w:val="single" w:color="CCDDEE" w:sz="6"/>
            </w:tcBorders>
            <w:shd w:fill="FFFFFF" w:val="clear"/>
            <w:tcMar>
              <w:top w:type="dxa" w:w="120"/>
              <w:left w:type="dxa" w:w="160"/>
              <w:bottom w:type="dxa" w:w="120"/>
              <w:right w:type="dxa" w:w="160"/>
            </w:tcMar>
          </w:tcPr>
          <w:p>
            <w:pPr>
              <w:spacing w:before="0" w:after="80"/>
            </w:pPr>
            <w:r>
              <w:rPr>
                <w:rFonts w:ascii="Arial" w:cs="Arial" w:eastAsia="Arial" w:hAnsi="Arial"/>
                <w:b/>
                <w:bCs/>
                <w:color w:val="1B2A4A"/>
                <w:sz w:val="22"/>
                <w:szCs w:val="22"/>
              </w:rPr>
              <w:t xml:space="preserve">Key Tasks &amp; Features</w:t>
            </w:r>
          </w:p>
          <w:p>
            <w:pPr>
              <w:pStyle w:val="ListParagraph"/>
              <w:numPr>
                <w:ilvl w:val="0"/>
                <w:numId w:val="2"/>
              </w:numPr>
              <w:spacing w:before="0" w:after="100" w:line="276" w:lineRule="auto"/>
            </w:pPr>
            <w:r>
              <w:rPr>
                <w:rFonts w:ascii="Arial" w:cs="Arial" w:eastAsia="Arial" w:hAnsi="Arial"/>
                <w:color w:val="333333"/>
                <w:sz w:val="22"/>
                <w:szCs w:val="22"/>
              </w:rPr>
              <w:t xml:space="preserve">Day 22–23: FastAPI backend — restructure from Streamlit-only to FastAPI + Streamlit. Endpoints: POST /query, POST /ingest, GET /health, GET /metrics. Pydantic models for all I/O.</w:t>
            </w:r>
          </w:p>
          <w:p>
            <w:pPr>
              <w:pStyle w:val="ListParagraph"/>
              <w:numPr>
                <w:ilvl w:val="0"/>
                <w:numId w:val="2"/>
              </w:numPr>
              <w:spacing w:before="0" w:after="100" w:line="276" w:lineRule="auto"/>
            </w:pPr>
            <w:r>
              <w:rPr>
                <w:rFonts w:ascii="Arial" w:cs="Arial" w:eastAsia="Arial" w:hAnsi="Arial"/>
                <w:color w:val="333333"/>
                <w:sz w:val="22"/>
                <w:szCs w:val="22"/>
              </w:rPr>
              <w:t xml:space="preserve">Day 24: Supabase setup — configure auth, PostgreSQL tables (users, query_logs, corpus_configs). JWT middleware in FastAPI.</w:t>
            </w:r>
          </w:p>
          <w:p>
            <w:pPr>
              <w:pStyle w:val="ListParagraph"/>
              <w:numPr>
                <w:ilvl w:val="0"/>
                <w:numId w:val="2"/>
              </w:numPr>
              <w:spacing w:before="0" w:after="100" w:line="276" w:lineRule="auto"/>
            </w:pPr>
            <w:r>
              <w:rPr>
                <w:rFonts w:ascii="Arial" w:cs="Arial" w:eastAsia="Arial" w:hAnsi="Arial"/>
                <w:color w:val="333333"/>
                <w:sz w:val="22"/>
                <w:szCs w:val="22"/>
              </w:rPr>
              <w:t xml:space="preserve">Day 25: GitHub OAuth connector — users connect their GitHub repos. GitPython clones and indexes private repos into user-specific Chroma namespaces.</w:t>
            </w:r>
          </w:p>
          <w:p>
            <w:pPr>
              <w:pStyle w:val="ListParagraph"/>
              <w:numPr>
                <w:ilvl w:val="0"/>
                <w:numId w:val="2"/>
              </w:numPr>
              <w:spacing w:before="0" w:after="100" w:line="276" w:lineRule="auto"/>
            </w:pPr>
            <w:r>
              <w:rPr>
                <w:rFonts w:ascii="Arial" w:cs="Arial" w:eastAsia="Arial" w:hAnsi="Arial"/>
                <w:color w:val="333333"/>
                <w:sz w:val="22"/>
                <w:szCs w:val="22"/>
              </w:rPr>
              <w:t xml:space="preserve">Day 26: Rate limiting — Redis (Upstash) rate limiter middleware. Free tier: 50 queries/day. Pro tier: unlimited. Enforce via JWT claims.</w:t>
            </w:r>
          </w:p>
          <w:p>
            <w:pPr>
              <w:pStyle w:val="ListParagraph"/>
              <w:numPr>
                <w:ilvl w:val="0"/>
                <w:numId w:val="2"/>
              </w:numPr>
              <w:spacing w:before="0" w:after="100" w:line="276" w:lineRule="auto"/>
            </w:pPr>
            <w:r>
              <w:rPr>
                <w:rFonts w:ascii="Arial" w:cs="Arial" w:eastAsia="Arial" w:hAnsi="Arial"/>
                <w:color w:val="333333"/>
                <w:sz w:val="22"/>
                <w:szCs w:val="22"/>
              </w:rPr>
              <w:t xml:space="preserve">Day 27: Conversation history persistence — store conversation turns in Supabase PostgreSQL. Restore context on session resume.</w:t>
            </w:r>
          </w:p>
          <w:p>
            <w:pPr>
              <w:pStyle w:val="ListParagraph"/>
              <w:numPr>
                <w:ilvl w:val="0"/>
                <w:numId w:val="2"/>
              </w:numPr>
              <w:spacing w:before="0" w:after="100" w:line="276" w:lineRule="auto"/>
            </w:pPr>
            <w:r>
              <w:rPr>
                <w:rFonts w:ascii="Arial" w:cs="Arial" w:eastAsia="Arial" w:hAnsi="Arial"/>
                <w:color w:val="333333"/>
                <w:sz w:val="22"/>
                <w:szCs w:val="22"/>
              </w:rPr>
              <w:t xml:space="preserve">Day 28: Docker setup — Dockerfile for FastAPI app + docker-compose.yml for local dev (FastAPI + Chroma + Redis). Test full stack locally.</w:t>
            </w:r>
          </w:p>
          <w:p>
            <w:pPr>
              <w:pStyle w:val="ListParagraph"/>
              <w:numPr>
                <w:ilvl w:val="0"/>
                <w:numId w:val="2"/>
              </w:numPr>
              <w:spacing w:before="0" w:after="100" w:line="276" w:lineRule="auto"/>
            </w:pPr>
            <w:r>
              <w:rPr>
                <w:rFonts w:ascii="Arial" w:cs="Arial" w:eastAsia="Arial" w:hAnsi="Arial"/>
                <w:color w:val="333333"/>
                <w:sz w:val="22"/>
                <w:szCs w:val="22"/>
              </w:rPr>
              <w:t xml:space="preserve">Day 29–30: Deploy to Render — push Docker image, configure environment variables, set up auto-deploy from GitHub main branch. Get public URL.</w:t>
            </w:r>
          </w:p>
          <w:p>
            <w:pPr>
              <w:pStyle w:val="ListParagraph"/>
              <w:numPr>
                <w:ilvl w:val="0"/>
                <w:numId w:val="2"/>
              </w:numPr>
              <w:spacing w:before="0" w:after="100" w:line="276" w:lineRule="auto"/>
            </w:pPr>
            <w:r>
              <w:rPr>
                <w:rFonts w:ascii="Arial" w:cs="Arial" w:eastAsia="Arial" w:hAnsi="Arial"/>
                <w:color w:val="333333"/>
                <w:sz w:val="22"/>
                <w:szCs w:val="22"/>
              </w:rPr>
              <w:t xml:space="preserve">Day 30–31: Analytics dashboard — PostHog for query volume tracking. Build admin view in Streamlit showing: queries/day, top query types, RAGAS scores over time, latency P50/P95.</w:t>
            </w:r>
          </w:p>
          <w:p>
            <w:pPr>
              <w:pStyle w:val="ListParagraph"/>
              <w:numPr>
                <w:ilvl w:val="0"/>
                <w:numId w:val="2"/>
              </w:numPr>
              <w:spacing w:before="0" w:after="100" w:line="276" w:lineRule="auto"/>
            </w:pPr>
            <w:r>
              <w:rPr>
                <w:rFonts w:ascii="Arial" w:cs="Arial" w:eastAsia="Arial" w:hAnsi="Arial"/>
                <w:color w:val="333333"/>
                <w:sz w:val="22"/>
                <w:szCs w:val="22"/>
              </w:rPr>
              <w:t xml:space="preserve">Day 32–33: Ollama privacy mode — add LOCAL_MODE flag. When enabled, replace all OpenAI calls with Ollama (llama3.2). Document setup instructions.</w:t>
            </w:r>
          </w:p>
          <w:p>
            <w:pPr>
              <w:pStyle w:val="ListParagraph"/>
              <w:numPr>
                <w:ilvl w:val="0"/>
                <w:numId w:val="2"/>
              </w:numPr>
              <w:spacing w:before="0" w:after="100" w:line="276" w:lineRule="auto"/>
            </w:pPr>
            <w:r>
              <w:rPr>
                <w:rFonts w:ascii="Arial" w:cs="Arial" w:eastAsia="Arial" w:hAnsi="Arial"/>
                <w:color w:val="333333"/>
                <w:sz w:val="22"/>
                <w:szCs w:val="22"/>
              </w:rPr>
              <w:t xml:space="preserve">Day 34–35: End-to-end testing, bug fixes, performance optimization. Run full RAGAS evaluation on deployed system.</w:t>
            </w:r>
          </w:p>
        </w:tc>
        <w:tc>
          <w:tcPr>
            <w:tcW w:type="dxa" w:w="4160"/>
            <w:tcBorders>
              <w:top w:val="single" w:color="C0392B" w:sz="4"/>
              <w:left w:val="single" w:color="CCDDEE" w:sz="6"/>
              <w:bottom w:val="single" w:color="CCDDEE" w:sz="6"/>
              <w:right w:val="single" w:color="CCDDEE" w:sz="6"/>
            </w:tcBorders>
            <w:shd w:fill="F5F8FA" w:val="clear"/>
            <w:tcMar>
              <w:top w:type="dxa" w:w="120"/>
              <w:left w:type="dxa" w:w="160"/>
              <w:bottom w:type="dxa" w:w="120"/>
              <w:right w:type="dxa" w:w="160"/>
            </w:tcMar>
          </w:tcPr>
          <w:p>
            <w:pPr>
              <w:spacing w:before="0" w:after="80"/>
            </w:pPr>
            <w:r>
              <w:rPr>
                <w:rFonts w:ascii="Arial" w:cs="Arial" w:eastAsia="Arial" w:hAnsi="Arial"/>
                <w:b/>
                <w:bCs/>
                <w:color w:val="006D77"/>
                <w:sz w:val="22"/>
                <w:szCs w:val="22"/>
              </w:rPr>
              <w:t xml:space="preserve">Tech Introduced</w:t>
            </w:r>
          </w:p>
          <w:p>
            <w:pPr>
              <w:pStyle w:val="ListParagraph"/>
              <w:numPr>
                <w:ilvl w:val="0"/>
                <w:numId w:val="2"/>
              </w:numPr>
              <w:spacing w:before="0" w:after="100" w:line="276" w:lineRule="auto"/>
            </w:pPr>
            <w:r>
              <w:rPr>
                <w:rFonts w:ascii="Arial" w:cs="Arial" w:eastAsia="Arial" w:hAnsi="Arial"/>
                <w:color w:val="4A5568"/>
                <w:sz w:val="22"/>
                <w:szCs w:val="22"/>
              </w:rPr>
              <w:t xml:space="preserve">FastAPI 0.115</w:t>
            </w:r>
          </w:p>
          <w:p>
            <w:pPr>
              <w:pStyle w:val="ListParagraph"/>
              <w:numPr>
                <w:ilvl w:val="0"/>
                <w:numId w:val="2"/>
              </w:numPr>
              <w:spacing w:before="0" w:after="100" w:line="276" w:lineRule="auto"/>
            </w:pPr>
            <w:r>
              <w:rPr>
                <w:rFonts w:ascii="Arial" w:cs="Arial" w:eastAsia="Arial" w:hAnsi="Arial"/>
                <w:color w:val="4A5568"/>
                <w:sz w:val="22"/>
                <w:szCs w:val="22"/>
              </w:rPr>
              <w:t xml:space="preserve">Supabase (auth + DB)</w:t>
            </w:r>
          </w:p>
          <w:p>
            <w:pPr>
              <w:pStyle w:val="ListParagraph"/>
              <w:numPr>
                <w:ilvl w:val="0"/>
                <w:numId w:val="2"/>
              </w:numPr>
              <w:spacing w:before="0" w:after="100" w:line="276" w:lineRule="auto"/>
            </w:pPr>
            <w:r>
              <w:rPr>
                <w:rFonts w:ascii="Arial" w:cs="Arial" w:eastAsia="Arial" w:hAnsi="Arial"/>
                <w:color w:val="4A5568"/>
                <w:sz w:val="22"/>
                <w:szCs w:val="22"/>
              </w:rPr>
              <w:t xml:space="preserve">Redis/Upstash (rate limit)</w:t>
            </w:r>
          </w:p>
          <w:p>
            <w:pPr>
              <w:pStyle w:val="ListParagraph"/>
              <w:numPr>
                <w:ilvl w:val="0"/>
                <w:numId w:val="2"/>
              </w:numPr>
              <w:spacing w:before="0" w:after="100" w:line="276" w:lineRule="auto"/>
            </w:pPr>
            <w:r>
              <w:rPr>
                <w:rFonts w:ascii="Arial" w:cs="Arial" w:eastAsia="Arial" w:hAnsi="Arial"/>
                <w:color w:val="4A5568"/>
                <w:sz w:val="22"/>
                <w:szCs w:val="22"/>
              </w:rPr>
              <w:t xml:space="preserve">Docker + Docker Compose</w:t>
            </w:r>
          </w:p>
          <w:p>
            <w:pPr>
              <w:pStyle w:val="ListParagraph"/>
              <w:numPr>
                <w:ilvl w:val="0"/>
                <w:numId w:val="2"/>
              </w:numPr>
              <w:spacing w:before="0" w:after="100" w:line="276" w:lineRule="auto"/>
            </w:pPr>
            <w:r>
              <w:rPr>
                <w:rFonts w:ascii="Arial" w:cs="Arial" w:eastAsia="Arial" w:hAnsi="Arial"/>
                <w:color w:val="4A5568"/>
                <w:sz w:val="22"/>
                <w:szCs w:val="22"/>
              </w:rPr>
              <w:t xml:space="preserve">GitHub OAuth (GitPython)</w:t>
            </w:r>
          </w:p>
          <w:p>
            <w:pPr>
              <w:pStyle w:val="ListParagraph"/>
              <w:numPr>
                <w:ilvl w:val="0"/>
                <w:numId w:val="2"/>
              </w:numPr>
              <w:spacing w:before="0" w:after="100" w:line="276" w:lineRule="auto"/>
            </w:pPr>
            <w:r>
              <w:rPr>
                <w:rFonts w:ascii="Arial" w:cs="Arial" w:eastAsia="Arial" w:hAnsi="Arial"/>
                <w:color w:val="4A5568"/>
                <w:sz w:val="22"/>
                <w:szCs w:val="22"/>
              </w:rPr>
              <w:t xml:space="preserve">PostHog analytics</w:t>
            </w:r>
          </w:p>
          <w:p>
            <w:pPr>
              <w:pStyle w:val="ListParagraph"/>
              <w:numPr>
                <w:ilvl w:val="0"/>
                <w:numId w:val="2"/>
              </w:numPr>
              <w:spacing w:before="0" w:after="100" w:line="276" w:lineRule="auto"/>
            </w:pPr>
            <w:r>
              <w:rPr>
                <w:rFonts w:ascii="Arial" w:cs="Arial" w:eastAsia="Arial" w:hAnsi="Arial"/>
                <w:color w:val="4A5568"/>
                <w:sz w:val="22"/>
                <w:szCs w:val="22"/>
              </w:rPr>
              <w:t xml:space="preserve">Render deployment</w:t>
            </w:r>
          </w:p>
          <w:p>
            <w:pPr>
              <w:pStyle w:val="ListParagraph"/>
              <w:numPr>
                <w:ilvl w:val="0"/>
                <w:numId w:val="2"/>
              </w:numPr>
              <w:spacing w:before="0" w:after="100" w:line="276" w:lineRule="auto"/>
            </w:pPr>
            <w:r>
              <w:rPr>
                <w:rFonts w:ascii="Arial" w:cs="Arial" w:eastAsia="Arial" w:hAnsi="Arial"/>
                <w:color w:val="4A5568"/>
                <w:sz w:val="22"/>
                <w:szCs w:val="22"/>
              </w:rPr>
              <w:t xml:space="preserve">Ollama local mode</w:t>
            </w:r>
          </w:p>
          <w:p>
            <w:pPr>
              <w:spacing w:before="100" w:after="60"/>
            </w:pPr>
            <w:r>
              <w:rPr>
                <w:rFonts w:ascii="Arial" w:cs="Arial" w:eastAsia="Arial" w:hAnsi="Arial"/>
                <w:b/>
                <w:bCs/>
                <w:color w:val="1B2A4A"/>
                <w:sz w:val="22"/>
                <w:szCs w:val="22"/>
              </w:rPr>
              <w:t xml:space="preserve">Deliverable</w:t>
            </w:r>
          </w:p>
          <w:p>
            <w:pPr>
              <w:spacing w:before="0" w:after="80"/>
            </w:pPr>
            <w:r>
              <w:rPr>
                <w:rFonts w:ascii="Arial" w:cs="Arial" w:eastAsia="Arial" w:hAnsi="Arial"/>
                <w:i/>
                <w:iCs/>
                <w:color w:val="333333"/>
                <w:sz w:val="21"/>
                <w:szCs w:val="21"/>
              </w:rPr>
              <w:t xml:space="preserve">Live public URL on Render. Full auth flow working. GitHub repo connector working. Analytics dashboard live. Docker image published.</w:t>
            </w:r>
          </w:p>
          <w:p>
            <w:pPr>
              <w:spacing w:before="80" w:after="60"/>
            </w:pPr>
            <w:r>
              <w:rPr>
                <w:rFonts w:ascii="Arial" w:cs="Arial" w:eastAsia="Arial" w:hAnsi="Arial"/>
                <w:b/>
                <w:bCs/>
                <w:color w:val="C0392B"/>
                <w:sz w:val="22"/>
                <w:szCs w:val="22"/>
              </w:rPr>
              <w:t xml:space="preserve">Target Metrics</w:t>
            </w:r>
          </w:p>
          <w:p>
            <w:pPr>
              <w:pStyle w:val="ListParagraph"/>
              <w:numPr>
                <w:ilvl w:val="0"/>
                <w:numId w:val="2"/>
              </w:numPr>
              <w:spacing w:before="0" w:after="100" w:line="276" w:lineRule="auto"/>
            </w:pPr>
            <w:r>
              <w:rPr>
                <w:rFonts w:ascii="Arial" w:cs="Arial" w:eastAsia="Arial" w:hAnsi="Arial"/>
                <w:color w:val="C0392B"/>
                <w:sz w:val="22"/>
                <w:szCs w:val="22"/>
              </w:rPr>
              <w:t xml:space="preserve">System uptime: ≥ 99% over test week</w:t>
            </w:r>
          </w:p>
          <w:p>
            <w:pPr>
              <w:pStyle w:val="ListParagraph"/>
              <w:numPr>
                <w:ilvl w:val="0"/>
                <w:numId w:val="2"/>
              </w:numPr>
              <w:spacing w:before="0" w:after="100" w:line="276" w:lineRule="auto"/>
            </w:pPr>
            <w:r>
              <w:rPr>
                <w:rFonts w:ascii="Arial" w:cs="Arial" w:eastAsia="Arial" w:hAnsi="Arial"/>
                <w:color w:val="C0392B"/>
                <w:sz w:val="22"/>
                <w:szCs w:val="22"/>
              </w:rPr>
              <w:t xml:space="preserve">API response time P95: &lt; 3s</w:t>
            </w:r>
          </w:p>
          <w:p>
            <w:pPr>
              <w:pStyle w:val="ListParagraph"/>
              <w:numPr>
                <w:ilvl w:val="0"/>
                <w:numId w:val="2"/>
              </w:numPr>
              <w:spacing w:before="0" w:after="100" w:line="276" w:lineRule="auto"/>
            </w:pPr>
            <w:r>
              <w:rPr>
                <w:rFonts w:ascii="Arial" w:cs="Arial" w:eastAsia="Arial" w:hAnsi="Arial"/>
                <w:color w:val="C0392B"/>
                <w:sz w:val="22"/>
                <w:szCs w:val="22"/>
              </w:rPr>
              <w:t xml:space="preserve">Faithfulness score (deployed): ≥ 92%</w:t>
            </w:r>
          </w:p>
          <w:p>
            <w:pPr>
              <w:pStyle w:val="ListParagraph"/>
              <w:numPr>
                <w:ilvl w:val="0"/>
                <w:numId w:val="2"/>
              </w:numPr>
              <w:spacing w:before="0" w:after="100" w:line="276" w:lineRule="auto"/>
            </w:pPr>
            <w:r>
              <w:rPr>
                <w:rFonts w:ascii="Arial" w:cs="Arial" w:eastAsia="Arial" w:hAnsi="Arial"/>
                <w:color w:val="C0392B"/>
                <w:sz w:val="22"/>
                <w:szCs w:val="22"/>
              </w:rPr>
              <w:t xml:space="preserve">Hallucination rate: &lt; 5%</w:t>
            </w:r>
          </w:p>
          <w:p>
            <w:pPr>
              <w:pStyle w:val="ListParagraph"/>
              <w:numPr>
                <w:ilvl w:val="0"/>
                <w:numId w:val="2"/>
              </w:numPr>
              <w:spacing w:before="0" w:after="100" w:line="276" w:lineRule="auto"/>
            </w:pPr>
            <w:r>
              <w:rPr>
                <w:rFonts w:ascii="Arial" w:cs="Arial" w:eastAsia="Arial" w:hAnsi="Arial"/>
                <w:color w:val="C0392B"/>
                <w:sz w:val="22"/>
                <w:szCs w:val="22"/>
              </w:rPr>
              <w:t xml:space="preserve">End-to-end hybrid query latency: &lt; 3s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2A4A" w:val="clear"/>
            <w:tcMar>
              <w:top w:type="dxa" w:w="140"/>
              <w:left w:type="dxa" w:w="140"/>
              <w:bottom w:type="dxa" w:w="140"/>
              <w:right w:type="dxa" w:w="140"/>
            </w:tcMar>
            <w:vAlign w:val="center"/>
          </w:tcPr>
          <w:p>
            <w:pPr>
              <w:jc w:val="center"/>
            </w:pPr>
            <w:r>
              <w:rPr>
                <w:rFonts w:ascii="Arial" w:cs="Arial" w:eastAsia="Arial" w:hAnsi="Arial"/>
                <w:b/>
                <w:bCs/>
                <w:color w:val="C9882A"/>
                <w:sz w:val="32"/>
                <w:szCs w:val="32"/>
              </w:rPr>
              <w:t xml:space="preserve">04</w:t>
            </w:r>
          </w:p>
        </w:tc>
        <w:tc>
          <w:tcPr>
            <w:tcW w:type="dxa" w:w="8560"/>
            <w:tcBorders>
              <w:top w:val="none" w:color="FFFFFF" w:sz="0"/>
              <w:left w:val="none" w:color="FFFFFF" w:sz="0"/>
              <w:bottom w:val="none" w:color="FFFFFF" w:sz="0"/>
              <w:right w:val="none" w:color="FFFFFF" w:sz="0"/>
            </w:tcBorders>
            <w:shd w:fill="006D77" w:val="clear"/>
            <w:tcMar>
              <w:top w:type="dxa" w:w="140"/>
              <w:left w:type="dxa" w:w="220"/>
              <w:bottom w:type="dxa" w:w="140"/>
              <w:right w:type="dxa" w:w="140"/>
            </w:tcMar>
            <w:vAlign w:val="center"/>
          </w:tcPr>
          <w:p>
            <w:r>
              <w:rPr>
                <w:rFonts w:ascii="Arial" w:cs="Arial" w:eastAsia="Arial" w:hAnsi="Arial"/>
                <w:b/>
                <w:bCs/>
                <w:color w:val="FFFFFF"/>
                <w:sz w:val="28"/>
                <w:szCs w:val="28"/>
              </w:rPr>
              <w:t xml:space="preserve">GitHub Repository Structure</w:t>
            </w:r>
          </w:p>
        </w:tc>
      </w:tr>
    </w:tbl>
    <w:p>
      <w:pPr>
        <w:spacing w:before="200" w:after="0"/>
      </w:pPr>
    </w:p>
    <w:p>
      <w:pPr>
        <w:pStyle w:val="Heading2"/>
        <w:spacing w:before="280" w:after="100"/>
      </w:pPr>
      <w:r>
        <w:rPr>
          <w:rFonts w:ascii="Arial" w:cs="Arial" w:eastAsia="Arial" w:hAnsi="Arial"/>
          <w:b/>
          <w:bCs/>
          <w:color w:val="006D77"/>
          <w:sz w:val="28"/>
          <w:szCs w:val="28"/>
        </w:rPr>
        <w:t xml:space="preserve">4.1  Recommended Folder Structure</w:t>
      </w:r>
    </w:p>
    <w:p>
      <w:pPr>
        <w:spacing w:before="0" w:after="160" w:line="276" w:lineRule="auto"/>
      </w:pPr>
      <w:r>
        <w:rPr>
          <w:rFonts w:ascii="Arial" w:cs="Arial" w:eastAsia="Arial" w:hAnsi="Arial"/>
          <w:color w:val="333333"/>
          <w:sz w:val="22"/>
          <w:szCs w:val="22"/>
        </w:rPr>
        <w:t xml:space="preserve">The repository is structured so that each phase is traceable via git branches and tags, while the main branch always reflects the latest production state.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Path</w:t>
            </w:r>
          </w:p>
        </w:tc>
        <w:tc>
          <w:tcPr>
            <w:tcW w:type="dxa" w:w="616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20"/>
                <w:szCs w:val="20"/>
              </w:rPr>
              <w:t xml:space="preserve">Purpose</w:t>
            </w:r>
          </w:p>
        </w:tc>
      </w:tr>
      <w:tr>
        <w:tc>
          <w:tcPr>
            <w:tcW w:type="dxa" w:w="320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Courier New" w:cs="Courier New" w:eastAsia="Courier New" w:hAnsi="Courier New"/>
                <w:color w:val="006D77"/>
                <w:sz w:val="18"/>
                <w:szCs w:val="18"/>
              </w:rPr>
              <w:t xml:space="preserve">finops-sentinel/</w:t>
            </w:r>
          </w:p>
        </w:tc>
        <w:tc>
          <w:tcPr>
            <w:tcW w:type="dxa" w:w="616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Arial" w:cs="Arial" w:eastAsia="Arial" w:hAnsi="Arial"/>
                <w:color w:val="333333"/>
                <w:sz w:val="20"/>
                <w:szCs w:val="20"/>
              </w:rPr>
              <w:t xml:space="preserve">Root repository</w:t>
            </w:r>
          </w:p>
        </w:tc>
      </w:tr>
      <w:tr>
        <w:tc>
          <w:tcPr>
            <w:tcW w:type="dxa" w:w="320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Courier New" w:cs="Courier New" w:eastAsia="Courier New" w:hAnsi="Courier New"/>
                <w:color w:val="006D77"/>
                <w:sz w:val="18"/>
                <w:szCs w:val="18"/>
              </w:rPr>
              <w:t xml:space="preserve">├── ingestion/</w:t>
            </w:r>
          </w:p>
        </w:tc>
        <w:tc>
          <w:tcPr>
            <w:tcW w:type="dxa" w:w="616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Arial" w:cs="Arial" w:eastAsia="Arial" w:hAnsi="Arial"/>
                <w:color w:val="333333"/>
                <w:sz w:val="20"/>
                <w:szCs w:val="20"/>
              </w:rPr>
              <w:t xml:space="preserve">All document + code ingestion pipelines</w:t>
            </w:r>
          </w:p>
        </w:tc>
      </w:tr>
      <w:tr>
        <w:tc>
          <w:tcPr>
            <w:tcW w:type="dxa" w:w="320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Courier New" w:cs="Courier New" w:eastAsia="Courier New" w:hAnsi="Courier New"/>
                <w:color w:val="006D77"/>
                <w:sz w:val="18"/>
                <w:szCs w:val="18"/>
              </w:rPr>
              <w:t xml:space="preserve">│   ├── code_ingestor.py</w:t>
            </w:r>
          </w:p>
        </w:tc>
        <w:tc>
          <w:tcPr>
            <w:tcW w:type="dxa" w:w="616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Arial" w:cs="Arial" w:eastAsia="Arial" w:hAnsi="Arial"/>
                <w:color w:val="333333"/>
                <w:sz w:val="20"/>
                <w:szCs w:val="20"/>
              </w:rPr>
              <w:t xml:space="preserve">AST parsing + code embedding pipeline</w:t>
            </w:r>
          </w:p>
        </w:tc>
      </w:tr>
      <w:tr>
        <w:tc>
          <w:tcPr>
            <w:tcW w:type="dxa" w:w="320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Courier New" w:cs="Courier New" w:eastAsia="Courier New" w:hAnsi="Courier New"/>
                <w:color w:val="006D77"/>
                <w:sz w:val="18"/>
                <w:szCs w:val="18"/>
              </w:rPr>
              <w:t xml:space="preserve">│   ├── compliance_ingestor.py</w:t>
            </w:r>
          </w:p>
        </w:tc>
        <w:tc>
          <w:tcPr>
            <w:tcW w:type="dxa" w:w="616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Arial" w:cs="Arial" w:eastAsia="Arial" w:hAnsi="Arial"/>
                <w:color w:val="333333"/>
                <w:sz w:val="20"/>
                <w:szCs w:val="20"/>
              </w:rPr>
              <w:t xml:space="preserve">PDF parsing + compliance embedding pipeline</w:t>
            </w:r>
          </w:p>
        </w:tc>
      </w:tr>
      <w:tr>
        <w:tc>
          <w:tcPr>
            <w:tcW w:type="dxa" w:w="320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Courier New" w:cs="Courier New" w:eastAsia="Courier New" w:hAnsi="Courier New"/>
                <w:color w:val="006D77"/>
                <w:sz w:val="18"/>
                <w:szCs w:val="18"/>
              </w:rPr>
              <w:t xml:space="preserve">│   └── github_connector.py</w:t>
            </w:r>
          </w:p>
        </w:tc>
        <w:tc>
          <w:tcPr>
            <w:tcW w:type="dxa" w:w="616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Arial" w:cs="Arial" w:eastAsia="Arial" w:hAnsi="Arial"/>
                <w:color w:val="333333"/>
                <w:sz w:val="20"/>
                <w:szCs w:val="20"/>
              </w:rPr>
              <w:t xml:space="preserve">GitHub OAuth repo cloning + indexing</w:t>
            </w:r>
          </w:p>
        </w:tc>
      </w:tr>
      <w:tr>
        <w:tc>
          <w:tcPr>
            <w:tcW w:type="dxa" w:w="320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Courier New" w:cs="Courier New" w:eastAsia="Courier New" w:hAnsi="Courier New"/>
                <w:color w:val="006D77"/>
                <w:sz w:val="18"/>
                <w:szCs w:val="18"/>
              </w:rPr>
              <w:t xml:space="preserve">├── retrieval/</w:t>
            </w:r>
          </w:p>
        </w:tc>
        <w:tc>
          <w:tcPr>
            <w:tcW w:type="dxa" w:w="616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Arial" w:cs="Arial" w:eastAsia="Arial" w:hAnsi="Arial"/>
                <w:color w:val="333333"/>
                <w:sz w:val="20"/>
                <w:szCs w:val="20"/>
              </w:rPr>
              <w:t xml:space="preserve">Retrieval components</w:t>
            </w:r>
          </w:p>
        </w:tc>
      </w:tr>
      <w:tr>
        <w:tc>
          <w:tcPr>
            <w:tcW w:type="dxa" w:w="320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Courier New" w:cs="Courier New" w:eastAsia="Courier New" w:hAnsi="Courier New"/>
                <w:color w:val="006D77"/>
                <w:sz w:val="18"/>
                <w:szCs w:val="18"/>
              </w:rPr>
              <w:t xml:space="preserve">│   ├── hybrid_retriever.py</w:t>
            </w:r>
          </w:p>
        </w:tc>
        <w:tc>
          <w:tcPr>
            <w:tcW w:type="dxa" w:w="616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Arial" w:cs="Arial" w:eastAsia="Arial" w:hAnsi="Arial"/>
                <w:color w:val="333333"/>
                <w:sz w:val="20"/>
                <w:szCs w:val="20"/>
              </w:rPr>
              <w:t xml:space="preserve">BM25 + vector + reranker pipeline</w:t>
            </w:r>
          </w:p>
        </w:tc>
      </w:tr>
      <w:tr>
        <w:tc>
          <w:tcPr>
            <w:tcW w:type="dxa" w:w="320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Courier New" w:cs="Courier New" w:eastAsia="Courier New" w:hAnsi="Courier New"/>
                <w:color w:val="006D77"/>
                <w:sz w:val="18"/>
                <w:szCs w:val="18"/>
              </w:rPr>
              <w:t xml:space="preserve">│   └── query_router.py</w:t>
            </w:r>
          </w:p>
        </w:tc>
        <w:tc>
          <w:tcPr>
            <w:tcW w:type="dxa" w:w="616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Arial" w:cs="Arial" w:eastAsia="Arial" w:hAnsi="Arial"/>
                <w:color w:val="333333"/>
                <w:sz w:val="20"/>
                <w:szCs w:val="20"/>
              </w:rPr>
              <w:t xml:space="preserve">LLM-based corpus classifier</w:t>
            </w:r>
          </w:p>
        </w:tc>
      </w:tr>
      <w:tr>
        <w:tc>
          <w:tcPr>
            <w:tcW w:type="dxa" w:w="320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Courier New" w:cs="Courier New" w:eastAsia="Courier New" w:hAnsi="Courier New"/>
                <w:color w:val="006D77"/>
                <w:sz w:val="18"/>
                <w:szCs w:val="18"/>
              </w:rPr>
              <w:t xml:space="preserve">├── agents/</w:t>
            </w:r>
          </w:p>
        </w:tc>
        <w:tc>
          <w:tcPr>
            <w:tcW w:type="dxa" w:w="616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Arial" w:cs="Arial" w:eastAsia="Arial" w:hAnsi="Arial"/>
                <w:color w:val="333333"/>
                <w:sz w:val="20"/>
                <w:szCs w:val="20"/>
              </w:rPr>
              <w:t xml:space="preserve">LangGraph agent definitions</w:t>
            </w:r>
          </w:p>
        </w:tc>
      </w:tr>
      <w:tr>
        <w:tc>
          <w:tcPr>
            <w:tcW w:type="dxa" w:w="320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Courier New" w:cs="Courier New" w:eastAsia="Courier New" w:hAnsi="Courier New"/>
                <w:color w:val="006D77"/>
                <w:sz w:val="18"/>
                <w:szCs w:val="18"/>
              </w:rPr>
              <w:t xml:space="preserve">│   ├── graph.py</w:t>
            </w:r>
          </w:p>
        </w:tc>
        <w:tc>
          <w:tcPr>
            <w:tcW w:type="dxa" w:w="616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Arial" w:cs="Arial" w:eastAsia="Arial" w:hAnsi="Arial"/>
                <w:color w:val="333333"/>
                <w:sz w:val="20"/>
                <w:szCs w:val="20"/>
              </w:rPr>
              <w:t xml:space="preserve">Main LangGraph state graph definition</w:t>
            </w:r>
          </w:p>
        </w:tc>
      </w:tr>
      <w:tr>
        <w:tc>
          <w:tcPr>
            <w:tcW w:type="dxa" w:w="320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Courier New" w:cs="Courier New" w:eastAsia="Courier New" w:hAnsi="Courier New"/>
                <w:color w:val="006D77"/>
                <w:sz w:val="18"/>
                <w:szCs w:val="18"/>
              </w:rPr>
              <w:t xml:space="preserve">│   ├── code_analyzer.py</w:t>
            </w:r>
          </w:p>
        </w:tc>
        <w:tc>
          <w:tcPr>
            <w:tcW w:type="dxa" w:w="616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Arial" w:cs="Arial" w:eastAsia="Arial" w:hAnsi="Arial"/>
                <w:color w:val="333333"/>
                <w:sz w:val="20"/>
                <w:szCs w:val="20"/>
              </w:rPr>
              <w:t xml:space="preserve">Code analysis agent node</w:t>
            </w:r>
          </w:p>
        </w:tc>
      </w:tr>
      <w:tr>
        <w:tc>
          <w:tcPr>
            <w:tcW w:type="dxa" w:w="320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Courier New" w:cs="Courier New" w:eastAsia="Courier New" w:hAnsi="Courier New"/>
                <w:color w:val="006D77"/>
                <w:sz w:val="18"/>
                <w:szCs w:val="18"/>
              </w:rPr>
              <w:t xml:space="preserve">│   ├── compliance_mapper.py</w:t>
            </w:r>
          </w:p>
        </w:tc>
        <w:tc>
          <w:tcPr>
            <w:tcW w:type="dxa" w:w="616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Arial" w:cs="Arial" w:eastAsia="Arial" w:hAnsi="Arial"/>
                <w:color w:val="333333"/>
                <w:sz w:val="20"/>
                <w:szCs w:val="20"/>
              </w:rPr>
              <w:t xml:space="preserve">Compliance retrieval agent node</w:t>
            </w:r>
          </w:p>
        </w:tc>
      </w:tr>
      <w:tr>
        <w:tc>
          <w:tcPr>
            <w:tcW w:type="dxa" w:w="320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Courier New" w:cs="Courier New" w:eastAsia="Courier New" w:hAnsi="Courier New"/>
                <w:color w:val="006D77"/>
                <w:sz w:val="18"/>
                <w:szCs w:val="18"/>
              </w:rPr>
              <w:t xml:space="preserve">│   └── synthesizer.py</w:t>
            </w:r>
          </w:p>
        </w:tc>
        <w:tc>
          <w:tcPr>
            <w:tcW w:type="dxa" w:w="616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Arial" w:cs="Arial" w:eastAsia="Arial" w:hAnsi="Arial"/>
                <w:color w:val="333333"/>
                <w:sz w:val="20"/>
                <w:szCs w:val="20"/>
              </w:rPr>
              <w:t xml:space="preserve">Cross-corpus synthesis agent node</w:t>
            </w:r>
          </w:p>
        </w:tc>
      </w:tr>
      <w:tr>
        <w:tc>
          <w:tcPr>
            <w:tcW w:type="dxa" w:w="320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Courier New" w:cs="Courier New" w:eastAsia="Courier New" w:hAnsi="Courier New"/>
                <w:color w:val="006D77"/>
                <w:sz w:val="18"/>
                <w:szCs w:val="18"/>
              </w:rPr>
              <w:t xml:space="preserve">├── api/</w:t>
            </w:r>
          </w:p>
        </w:tc>
        <w:tc>
          <w:tcPr>
            <w:tcW w:type="dxa" w:w="616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Arial" w:cs="Arial" w:eastAsia="Arial" w:hAnsi="Arial"/>
                <w:color w:val="333333"/>
                <w:sz w:val="20"/>
                <w:szCs w:val="20"/>
              </w:rPr>
              <w:t xml:space="preserve">FastAPI application</w:t>
            </w:r>
          </w:p>
        </w:tc>
      </w:tr>
      <w:tr>
        <w:tc>
          <w:tcPr>
            <w:tcW w:type="dxa" w:w="320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Courier New" w:cs="Courier New" w:eastAsia="Courier New" w:hAnsi="Courier New"/>
                <w:color w:val="006D77"/>
                <w:sz w:val="18"/>
                <w:szCs w:val="18"/>
              </w:rPr>
              <w:t xml:space="preserve">│   ├── main.py</w:t>
            </w:r>
          </w:p>
        </w:tc>
        <w:tc>
          <w:tcPr>
            <w:tcW w:type="dxa" w:w="616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Arial" w:cs="Arial" w:eastAsia="Arial" w:hAnsi="Arial"/>
                <w:color w:val="333333"/>
                <w:sz w:val="20"/>
                <w:szCs w:val="20"/>
              </w:rPr>
              <w:t xml:space="preserve">FastAPI app entry point</w:t>
            </w:r>
          </w:p>
        </w:tc>
      </w:tr>
      <w:tr>
        <w:tc>
          <w:tcPr>
            <w:tcW w:type="dxa" w:w="320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Courier New" w:cs="Courier New" w:eastAsia="Courier New" w:hAnsi="Courier New"/>
                <w:color w:val="006D77"/>
                <w:sz w:val="18"/>
                <w:szCs w:val="18"/>
              </w:rPr>
              <w:t xml:space="preserve">│   ├── routes/</w:t>
            </w:r>
          </w:p>
        </w:tc>
        <w:tc>
          <w:tcPr>
            <w:tcW w:type="dxa" w:w="616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Arial" w:cs="Arial" w:eastAsia="Arial" w:hAnsi="Arial"/>
                <w:color w:val="333333"/>
                <w:sz w:val="20"/>
                <w:szCs w:val="20"/>
              </w:rPr>
              <w:t xml:space="preserve">API route handlers</w:t>
            </w:r>
          </w:p>
        </w:tc>
      </w:tr>
      <w:tr>
        <w:tc>
          <w:tcPr>
            <w:tcW w:type="dxa" w:w="320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Courier New" w:cs="Courier New" w:eastAsia="Courier New" w:hAnsi="Courier New"/>
                <w:color w:val="006D77"/>
                <w:sz w:val="18"/>
                <w:szCs w:val="18"/>
              </w:rPr>
              <w:t xml:space="preserve">│   └── middleware/</w:t>
            </w:r>
          </w:p>
        </w:tc>
        <w:tc>
          <w:tcPr>
            <w:tcW w:type="dxa" w:w="616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Arial" w:cs="Arial" w:eastAsia="Arial" w:hAnsi="Arial"/>
                <w:color w:val="333333"/>
                <w:sz w:val="20"/>
                <w:szCs w:val="20"/>
              </w:rPr>
              <w:t xml:space="preserve">Auth, rate limiting middleware</w:t>
            </w:r>
          </w:p>
        </w:tc>
      </w:tr>
      <w:tr>
        <w:tc>
          <w:tcPr>
            <w:tcW w:type="dxa" w:w="320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Courier New" w:cs="Courier New" w:eastAsia="Courier New" w:hAnsi="Courier New"/>
                <w:color w:val="006D77"/>
                <w:sz w:val="18"/>
                <w:szCs w:val="18"/>
              </w:rPr>
              <w:t xml:space="preserve">├── evaluation/</w:t>
            </w:r>
          </w:p>
        </w:tc>
        <w:tc>
          <w:tcPr>
            <w:tcW w:type="dxa" w:w="616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Arial" w:cs="Arial" w:eastAsia="Arial" w:hAnsi="Arial"/>
                <w:color w:val="333333"/>
                <w:sz w:val="20"/>
                <w:szCs w:val="20"/>
              </w:rPr>
              <w:t xml:space="preserve">RAGAS + DeepEval test suites</w:t>
            </w:r>
          </w:p>
        </w:tc>
      </w:tr>
      <w:tr>
        <w:tc>
          <w:tcPr>
            <w:tcW w:type="dxa" w:w="320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Courier New" w:cs="Courier New" w:eastAsia="Courier New" w:hAnsi="Courier New"/>
                <w:color w:val="006D77"/>
                <w:sz w:val="18"/>
                <w:szCs w:val="18"/>
              </w:rPr>
              <w:t xml:space="preserve">│   ├── ragas_eval.py</w:t>
            </w:r>
          </w:p>
        </w:tc>
        <w:tc>
          <w:tcPr>
            <w:tcW w:type="dxa" w:w="616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Arial" w:cs="Arial" w:eastAsia="Arial" w:hAnsi="Arial"/>
                <w:color w:val="333333"/>
                <w:sz w:val="20"/>
                <w:szCs w:val="20"/>
              </w:rPr>
              <w:t xml:space="preserve">RAGAS metric computation</w:t>
            </w:r>
          </w:p>
        </w:tc>
      </w:tr>
      <w:tr>
        <w:tc>
          <w:tcPr>
            <w:tcW w:type="dxa" w:w="320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Courier New" w:cs="Courier New" w:eastAsia="Courier New" w:hAnsi="Courier New"/>
                <w:color w:val="006D77"/>
                <w:sz w:val="18"/>
                <w:szCs w:val="18"/>
              </w:rPr>
              <w:t xml:space="preserve">│   ├── deepeval_tests.py</w:t>
            </w:r>
          </w:p>
        </w:tc>
        <w:tc>
          <w:tcPr>
            <w:tcW w:type="dxa" w:w="616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Arial" w:cs="Arial" w:eastAsia="Arial" w:hAnsi="Arial"/>
                <w:color w:val="333333"/>
                <w:sz w:val="20"/>
                <w:szCs w:val="20"/>
              </w:rPr>
              <w:t xml:space="preserve">DeepEval hallucination tests</w:t>
            </w:r>
          </w:p>
        </w:tc>
      </w:tr>
      <w:tr>
        <w:tc>
          <w:tcPr>
            <w:tcW w:type="dxa" w:w="320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Courier New" w:cs="Courier New" w:eastAsia="Courier New" w:hAnsi="Courier New"/>
                <w:color w:val="006D77"/>
                <w:sz w:val="18"/>
                <w:szCs w:val="18"/>
              </w:rPr>
              <w:t xml:space="preserve">│   └── test_datasets/</w:t>
            </w:r>
          </w:p>
        </w:tc>
        <w:tc>
          <w:tcPr>
            <w:tcW w:type="dxa" w:w="616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Arial" w:cs="Arial" w:eastAsia="Arial" w:hAnsi="Arial"/>
                <w:color w:val="333333"/>
                <w:sz w:val="20"/>
                <w:szCs w:val="20"/>
              </w:rPr>
              <w:t xml:space="preserve">Golden Q&amp;A pairs for evaluation</w:t>
            </w:r>
          </w:p>
        </w:tc>
      </w:tr>
      <w:tr>
        <w:tc>
          <w:tcPr>
            <w:tcW w:type="dxa" w:w="320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Courier New" w:cs="Courier New" w:eastAsia="Courier New" w:hAnsi="Courier New"/>
                <w:color w:val="006D77"/>
                <w:sz w:val="18"/>
                <w:szCs w:val="18"/>
              </w:rPr>
              <w:t xml:space="preserve">├── ui/</w:t>
            </w:r>
          </w:p>
        </w:tc>
        <w:tc>
          <w:tcPr>
            <w:tcW w:type="dxa" w:w="616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Arial" w:cs="Arial" w:eastAsia="Arial" w:hAnsi="Arial"/>
                <w:color w:val="333333"/>
                <w:sz w:val="20"/>
                <w:szCs w:val="20"/>
              </w:rPr>
              <w:t xml:space="preserve">Streamlit frontend</w:t>
            </w:r>
          </w:p>
        </w:tc>
      </w:tr>
      <w:tr>
        <w:tc>
          <w:tcPr>
            <w:tcW w:type="dxa" w:w="320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Courier New" w:cs="Courier New" w:eastAsia="Courier New" w:hAnsi="Courier New"/>
                <w:color w:val="006D77"/>
                <w:sz w:val="18"/>
                <w:szCs w:val="18"/>
              </w:rPr>
              <w:t xml:space="preserve">│   └── app.py</w:t>
            </w:r>
          </w:p>
        </w:tc>
        <w:tc>
          <w:tcPr>
            <w:tcW w:type="dxa" w:w="616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Arial" w:cs="Arial" w:eastAsia="Arial" w:hAnsi="Arial"/>
                <w:color w:val="333333"/>
                <w:sz w:val="20"/>
                <w:szCs w:val="20"/>
              </w:rPr>
              <w:t xml:space="preserve">Main Streamlit application</w:t>
            </w:r>
          </w:p>
        </w:tc>
      </w:tr>
      <w:tr>
        <w:tc>
          <w:tcPr>
            <w:tcW w:type="dxa" w:w="320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Courier New" w:cs="Courier New" w:eastAsia="Courier New" w:hAnsi="Courier New"/>
                <w:color w:val="006D77"/>
                <w:sz w:val="18"/>
                <w:szCs w:val="18"/>
              </w:rPr>
              <w:t xml:space="preserve">├── docker/</w:t>
            </w:r>
          </w:p>
        </w:tc>
        <w:tc>
          <w:tcPr>
            <w:tcW w:type="dxa" w:w="616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Arial" w:cs="Arial" w:eastAsia="Arial" w:hAnsi="Arial"/>
                <w:color w:val="333333"/>
                <w:sz w:val="20"/>
                <w:szCs w:val="20"/>
              </w:rPr>
              <w:t xml:space="preserve">Docker configuration</w:t>
            </w:r>
          </w:p>
        </w:tc>
      </w:tr>
      <w:tr>
        <w:tc>
          <w:tcPr>
            <w:tcW w:type="dxa" w:w="320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Courier New" w:cs="Courier New" w:eastAsia="Courier New" w:hAnsi="Courier New"/>
                <w:color w:val="006D77"/>
                <w:sz w:val="18"/>
                <w:szCs w:val="18"/>
              </w:rPr>
              <w:t xml:space="preserve">│   ├── Dockerfile</w:t>
            </w:r>
          </w:p>
        </w:tc>
        <w:tc>
          <w:tcPr>
            <w:tcW w:type="dxa" w:w="616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Arial" w:cs="Arial" w:eastAsia="Arial" w:hAnsi="Arial"/>
                <w:color w:val="333333"/>
                <w:sz w:val="20"/>
                <w:szCs w:val="20"/>
              </w:rPr>
              <w:t xml:space="preserve">FastAPI app container</w:t>
            </w:r>
          </w:p>
        </w:tc>
      </w:tr>
      <w:tr>
        <w:tc>
          <w:tcPr>
            <w:tcW w:type="dxa" w:w="320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Courier New" w:cs="Courier New" w:eastAsia="Courier New" w:hAnsi="Courier New"/>
                <w:color w:val="006D77"/>
                <w:sz w:val="18"/>
                <w:szCs w:val="18"/>
              </w:rPr>
              <w:t xml:space="preserve">│   └── docker-compose.yml</w:t>
            </w:r>
          </w:p>
        </w:tc>
        <w:tc>
          <w:tcPr>
            <w:tcW w:type="dxa" w:w="616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Arial" w:cs="Arial" w:eastAsia="Arial" w:hAnsi="Arial"/>
                <w:color w:val="333333"/>
                <w:sz w:val="20"/>
                <w:szCs w:val="20"/>
              </w:rPr>
              <w:t xml:space="preserve">Full local stack</w:t>
            </w:r>
          </w:p>
        </w:tc>
      </w:tr>
      <w:tr>
        <w:tc>
          <w:tcPr>
            <w:tcW w:type="dxa" w:w="320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Courier New" w:cs="Courier New" w:eastAsia="Courier New" w:hAnsi="Courier New"/>
                <w:color w:val="006D77"/>
                <w:sz w:val="18"/>
                <w:szCs w:val="18"/>
              </w:rPr>
              <w:t xml:space="preserve">├── docs/</w:t>
            </w:r>
          </w:p>
        </w:tc>
        <w:tc>
          <w:tcPr>
            <w:tcW w:type="dxa" w:w="616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Arial" w:cs="Arial" w:eastAsia="Arial" w:hAnsi="Arial"/>
                <w:color w:val="333333"/>
                <w:sz w:val="20"/>
                <w:szCs w:val="20"/>
              </w:rPr>
              <w:t xml:space="preserve">Project documentation</w:t>
            </w:r>
          </w:p>
        </w:tc>
      </w:tr>
      <w:tr>
        <w:tc>
          <w:tcPr>
            <w:tcW w:type="dxa" w:w="320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Courier New" w:cs="Courier New" w:eastAsia="Courier New" w:hAnsi="Courier New"/>
                <w:color w:val="006D77"/>
                <w:sz w:val="18"/>
                <w:szCs w:val="18"/>
              </w:rPr>
              <w:t xml:space="preserve">│   ├── BUILD_LOG.md</w:t>
            </w:r>
          </w:p>
        </w:tc>
        <w:tc>
          <w:tcPr>
            <w:tcW w:type="dxa" w:w="616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Arial" w:cs="Arial" w:eastAsia="Arial" w:hAnsi="Arial"/>
                <w:color w:val="333333"/>
                <w:sz w:val="20"/>
                <w:szCs w:val="20"/>
              </w:rPr>
              <w:t xml:space="preserve">Session-by-session build log (update always)</w:t>
            </w:r>
          </w:p>
        </w:tc>
      </w:tr>
      <w:tr>
        <w:tc>
          <w:tcPr>
            <w:tcW w:type="dxa" w:w="320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Courier New" w:cs="Courier New" w:eastAsia="Courier New" w:hAnsi="Courier New"/>
                <w:color w:val="006D77"/>
                <w:sz w:val="18"/>
                <w:szCs w:val="18"/>
              </w:rPr>
              <w:t xml:space="preserve">│   ├── ARCHITECTURE.md</w:t>
            </w:r>
          </w:p>
        </w:tc>
        <w:tc>
          <w:tcPr>
            <w:tcW w:type="dxa" w:w="616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Arial" w:cs="Arial" w:eastAsia="Arial" w:hAnsi="Arial"/>
                <w:color w:val="333333"/>
                <w:sz w:val="20"/>
                <w:szCs w:val="20"/>
              </w:rPr>
              <w:t xml:space="preserve">System architecture diagram + explanation</w:t>
            </w:r>
          </w:p>
        </w:tc>
      </w:tr>
      <w:tr>
        <w:tc>
          <w:tcPr>
            <w:tcW w:type="dxa" w:w="320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Courier New" w:cs="Courier New" w:eastAsia="Courier New" w:hAnsi="Courier New"/>
                <w:color w:val="006D77"/>
                <w:sz w:val="18"/>
                <w:szCs w:val="18"/>
              </w:rPr>
              <w:t xml:space="preserve">│   └── METRICS.md</w:t>
            </w:r>
          </w:p>
        </w:tc>
        <w:tc>
          <w:tcPr>
            <w:tcW w:type="dxa" w:w="616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Arial" w:cs="Arial" w:eastAsia="Arial" w:hAnsi="Arial"/>
                <w:color w:val="333333"/>
                <w:sz w:val="20"/>
                <w:szCs w:val="20"/>
              </w:rPr>
              <w:t xml:space="preserve">All benchmark results by phase</w:t>
            </w:r>
          </w:p>
        </w:tc>
      </w:tr>
      <w:tr>
        <w:tc>
          <w:tcPr>
            <w:tcW w:type="dxa" w:w="320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Courier New" w:cs="Courier New" w:eastAsia="Courier New" w:hAnsi="Courier New"/>
                <w:color w:val="006D77"/>
                <w:sz w:val="18"/>
                <w:szCs w:val="18"/>
              </w:rPr>
              <w:t xml:space="preserve">├── tests/</w:t>
            </w:r>
          </w:p>
        </w:tc>
        <w:tc>
          <w:tcPr>
            <w:tcW w:type="dxa" w:w="616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Arial" w:cs="Arial" w:eastAsia="Arial" w:hAnsi="Arial"/>
                <w:color w:val="333333"/>
                <w:sz w:val="20"/>
                <w:szCs w:val="20"/>
              </w:rPr>
              <w:t xml:space="preserve">Unit and integration tests</w:t>
            </w:r>
          </w:p>
        </w:tc>
      </w:tr>
      <w:tr>
        <w:tc>
          <w:tcPr>
            <w:tcW w:type="dxa" w:w="320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Courier New" w:cs="Courier New" w:eastAsia="Courier New" w:hAnsi="Courier New"/>
                <w:color w:val="006D77"/>
                <w:sz w:val="18"/>
                <w:szCs w:val="18"/>
              </w:rPr>
              <w:t xml:space="preserve">├── .env.example</w:t>
            </w:r>
          </w:p>
        </w:tc>
        <w:tc>
          <w:tcPr>
            <w:tcW w:type="dxa" w:w="616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Arial" w:cs="Arial" w:eastAsia="Arial" w:hAnsi="Arial"/>
                <w:color w:val="333333"/>
                <w:sz w:val="20"/>
                <w:szCs w:val="20"/>
              </w:rPr>
              <w:t xml:space="preserve">Environment variable template (never commit .env)</w:t>
            </w:r>
          </w:p>
        </w:tc>
      </w:tr>
      <w:tr>
        <w:tc>
          <w:tcPr>
            <w:tcW w:type="dxa" w:w="320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Courier New" w:cs="Courier New" w:eastAsia="Courier New" w:hAnsi="Courier New"/>
                <w:color w:val="006D77"/>
                <w:sz w:val="18"/>
                <w:szCs w:val="18"/>
              </w:rPr>
              <w:t xml:space="preserve">├── requirements.txt</w:t>
            </w:r>
          </w:p>
        </w:tc>
        <w:tc>
          <w:tcPr>
            <w:tcW w:type="dxa" w:w="6160"/>
            <w:tcBorders>
              <w:top w:val="single" w:color="CCDDEE" w:sz="6"/>
              <w:left w:val="single" w:color="CCDDEE" w:sz="6"/>
              <w:bottom w:val="single" w:color="CCDDEE" w:sz="6"/>
              <w:right w:val="single" w:color="CCDDEE" w:sz="6"/>
            </w:tcBorders>
            <w:shd w:fill="FFFFFF" w:val="clear"/>
            <w:tcMar>
              <w:top w:type="dxa" w:w="60"/>
              <w:left w:type="dxa" w:w="120"/>
              <w:bottom w:type="dxa" w:w="60"/>
              <w:right w:type="dxa" w:w="120"/>
            </w:tcMar>
          </w:tcPr>
          <w:p>
            <w:r>
              <w:rPr>
                <w:rFonts w:ascii="Arial" w:cs="Arial" w:eastAsia="Arial" w:hAnsi="Arial"/>
                <w:color w:val="333333"/>
                <w:sz w:val="20"/>
                <w:szCs w:val="20"/>
              </w:rPr>
              <w:t xml:space="preserve">Pinned Python dependencies</w:t>
            </w:r>
          </w:p>
        </w:tc>
      </w:tr>
      <w:tr>
        <w:tc>
          <w:tcPr>
            <w:tcW w:type="dxa" w:w="320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Courier New" w:cs="Courier New" w:eastAsia="Courier New" w:hAnsi="Courier New"/>
                <w:color w:val="006D77"/>
                <w:sz w:val="18"/>
                <w:szCs w:val="18"/>
              </w:rPr>
              <w:t xml:space="preserve">└── README.md</w:t>
            </w:r>
          </w:p>
        </w:tc>
        <w:tc>
          <w:tcPr>
            <w:tcW w:type="dxa" w:w="6160"/>
            <w:tcBorders>
              <w:top w:val="single" w:color="CCDDEE" w:sz="6"/>
              <w:left w:val="single" w:color="CCDDEE" w:sz="6"/>
              <w:bottom w:val="single" w:color="CCDDEE" w:sz="6"/>
              <w:right w:val="single" w:color="CCDDEE" w:sz="6"/>
            </w:tcBorders>
            <w:shd w:fill="F5F8FA" w:val="clear"/>
            <w:tcMar>
              <w:top w:type="dxa" w:w="60"/>
              <w:left w:type="dxa" w:w="120"/>
              <w:bottom w:type="dxa" w:w="60"/>
              <w:right w:type="dxa" w:w="120"/>
            </w:tcMar>
          </w:tcPr>
          <w:p>
            <w:r>
              <w:rPr>
                <w:rFonts w:ascii="Arial" w:cs="Arial" w:eastAsia="Arial" w:hAnsi="Arial"/>
                <w:color w:val="333333"/>
                <w:sz w:val="20"/>
                <w:szCs w:val="20"/>
              </w:rPr>
              <w:t xml:space="preserve">The killer README — this is your resume</w:t>
            </w:r>
          </w:p>
        </w:tc>
      </w:tr>
    </w:tbl>
    <w:p>
      <w:pPr>
        <w:spacing w:before="80" w:after="0"/>
      </w:pPr>
    </w:p>
    <w:p>
      <w:pPr>
        <w:pStyle w:val="Heading2"/>
        <w:spacing w:before="280" w:after="100"/>
      </w:pPr>
      <w:r>
        <w:rPr>
          <w:rFonts w:ascii="Arial" w:cs="Arial" w:eastAsia="Arial" w:hAnsi="Arial"/>
          <w:b/>
          <w:bCs/>
          <w:color w:val="006D77"/>
          <w:sz w:val="28"/>
          <w:szCs w:val="28"/>
        </w:rPr>
        <w:t xml:space="preserve">4.2  Git Branching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main</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Always deployable. Tagged at end of each phase: v0.1, v0.2, v0.3, v1.0</w:t>
            </w:r>
          </w:p>
        </w:tc>
      </w:tr>
      <w:tr>
        <w:tc>
          <w:tcPr>
            <w:tcW w:type="dxa" w:w="28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phase/1-basic-rag</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Phase 1 development branch. Merged to main when phase complete.</w:t>
            </w:r>
          </w:p>
        </w:tc>
      </w:tr>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phase/2-production-rag</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Phase 2 development branch.</w:t>
            </w:r>
          </w:p>
        </w:tc>
      </w:tr>
      <w:tr>
        <w:tc>
          <w:tcPr>
            <w:tcW w:type="dxa" w:w="28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phase/3-multi-agent</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Phase 3 development branch.</w:t>
            </w:r>
          </w:p>
        </w:tc>
      </w:tr>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phase/4-saas-deploy</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Phase 4 development branch.</w:t>
            </w:r>
          </w:p>
        </w:tc>
      </w:tr>
      <w:tr>
        <w:tc>
          <w:tcPr>
            <w:tcW w:type="dxa" w:w="28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feature/*</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Individual feature branches (e.g., feature/cohere-reranker, feature/bm25-hybrid)</w:t>
            </w:r>
          </w:p>
        </w:tc>
      </w:tr>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eval/*</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Evaluation experiment branches (e.g., eval/chunk-size-512-vs-1024)</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2A4A" w:val="clear"/>
            <w:tcMar>
              <w:top w:type="dxa" w:w="140"/>
              <w:left w:type="dxa" w:w="140"/>
              <w:bottom w:type="dxa" w:w="140"/>
              <w:right w:type="dxa" w:w="140"/>
            </w:tcMar>
            <w:vAlign w:val="center"/>
          </w:tcPr>
          <w:p>
            <w:pPr>
              <w:jc w:val="center"/>
            </w:pPr>
            <w:r>
              <w:rPr>
                <w:rFonts w:ascii="Arial" w:cs="Arial" w:eastAsia="Arial" w:hAnsi="Arial"/>
                <w:b/>
                <w:bCs/>
                <w:color w:val="C9882A"/>
                <w:sz w:val="32"/>
                <w:szCs w:val="32"/>
              </w:rPr>
              <w:t xml:space="preserve">05</w:t>
            </w:r>
          </w:p>
        </w:tc>
        <w:tc>
          <w:tcPr>
            <w:tcW w:type="dxa" w:w="8560"/>
            <w:tcBorders>
              <w:top w:val="none" w:color="FFFFFF" w:sz="0"/>
              <w:left w:val="none" w:color="FFFFFF" w:sz="0"/>
              <w:bottom w:val="none" w:color="FFFFFF" w:sz="0"/>
              <w:right w:val="none" w:color="FFFFFF" w:sz="0"/>
            </w:tcBorders>
            <w:shd w:fill="006D77" w:val="clear"/>
            <w:tcMar>
              <w:top w:type="dxa" w:w="140"/>
              <w:left w:type="dxa" w:w="220"/>
              <w:bottom w:type="dxa" w:w="140"/>
              <w:right w:type="dxa" w:w="140"/>
            </w:tcMar>
            <w:vAlign w:val="center"/>
          </w:tcPr>
          <w:p>
            <w:r>
              <w:rPr>
                <w:rFonts w:ascii="Arial" w:cs="Arial" w:eastAsia="Arial" w:hAnsi="Arial"/>
                <w:b/>
                <w:bCs/>
                <w:color w:val="FFFFFF"/>
                <w:sz w:val="28"/>
                <w:szCs w:val="28"/>
              </w:rPr>
              <w:t xml:space="preserve">Build Log Template &amp; Protocol</w:t>
            </w:r>
          </w:p>
        </w:tc>
      </w:tr>
    </w:tbl>
    <w:p>
      <w:pPr>
        <w:spacing w:before="200" w:after="0"/>
      </w:pPr>
    </w:p>
    <w:p>
      <w:pPr>
        <w:pStyle w:val="Heading2"/>
        <w:spacing w:before="280" w:after="100"/>
      </w:pPr>
      <w:r>
        <w:rPr>
          <w:rFonts w:ascii="Arial" w:cs="Arial" w:eastAsia="Arial" w:hAnsi="Arial"/>
          <w:b/>
          <w:bCs/>
          <w:color w:val="006D77"/>
          <w:sz w:val="28"/>
          <w:szCs w:val="28"/>
        </w:rPr>
        <w:t xml:space="preserve">5.1  Build Log Protocol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9882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MANDATORY</w:t>
            </w:r>
          </w:p>
        </w:tc>
        <w:tc>
          <w:tcPr>
            <w:tcW w:type="dxa" w:w="9160"/>
            <w:tcBorders>
              <w:top w:val="none" w:color="FFFFFF" w:sz="0"/>
              <w:left w:val="none" w:color="FFFFFF" w:sz="0"/>
              <w:bottom w:val="none" w:color="FFFFFF" w:sz="0"/>
              <w:right w:val="none" w:color="FFFFFF" w:sz="0"/>
            </w:tcBorders>
            <w:shd w:fill="FFF3CD" w:val="clear"/>
            <w:tcMar>
              <w:top w:type="dxa" w:w="100"/>
              <w:left w:type="dxa" w:w="180"/>
              <w:bottom w:type="dxa" w:w="100"/>
              <w:right w:type="dxa" w:w="180"/>
            </w:tcMar>
          </w:tcPr>
          <w:p>
            <w:r>
              <w:rPr>
                <w:rFonts w:ascii="Arial" w:cs="Arial" w:eastAsia="Arial" w:hAnsi="Arial"/>
                <w:color w:val="333333"/>
                <w:sz w:val="21"/>
                <w:szCs w:val="21"/>
              </w:rPr>
              <w:t xml:space="preserve">Update the Build Log after EVERY work session without exception. This log is evidence of your engineering process — it is as important as the code itself for interviews and portfolio reviews.</w:t>
            </w:r>
          </w:p>
        </w:tc>
      </w:tr>
    </w:tbl>
    <w:p>
      <w:pPr>
        <w:spacing w:before="80" w:after="0"/>
      </w:pPr>
    </w:p>
    <w:p>
      <w:pPr>
        <w:spacing w:before="0" w:after="160" w:line="276" w:lineRule="auto"/>
      </w:pPr>
      <w:r>
        <w:rPr>
          <w:rFonts w:ascii="Arial" w:cs="Arial" w:eastAsia="Arial" w:hAnsi="Arial"/>
          <w:color w:val="333333"/>
          <w:sz w:val="22"/>
          <w:szCs w:val="22"/>
        </w:rPr>
        <w:t xml:space="preserve">The build log lives at docs/BUILD_LOG.md in the repository and is also maintained in this document (Section 6). Each entry follows the template below:</w:t>
      </w:r>
    </w:p>
    <w:p>
      <w:pPr>
        <w:spacing w:before="80" w:after="0"/>
      </w:pPr>
    </w:p>
    <w:p>
      <w:pPr>
        <w:pStyle w:val="Heading2"/>
        <w:spacing w:before="280" w:after="100"/>
      </w:pPr>
      <w:r>
        <w:rPr>
          <w:rFonts w:ascii="Arial" w:cs="Arial" w:eastAsia="Arial" w:hAnsi="Arial"/>
          <w:b/>
          <w:bCs/>
          <w:color w:val="006D77"/>
          <w:sz w:val="28"/>
          <w:szCs w:val="28"/>
        </w:rPr>
        <w:t xml:space="preserve">5.2  Session Log Entry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gridSpan w:val="2"/>
            <w:tcBorders>
              <w:top w:val="single" w:color="1B2A4A" w:sz="8"/>
              <w:left w:val="single" w:color="1B2A4A" w:sz="8"/>
              <w:bottom w:val="single" w:color="CCDDEE" w:sz="6"/>
              <w:right w:val="single" w:color="1B2A4A" w:sz="8"/>
            </w:tcBorders>
            <w:shd w:fill="1B2A4A" w:val="clear"/>
            <w:tcMar>
              <w:top w:type="dxa" w:w="100"/>
              <w:left w:type="dxa" w:w="160"/>
              <w:bottom w:type="dxa" w:w="100"/>
              <w:right w:type="dxa" w:w="160"/>
            </w:tcMar>
          </w:tcPr>
          <w:p>
            <w:r>
              <w:rPr>
                <w:rFonts w:ascii="Arial" w:cs="Arial" w:eastAsia="Arial" w:hAnsi="Arial"/>
                <w:b/>
                <w:bCs/>
                <w:color w:val="C9882A"/>
                <w:sz w:val="20"/>
                <w:szCs w:val="20"/>
              </w:rPr>
              <w:t xml:space="preserve">SESSION LOG ENTRY TEMPLATE</w:t>
            </w:r>
          </w:p>
        </w:tc>
      </w:tr>
      <w:tr>
        <w:tc>
          <w:tcPr>
            <w:tcW w:type="dxa" w:w="22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Date &amp; Time</w:t>
            </w:r>
          </w:p>
        </w:tc>
        <w:tc>
          <w:tcPr>
            <w:tcW w:type="dxa" w:w="71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i/>
                <w:iCs/>
                <w:color w:val="6B7280"/>
                <w:sz w:val="22"/>
                <w:szCs w:val="22"/>
              </w:rPr>
              <w:t xml:space="preserve">[DATE] — [START TIME] to [END TIME] — Total: [X hours]</w:t>
            </w:r>
          </w:p>
        </w:tc>
      </w:tr>
      <w:tr>
        <w:tc>
          <w:tcPr>
            <w:tcW w:type="dxa" w:w="22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Phase / Branch</w:t>
            </w:r>
          </w:p>
        </w:tc>
        <w:tc>
          <w:tcPr>
            <w:tcW w:type="dxa" w:w="71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i/>
                <w:iCs/>
                <w:color w:val="6B7280"/>
                <w:sz w:val="22"/>
                <w:szCs w:val="22"/>
              </w:rPr>
              <w:t xml:space="preserve">Phase [N] — branch: [branch-name]</w:t>
            </w:r>
          </w:p>
        </w:tc>
      </w:tr>
      <w:tr>
        <w:tc>
          <w:tcPr>
            <w:tcW w:type="dxa" w:w="22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Session Goal</w:t>
            </w:r>
          </w:p>
        </w:tc>
        <w:tc>
          <w:tcPr>
            <w:tcW w:type="dxa" w:w="71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i/>
                <w:iCs/>
                <w:color w:val="6B7280"/>
                <w:sz w:val="22"/>
                <w:szCs w:val="22"/>
              </w:rPr>
              <w:t xml:space="preserve">What did you set out to accomplish in this session?</w:t>
            </w:r>
          </w:p>
        </w:tc>
      </w:tr>
      <w:tr>
        <w:tc>
          <w:tcPr>
            <w:tcW w:type="dxa" w:w="22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Work Completed</w:t>
            </w:r>
          </w:p>
        </w:tc>
        <w:tc>
          <w:tcPr>
            <w:tcW w:type="dxa" w:w="71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i/>
                <w:iCs/>
                <w:color w:val="6B7280"/>
                <w:sz w:val="22"/>
                <w:szCs w:val="22"/>
              </w:rPr>
              <w:t xml:space="preserve">Bullet list of every meaningful thing completed</w:t>
            </w:r>
          </w:p>
        </w:tc>
      </w:tr>
      <w:tr>
        <w:tc>
          <w:tcPr>
            <w:tcW w:type="dxa" w:w="22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Decisions Made</w:t>
            </w:r>
          </w:p>
        </w:tc>
        <w:tc>
          <w:tcPr>
            <w:tcW w:type="dxa" w:w="71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i/>
                <w:iCs/>
                <w:color w:val="6B7280"/>
                <w:sz w:val="22"/>
                <w:szCs w:val="22"/>
              </w:rPr>
              <w:t xml:space="preserve">Architecture or tech choices made and WHY — this is gold for interviews</w:t>
            </w:r>
          </w:p>
        </w:tc>
      </w:tr>
      <w:tr>
        <w:tc>
          <w:tcPr>
            <w:tcW w:type="dxa" w:w="22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Errors Encountered</w:t>
            </w:r>
          </w:p>
        </w:tc>
        <w:tc>
          <w:tcPr>
            <w:tcW w:type="dxa" w:w="71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i/>
                <w:iCs/>
                <w:color w:val="6B7280"/>
                <w:sz w:val="22"/>
                <w:szCs w:val="22"/>
              </w:rPr>
              <w:t xml:space="preserve">Every error, the full message, what caused it, and the exact fix</w:t>
            </w:r>
          </w:p>
        </w:tc>
      </w:tr>
      <w:tr>
        <w:tc>
          <w:tcPr>
            <w:tcW w:type="dxa" w:w="22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Experiments Run</w:t>
            </w:r>
          </w:p>
        </w:tc>
        <w:tc>
          <w:tcPr>
            <w:tcW w:type="dxa" w:w="71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i/>
                <w:iCs/>
                <w:color w:val="6B7280"/>
                <w:sz w:val="22"/>
                <w:szCs w:val="22"/>
              </w:rPr>
              <w:t xml:space="preserve">Any A/B tests or metric experiments with results</w:t>
            </w:r>
          </w:p>
        </w:tc>
      </w:tr>
      <w:tr>
        <w:tc>
          <w:tcPr>
            <w:tcW w:type="dxa" w:w="22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Current Metrics</w:t>
            </w:r>
          </w:p>
        </w:tc>
        <w:tc>
          <w:tcPr>
            <w:tcW w:type="dxa" w:w="71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i/>
                <w:iCs/>
                <w:color w:val="6B7280"/>
                <w:sz w:val="22"/>
                <w:szCs w:val="22"/>
              </w:rPr>
              <w:t xml:space="preserve">Latest RAGAS / DeepEval scores after this session's changes</w:t>
            </w:r>
          </w:p>
        </w:tc>
      </w:tr>
      <w:tr>
        <w:tc>
          <w:tcPr>
            <w:tcW w:type="dxa" w:w="22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Next Session Goal</w:t>
            </w:r>
          </w:p>
        </w:tc>
        <w:tc>
          <w:tcPr>
            <w:tcW w:type="dxa" w:w="71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i/>
                <w:iCs/>
                <w:color w:val="6B7280"/>
                <w:sz w:val="22"/>
                <w:szCs w:val="22"/>
              </w:rPr>
              <w:t xml:space="preserve">Specific tasks for next session — be precise, not vague</w:t>
            </w:r>
          </w:p>
        </w:tc>
      </w:tr>
      <w:tr>
        <w:tc>
          <w:tcPr>
            <w:tcW w:type="dxa" w:w="22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Blockers</w:t>
            </w:r>
          </w:p>
        </w:tc>
        <w:tc>
          <w:tcPr>
            <w:tcW w:type="dxa" w:w="71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i/>
                <w:iCs/>
                <w:color w:val="6B7280"/>
                <w:sz w:val="22"/>
                <w:szCs w:val="22"/>
              </w:rPr>
              <w:t xml:space="preserve">Anything blocking progress and the plan to resolve it</w:t>
            </w:r>
          </w:p>
        </w:tc>
      </w:tr>
      <w:tr>
        <w:tc>
          <w:tcPr>
            <w:tcW w:type="dxa" w:w="22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Notes / Insights</w:t>
            </w:r>
          </w:p>
        </w:tc>
        <w:tc>
          <w:tcPr>
            <w:tcW w:type="dxa" w:w="71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i/>
                <w:iCs/>
                <w:color w:val="6B7280"/>
                <w:sz w:val="22"/>
                <w:szCs w:val="22"/>
              </w:rPr>
              <w:t xml:space="preserve">Any technical insights, interesting findings, or ideas for improvement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2A4A" w:val="clear"/>
            <w:tcMar>
              <w:top w:type="dxa" w:w="140"/>
              <w:left w:type="dxa" w:w="140"/>
              <w:bottom w:type="dxa" w:w="140"/>
              <w:right w:type="dxa" w:w="140"/>
            </w:tcMar>
            <w:vAlign w:val="center"/>
          </w:tcPr>
          <w:p>
            <w:pPr>
              <w:jc w:val="center"/>
            </w:pPr>
            <w:r>
              <w:rPr>
                <w:rFonts w:ascii="Arial" w:cs="Arial" w:eastAsia="Arial" w:hAnsi="Arial"/>
                <w:b/>
                <w:bCs/>
                <w:color w:val="C9882A"/>
                <w:sz w:val="32"/>
                <w:szCs w:val="32"/>
              </w:rPr>
              <w:t xml:space="preserve">06</w:t>
            </w:r>
          </w:p>
        </w:tc>
        <w:tc>
          <w:tcPr>
            <w:tcW w:type="dxa" w:w="8560"/>
            <w:tcBorders>
              <w:top w:val="none" w:color="FFFFFF" w:sz="0"/>
              <w:left w:val="none" w:color="FFFFFF" w:sz="0"/>
              <w:bottom w:val="none" w:color="FFFFFF" w:sz="0"/>
              <w:right w:val="none" w:color="FFFFFF" w:sz="0"/>
            </w:tcBorders>
            <w:shd w:fill="006D77" w:val="clear"/>
            <w:tcMar>
              <w:top w:type="dxa" w:w="140"/>
              <w:left w:type="dxa" w:w="220"/>
              <w:bottom w:type="dxa" w:w="140"/>
              <w:right w:type="dxa" w:w="140"/>
            </w:tcMar>
            <w:vAlign w:val="center"/>
          </w:tcPr>
          <w:p>
            <w:r>
              <w:rPr>
                <w:rFonts w:ascii="Arial" w:cs="Arial" w:eastAsia="Arial" w:hAnsi="Arial"/>
                <w:b/>
                <w:bCs/>
                <w:color w:val="FFFFFF"/>
                <w:sz w:val="28"/>
                <w:szCs w:val="28"/>
              </w:rPr>
              <w:t xml:space="preserve">Metrics, Success Criteria &amp; Portfolio Targets</w:t>
            </w:r>
          </w:p>
        </w:tc>
      </w:tr>
    </w:tbl>
    <w:p>
      <w:pPr>
        <w:spacing w:before="200" w:after="0"/>
      </w:pPr>
    </w:p>
    <w:p>
      <w:pPr>
        <w:pStyle w:val="Heading2"/>
        <w:spacing w:before="280" w:after="100"/>
      </w:pPr>
      <w:r>
        <w:rPr>
          <w:rFonts w:ascii="Arial" w:cs="Arial" w:eastAsia="Arial" w:hAnsi="Arial"/>
          <w:b/>
          <w:bCs/>
          <w:color w:val="006D77"/>
          <w:sz w:val="28"/>
          <w:szCs w:val="28"/>
        </w:rPr>
        <w:t xml:space="preserve">6.1  Production Metrics Dashboard (Target Values)</w:t>
      </w:r>
    </w:p>
    <w:p>
      <w:pPr>
        <w:spacing w:before="0" w:after="160" w:line="276" w:lineRule="auto"/>
      </w:pPr>
      <w:r>
        <w:rPr>
          <w:rFonts w:ascii="Arial" w:cs="Arial" w:eastAsia="Arial" w:hAnsi="Arial"/>
          <w:color w:val="333333"/>
          <w:sz w:val="22"/>
          <w:szCs w:val="22"/>
        </w:rPr>
        <w:t xml:space="preserve">These are the numbers you will put on your resume, LinkedIn, and README. Every metric must be reproducible from the evaluation scripts in the /evaluation folder.</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1600"/>
        <w:gridCol w:w="1760"/>
      </w:tblGrid>
      <w:tr>
        <w:tc>
          <w:tcPr>
            <w:tcW w:type="dxa" w:w="28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Metric</w:t>
            </w:r>
          </w:p>
        </w:tc>
        <w:tc>
          <w:tcPr>
            <w:tcW w:type="dxa" w:w="16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Phase 1 Baseline</w:t>
            </w:r>
          </w:p>
        </w:tc>
        <w:tc>
          <w:tcPr>
            <w:tcW w:type="dxa" w:w="16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Phase 2 Target</w:t>
            </w:r>
          </w:p>
        </w:tc>
        <w:tc>
          <w:tcPr>
            <w:tcW w:type="dxa" w:w="160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Phase 3 Target</w:t>
            </w:r>
          </w:p>
        </w:tc>
        <w:tc>
          <w:tcPr>
            <w:tcW w:type="dxa" w:w="1760"/>
            <w:tcBorders>
              <w:top w:val="single" w:color="CCDDEE" w:sz="6"/>
              <w:left w:val="single" w:color="CCDDEE" w:sz="6"/>
              <w:bottom w:val="single" w:color="CCDDEE" w:sz="6"/>
              <w:right w:val="single" w:color="CCDDEE" w:sz="6"/>
            </w:tcBorders>
            <w:shd w:fill="1B2A4A" w:val="clear"/>
            <w:tcMar>
              <w:top w:type="dxa" w:w="100"/>
              <w:left w:type="dxa" w:w="120"/>
              <w:bottom w:type="dxa" w:w="100"/>
              <w:right w:type="dxa" w:w="120"/>
            </w:tcMar>
          </w:tcPr>
          <w:p>
            <w:r>
              <w:rPr>
                <w:rFonts w:ascii="Arial" w:cs="Arial" w:eastAsia="Arial" w:hAnsi="Arial"/>
                <w:b/>
                <w:bCs/>
                <w:color w:val="FFFFFF"/>
                <w:sz w:val="19"/>
                <w:szCs w:val="19"/>
              </w:rPr>
              <w:t xml:space="preserve">Final Target</w:t>
            </w:r>
          </w:p>
        </w:tc>
      </w:tr>
      <w:tr>
        <w:tc>
          <w:tcPr>
            <w:tcW w:type="dxa" w:w="28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1B2A4A"/>
                <w:sz w:val="22"/>
                <w:szCs w:val="22"/>
              </w:rPr>
              <w:t xml:space="preserve">RAGAS Faithfulness</w:t>
            </w:r>
          </w:p>
        </w:tc>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Measure only</w:t>
            </w:r>
          </w:p>
        </w:tc>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88%</w:t>
            </w:r>
          </w:p>
        </w:tc>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91%</w:t>
            </w:r>
          </w:p>
        </w:tc>
        <w:tc>
          <w:tcPr>
            <w:tcW w:type="dxa" w:w="17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 93%</w:t>
            </w:r>
          </w:p>
        </w:tc>
      </w:tr>
      <w:tr>
        <w:tc>
          <w:tcPr>
            <w:tcW w:type="dxa" w:w="28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bCs/>
                <w:color w:val="1B2A4A"/>
                <w:sz w:val="22"/>
                <w:szCs w:val="22"/>
              </w:rPr>
              <w:t xml:space="preserve">RAGAS Answer Relevancy</w:t>
            </w:r>
          </w:p>
        </w:tc>
        <w:tc>
          <w:tcPr>
            <w:tcW w:type="dxa" w:w="16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Measure only</w:t>
            </w:r>
          </w:p>
        </w:tc>
        <w:tc>
          <w:tcPr>
            <w:tcW w:type="dxa" w:w="16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 84%</w:t>
            </w:r>
          </w:p>
        </w:tc>
        <w:tc>
          <w:tcPr>
            <w:tcW w:type="dxa" w:w="16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 88%</w:t>
            </w:r>
          </w:p>
        </w:tc>
        <w:tc>
          <w:tcPr>
            <w:tcW w:type="dxa" w:w="176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bCs/>
                <w:color w:val="1E7E34"/>
                <w:sz w:val="20"/>
                <w:szCs w:val="20"/>
              </w:rPr>
              <w:t xml:space="preserve">≥ 90%</w:t>
            </w:r>
          </w:p>
        </w:tc>
      </w:tr>
      <w:tr>
        <w:tc>
          <w:tcPr>
            <w:tcW w:type="dxa" w:w="28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1B2A4A"/>
                <w:sz w:val="22"/>
                <w:szCs w:val="22"/>
              </w:rPr>
              <w:t xml:space="preserve">Hallucination Rate (DeepEval)</w:t>
            </w:r>
          </w:p>
        </w:tc>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Measure only</w:t>
            </w:r>
          </w:p>
        </w:tc>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8%</w:t>
            </w:r>
          </w:p>
        </w:tc>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6%</w:t>
            </w:r>
          </w:p>
        </w:tc>
        <w:tc>
          <w:tcPr>
            <w:tcW w:type="dxa" w:w="17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&lt; 4%</w:t>
            </w:r>
          </w:p>
        </w:tc>
      </w:tr>
      <w:tr>
        <w:tc>
          <w:tcPr>
            <w:tcW w:type="dxa" w:w="28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bCs/>
                <w:color w:val="1B2A4A"/>
                <w:sz w:val="22"/>
                <w:szCs w:val="22"/>
              </w:rPr>
              <w:t xml:space="preserve">Context Precision (top-5)</w:t>
            </w:r>
          </w:p>
        </w:tc>
        <w:tc>
          <w:tcPr>
            <w:tcW w:type="dxa" w:w="16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Measure only</w:t>
            </w:r>
          </w:p>
        </w:tc>
        <w:tc>
          <w:tcPr>
            <w:tcW w:type="dxa" w:w="16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 0.82</w:t>
            </w:r>
          </w:p>
        </w:tc>
        <w:tc>
          <w:tcPr>
            <w:tcW w:type="dxa" w:w="16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 0.87</w:t>
            </w:r>
          </w:p>
        </w:tc>
        <w:tc>
          <w:tcPr>
            <w:tcW w:type="dxa" w:w="176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bCs/>
                <w:color w:val="1E7E34"/>
                <w:sz w:val="20"/>
                <w:szCs w:val="20"/>
              </w:rPr>
              <w:t xml:space="preserve">≥ 0.90</w:t>
            </w:r>
          </w:p>
        </w:tc>
      </w:tr>
      <w:tr>
        <w:tc>
          <w:tcPr>
            <w:tcW w:type="dxa" w:w="28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1B2A4A"/>
                <w:sz w:val="22"/>
                <w:szCs w:val="22"/>
              </w:rPr>
              <w:t xml:space="preserve">Hybrid vs. Vector Precision Gain</w:t>
            </w:r>
          </w:p>
        </w:tc>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Baseline</w:t>
            </w:r>
          </w:p>
        </w:tc>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 20%</w:t>
            </w:r>
          </w:p>
        </w:tc>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 28%</w:t>
            </w:r>
          </w:p>
        </w:tc>
        <w:tc>
          <w:tcPr>
            <w:tcW w:type="dxa" w:w="17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 ≥ 30%</w:t>
            </w:r>
          </w:p>
        </w:tc>
      </w:tr>
      <w:tr>
        <w:tc>
          <w:tcPr>
            <w:tcW w:type="dxa" w:w="28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bCs/>
                <w:color w:val="1B2A4A"/>
                <w:sz w:val="22"/>
                <w:szCs w:val="22"/>
              </w:rPr>
              <w:t xml:space="preserve">Query Routing Accuracy</w:t>
            </w:r>
          </w:p>
        </w:tc>
        <w:tc>
          <w:tcPr>
            <w:tcW w:type="dxa" w:w="16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16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 90%</w:t>
            </w:r>
          </w:p>
        </w:tc>
        <w:tc>
          <w:tcPr>
            <w:tcW w:type="dxa" w:w="16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 93%</w:t>
            </w:r>
          </w:p>
        </w:tc>
        <w:tc>
          <w:tcPr>
            <w:tcW w:type="dxa" w:w="176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bCs/>
                <w:color w:val="1E7E34"/>
                <w:sz w:val="20"/>
                <w:szCs w:val="20"/>
              </w:rPr>
              <w:t xml:space="preserve">≥ 95%</w:t>
            </w:r>
          </w:p>
        </w:tc>
      </w:tr>
      <w:tr>
        <w:tc>
          <w:tcPr>
            <w:tcW w:type="dxa" w:w="28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1B2A4A"/>
                <w:sz w:val="22"/>
                <w:szCs w:val="22"/>
              </w:rPr>
              <w:t xml:space="preserve">Cross-Corpus Synthesis Faithfulness</w:t>
            </w:r>
          </w:p>
        </w:tc>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 89%</w:t>
            </w:r>
          </w:p>
        </w:tc>
        <w:tc>
          <w:tcPr>
            <w:tcW w:type="dxa" w:w="17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 92%</w:t>
            </w:r>
          </w:p>
        </w:tc>
      </w:tr>
      <w:tr>
        <w:tc>
          <w:tcPr>
            <w:tcW w:type="dxa" w:w="28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bCs/>
                <w:color w:val="1B2A4A"/>
                <w:sz w:val="22"/>
                <w:szCs w:val="22"/>
              </w:rPr>
              <w:t xml:space="preserve">End-to-End Latency (P50)</w:t>
            </w:r>
          </w:p>
        </w:tc>
        <w:tc>
          <w:tcPr>
            <w:tcW w:type="dxa" w:w="16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&lt; 5s</w:t>
            </w:r>
          </w:p>
        </w:tc>
        <w:tc>
          <w:tcPr>
            <w:tcW w:type="dxa" w:w="16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&lt; 3s</w:t>
            </w:r>
          </w:p>
        </w:tc>
        <w:tc>
          <w:tcPr>
            <w:tcW w:type="dxa" w:w="16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&lt; 3s</w:t>
            </w:r>
          </w:p>
        </w:tc>
        <w:tc>
          <w:tcPr>
            <w:tcW w:type="dxa" w:w="176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bCs/>
                <w:color w:val="1E7E34"/>
                <w:sz w:val="20"/>
                <w:szCs w:val="20"/>
              </w:rPr>
              <w:t xml:space="preserve">&lt; 2.5s</w:t>
            </w:r>
          </w:p>
        </w:tc>
      </w:tr>
      <w:tr>
        <w:tc>
          <w:tcPr>
            <w:tcW w:type="dxa" w:w="28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1B2A4A"/>
                <w:sz w:val="22"/>
                <w:szCs w:val="22"/>
              </w:rPr>
              <w:t xml:space="preserve">End-to-End Latency (P95)</w:t>
            </w:r>
          </w:p>
        </w:tc>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10s</w:t>
            </w:r>
          </w:p>
        </w:tc>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5s</w:t>
            </w:r>
          </w:p>
        </w:tc>
        <w:tc>
          <w:tcPr>
            <w:tcW w:type="dxa" w:w="160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&lt; 5s</w:t>
            </w:r>
          </w:p>
        </w:tc>
        <w:tc>
          <w:tcPr>
            <w:tcW w:type="dxa" w:w="17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b/>
                <w:bCs/>
                <w:color w:val="1E7E34"/>
                <w:sz w:val="20"/>
                <w:szCs w:val="20"/>
              </w:rPr>
              <w:t xml:space="preserve">&lt; 4s</w:t>
            </w:r>
          </w:p>
        </w:tc>
      </w:tr>
      <w:tr>
        <w:tc>
          <w:tcPr>
            <w:tcW w:type="dxa" w:w="28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bCs/>
                <w:color w:val="1B2A4A"/>
                <w:sz w:val="22"/>
                <w:szCs w:val="22"/>
              </w:rPr>
              <w:t xml:space="preserve">API Uptime (deployed)</w:t>
            </w:r>
          </w:p>
        </w:tc>
        <w:tc>
          <w:tcPr>
            <w:tcW w:type="dxa" w:w="16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16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160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val="false"/>
                <w:bCs w:val="false"/>
                <w:color w:val="333333"/>
                <w:sz w:val="20"/>
                <w:szCs w:val="20"/>
              </w:rPr>
              <w:t xml:space="preserve">N/A</w:t>
            </w:r>
          </w:p>
        </w:tc>
        <w:tc>
          <w:tcPr>
            <w:tcW w:type="dxa" w:w="1760"/>
            <w:tcBorders>
              <w:top w:val="single" w:color="CCDDEE" w:sz="6"/>
              <w:left w:val="single" w:color="CCDDEE" w:sz="6"/>
              <w:bottom w:val="single" w:color="CCDDEE" w:sz="6"/>
              <w:right w:val="single" w:color="CCDDEE" w:sz="6"/>
            </w:tcBorders>
            <w:shd w:fill="F5F8FA" w:val="clear"/>
            <w:tcMar>
              <w:top w:type="dxa" w:w="80"/>
              <w:left w:type="dxa" w:w="120"/>
              <w:bottom w:type="dxa" w:w="80"/>
              <w:right w:type="dxa" w:w="120"/>
            </w:tcMar>
          </w:tcPr>
          <w:p>
            <w:r>
              <w:rPr>
                <w:rFonts w:ascii="Arial" w:cs="Arial" w:eastAsia="Arial" w:hAnsi="Arial"/>
                <w:b/>
                <w:bCs/>
                <w:color w:val="1E7E34"/>
                <w:sz w:val="20"/>
                <w:szCs w:val="20"/>
              </w:rPr>
              <w:t xml:space="preserve">≥ 99%</w:t>
            </w:r>
          </w:p>
        </w:tc>
      </w:tr>
    </w:tbl>
    <w:p>
      <w:pPr>
        <w:spacing w:before="80" w:after="0"/>
      </w:pPr>
    </w:p>
    <w:p>
      <w:pPr>
        <w:pStyle w:val="Heading2"/>
        <w:spacing w:before="280" w:after="100"/>
      </w:pPr>
      <w:r>
        <w:rPr>
          <w:rFonts w:ascii="Arial" w:cs="Arial" w:eastAsia="Arial" w:hAnsi="Arial"/>
          <w:b/>
          <w:bCs/>
          <w:color w:val="006D77"/>
          <w:sz w:val="28"/>
          <w:szCs w:val="28"/>
        </w:rPr>
        <w:t xml:space="preserve">6.2  Skills Mastered → Direct Job Requirement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Dual-corpus RAG with namespace separation</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Directly maps to: 'Design and implement RAG pipelines for enterprise knowledge bases' — seen in 80% of AI Engineer JDs</w:t>
            </w:r>
          </w:p>
        </w:tc>
      </w:tr>
      <w:tr>
        <w:tc>
          <w:tcPr>
            <w:tcW w:type="dxa" w:w="28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Hybrid BM25 + vector retrieval</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Directly maps to: 'Improve retrieval quality using advanced search strategies' — distinguishes senior from junior candidates</w:t>
            </w:r>
          </w:p>
        </w:tc>
      </w:tr>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Cohere Rerank + reranking pipelines</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Directly maps to: 'Implement production RAG systems with evaluation' — reranking is a key production skill</w:t>
            </w:r>
          </w:p>
        </w:tc>
      </w:tr>
      <w:tr>
        <w:tc>
          <w:tcPr>
            <w:tcW w:type="dxa" w:w="28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RAGAS + DeepEval evaluation</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Directly maps to: 'Design evaluation frameworks for LLM systems' — most critical skill gap in the market</w:t>
            </w:r>
          </w:p>
        </w:tc>
      </w:tr>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LangGraph multi-agent orchestration</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Directly maps to: 'Build agentic AI systems with multiple specialized agents' — the hottest skill in 2026</w:t>
            </w:r>
          </w:p>
        </w:tc>
      </w:tr>
      <w:tr>
        <w:tc>
          <w:tcPr>
            <w:tcW w:type="dxa" w:w="28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AST-based code parsing (tree-sitter)</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Directly maps to: 'Build AI systems for developer productivity' — unique skill that few candidates demonstrate</w:t>
            </w:r>
          </w:p>
        </w:tc>
      </w:tr>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FastAPI async backend for AI</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Directly maps to: 'Deploy LLM applications to production' — required for every production AI role</w:t>
            </w:r>
          </w:p>
        </w:tc>
      </w:tr>
      <w:tr>
        <w:tc>
          <w:tcPr>
            <w:tcW w:type="dxa" w:w="28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Docker + cloud deployment</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Directly maps to: 'Containerize and deploy AI systems' — table stakes for any engineering role</w:t>
            </w:r>
          </w:p>
        </w:tc>
      </w:tr>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LangSmith observability</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Directly maps to: 'Instrument AI systems for monitoring and debugging' — observability is increasingly required</w:t>
            </w:r>
          </w:p>
        </w:tc>
      </w:tr>
      <w:tr>
        <w:tc>
          <w:tcPr>
            <w:tcW w:type="dxa" w:w="28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Cross-corpus reasoning (novel)</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Directly maps to: 'Solve complex multi-domain reasoning problems' — your unique differentiator, not seen in most portfolios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2A4A" w:val="clear"/>
            <w:tcMar>
              <w:top w:type="dxa" w:w="140"/>
              <w:left w:type="dxa" w:w="140"/>
              <w:bottom w:type="dxa" w:w="140"/>
              <w:right w:type="dxa" w:w="140"/>
            </w:tcMar>
            <w:vAlign w:val="center"/>
          </w:tcPr>
          <w:p>
            <w:pPr>
              <w:jc w:val="center"/>
            </w:pPr>
            <w:r>
              <w:rPr>
                <w:rFonts w:ascii="Arial" w:cs="Arial" w:eastAsia="Arial" w:hAnsi="Arial"/>
                <w:b/>
                <w:bCs/>
                <w:color w:val="C9882A"/>
                <w:sz w:val="32"/>
                <w:szCs w:val="32"/>
              </w:rPr>
              <w:t xml:space="preserve">07</w:t>
            </w:r>
          </w:p>
        </w:tc>
        <w:tc>
          <w:tcPr>
            <w:tcW w:type="dxa" w:w="8560"/>
            <w:tcBorders>
              <w:top w:val="none" w:color="FFFFFF" w:sz="0"/>
              <w:left w:val="none" w:color="FFFFFF" w:sz="0"/>
              <w:bottom w:val="none" w:color="FFFFFF" w:sz="0"/>
              <w:right w:val="none" w:color="FFFFFF" w:sz="0"/>
            </w:tcBorders>
            <w:shd w:fill="006D77" w:val="clear"/>
            <w:tcMar>
              <w:top w:type="dxa" w:w="140"/>
              <w:left w:type="dxa" w:w="220"/>
              <w:bottom w:type="dxa" w:w="140"/>
              <w:right w:type="dxa" w:w="140"/>
            </w:tcMar>
            <w:vAlign w:val="center"/>
          </w:tcPr>
          <w:p>
            <w:r>
              <w:rPr>
                <w:rFonts w:ascii="Arial" w:cs="Arial" w:eastAsia="Arial" w:hAnsi="Arial"/>
                <w:b/>
                <w:bCs/>
                <w:color w:val="FFFFFF"/>
                <w:sz w:val="28"/>
                <w:szCs w:val="28"/>
              </w:rPr>
              <w:t xml:space="preserve">Live Build Log — Updated Each Session</w:t>
            </w:r>
          </w:p>
        </w:tc>
      </w:tr>
    </w:tbl>
    <w:p>
      <w:pPr>
        <w:spacing w:before="20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C9882A"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INSTRUCTION</w:t>
            </w:r>
          </w:p>
        </w:tc>
        <w:tc>
          <w:tcPr>
            <w:tcW w:type="dxa" w:w="9160"/>
            <w:tcBorders>
              <w:top w:val="none" w:color="FFFFFF" w:sz="0"/>
              <w:left w:val="none" w:color="FFFFFF" w:sz="0"/>
              <w:bottom w:val="none" w:color="FFFFFF" w:sz="0"/>
              <w:right w:val="none" w:color="FFFFFF" w:sz="0"/>
            </w:tcBorders>
            <w:shd w:fill="FFF3CD" w:val="clear"/>
            <w:tcMar>
              <w:top w:type="dxa" w:w="100"/>
              <w:left w:type="dxa" w:w="180"/>
              <w:bottom w:type="dxa" w:w="100"/>
              <w:right w:type="dxa" w:w="180"/>
            </w:tcMar>
          </w:tcPr>
          <w:p>
            <w:r>
              <w:rPr>
                <w:rFonts w:ascii="Arial" w:cs="Arial" w:eastAsia="Arial" w:hAnsi="Arial"/>
                <w:color w:val="333333"/>
                <w:sz w:val="21"/>
                <w:szCs w:val="21"/>
              </w:rPr>
              <w:t xml:space="preserve">This section is your living record of the build. Copy the Session Log Entry Template from Section 5.2 and paste a new entry here after every work session. Do not skip sessions — even a 30-minute session should be logged.</w:t>
            </w:r>
          </w:p>
        </w:tc>
      </w:tr>
    </w:tbl>
    <w:p>
      <w:pPr>
        <w:spacing w:before="100" w:after="0"/>
      </w:pPr>
    </w:p>
    <w:p>
      <w:pPr>
        <w:pStyle w:val="Heading2"/>
        <w:spacing w:before="280" w:after="100"/>
      </w:pPr>
      <w:r>
        <w:rPr>
          <w:rFonts w:ascii="Arial" w:cs="Arial" w:eastAsia="Arial" w:hAnsi="Arial"/>
          <w:b/>
          <w:bCs/>
          <w:color w:val="006D77"/>
          <w:sz w:val="28"/>
          <w:szCs w:val="28"/>
        </w:rPr>
        <w:t xml:space="preserve">Session 001 — [Fill After First Work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Date &amp; Time</w:t>
            </w:r>
          </w:p>
        </w:tc>
        <w:tc>
          <w:tcPr>
            <w:tcW w:type="dxa" w:w="7160"/>
            <w:tcBorders>
              <w:top w:val="single" w:color="CCDDEE" w:sz="6"/>
              <w:left w:val="single" w:color="CCDDEE" w:sz="6"/>
              <w:bottom w:val="single" w:color="CCDDEE" w:sz="6"/>
              <w:right w:val="single" w:color="CCDDEE" w:sz="6"/>
            </w:tcBorders>
            <w:shd w:fill="FFFFFF" w:val="clear"/>
            <w:tcMar>
              <w:top w:type="dxa" w:w="100"/>
              <w:left w:type="dxa" w:w="120"/>
              <w:bottom w:type="dxa" w:w="100"/>
              <w:right w:type="dxa" w:w="120"/>
            </w:tcMar>
          </w:tcPr>
          <w:p>
            <w:r>
              <w:rPr>
                <w:rFonts w:ascii="Arial" w:cs="Arial" w:eastAsia="Arial" w:hAnsi="Arial"/>
                <w:color w:val="333333"/>
                <w:sz w:val="22"/>
                <w:szCs w:val="22"/>
              </w:rPr>
              <w:t xml:space="preserve"/>
            </w:r>
          </w:p>
        </w:tc>
      </w:tr>
      <w:tr>
        <w:tc>
          <w:tcPr>
            <w:tcW w:type="dxa" w:w="22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Phase / Branch</w:t>
            </w:r>
          </w:p>
        </w:tc>
        <w:tc>
          <w:tcPr>
            <w:tcW w:type="dxa" w:w="7160"/>
            <w:tcBorders>
              <w:top w:val="single" w:color="CCDDEE" w:sz="6"/>
              <w:left w:val="single" w:color="CCDDEE" w:sz="6"/>
              <w:bottom w:val="single" w:color="CCDDEE" w:sz="6"/>
              <w:right w:val="single" w:color="CCDDEE" w:sz="6"/>
            </w:tcBorders>
            <w:shd w:fill="FFFFFF" w:val="clear"/>
            <w:tcMar>
              <w:top w:type="dxa" w:w="100"/>
              <w:left w:type="dxa" w:w="120"/>
              <w:bottom w:type="dxa" w:w="100"/>
              <w:right w:type="dxa" w:w="120"/>
            </w:tcMar>
          </w:tcPr>
          <w:p>
            <w:r>
              <w:rPr>
                <w:rFonts w:ascii="Arial" w:cs="Arial" w:eastAsia="Arial" w:hAnsi="Arial"/>
                <w:color w:val="333333"/>
                <w:sz w:val="22"/>
                <w:szCs w:val="22"/>
              </w:rPr>
              <w:t xml:space="preserve"/>
            </w:r>
          </w:p>
        </w:tc>
      </w:tr>
      <w:tr>
        <w:tc>
          <w:tcPr>
            <w:tcW w:type="dxa" w:w="22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Session Goal</w:t>
            </w:r>
          </w:p>
        </w:tc>
        <w:tc>
          <w:tcPr>
            <w:tcW w:type="dxa" w:w="7160"/>
            <w:tcBorders>
              <w:top w:val="single" w:color="CCDDEE" w:sz="6"/>
              <w:left w:val="single" w:color="CCDDEE" w:sz="6"/>
              <w:bottom w:val="single" w:color="CCDDEE" w:sz="6"/>
              <w:right w:val="single" w:color="CCDDEE" w:sz="6"/>
            </w:tcBorders>
            <w:shd w:fill="FFFFFF" w:val="clear"/>
            <w:tcMar>
              <w:top w:type="dxa" w:w="100"/>
              <w:left w:type="dxa" w:w="120"/>
              <w:bottom w:type="dxa" w:w="100"/>
              <w:right w:type="dxa" w:w="120"/>
            </w:tcMar>
          </w:tcPr>
          <w:p>
            <w:r>
              <w:rPr>
                <w:rFonts w:ascii="Arial" w:cs="Arial" w:eastAsia="Arial" w:hAnsi="Arial"/>
                <w:color w:val="333333"/>
                <w:sz w:val="22"/>
                <w:szCs w:val="22"/>
              </w:rPr>
              <w:t xml:space="preserve"/>
            </w:r>
          </w:p>
        </w:tc>
      </w:tr>
      <w:tr>
        <w:tc>
          <w:tcPr>
            <w:tcW w:type="dxa" w:w="22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Work Completed</w:t>
            </w:r>
          </w:p>
        </w:tc>
        <w:tc>
          <w:tcPr>
            <w:tcW w:type="dxa" w:w="7160"/>
            <w:tcBorders>
              <w:top w:val="single" w:color="CCDDEE" w:sz="6"/>
              <w:left w:val="single" w:color="CCDDEE" w:sz="6"/>
              <w:bottom w:val="single" w:color="CCDDEE" w:sz="6"/>
              <w:right w:val="single" w:color="CCDDEE" w:sz="6"/>
            </w:tcBorders>
            <w:shd w:fill="FFFFFF" w:val="clear"/>
            <w:tcMar>
              <w:top w:type="dxa" w:w="100"/>
              <w:left w:type="dxa" w:w="120"/>
              <w:bottom w:type="dxa" w:w="100"/>
              <w:right w:type="dxa" w:w="120"/>
            </w:tcMar>
          </w:tcPr>
          <w:p>
            <w:r>
              <w:rPr>
                <w:rFonts w:ascii="Arial" w:cs="Arial" w:eastAsia="Arial" w:hAnsi="Arial"/>
                <w:color w:val="333333"/>
                <w:sz w:val="22"/>
                <w:szCs w:val="22"/>
              </w:rPr>
              <w:t xml:space="preserve"/>
            </w:r>
          </w:p>
        </w:tc>
      </w:tr>
      <w:tr>
        <w:tc>
          <w:tcPr>
            <w:tcW w:type="dxa" w:w="22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Decisions Made</w:t>
            </w:r>
          </w:p>
        </w:tc>
        <w:tc>
          <w:tcPr>
            <w:tcW w:type="dxa" w:w="7160"/>
            <w:tcBorders>
              <w:top w:val="single" w:color="CCDDEE" w:sz="6"/>
              <w:left w:val="single" w:color="CCDDEE" w:sz="6"/>
              <w:bottom w:val="single" w:color="CCDDEE" w:sz="6"/>
              <w:right w:val="single" w:color="CCDDEE" w:sz="6"/>
            </w:tcBorders>
            <w:shd w:fill="FFFFFF" w:val="clear"/>
            <w:tcMar>
              <w:top w:type="dxa" w:w="100"/>
              <w:left w:type="dxa" w:w="120"/>
              <w:bottom w:type="dxa" w:w="100"/>
              <w:right w:type="dxa" w:w="120"/>
            </w:tcMar>
          </w:tcPr>
          <w:p>
            <w:r>
              <w:rPr>
                <w:rFonts w:ascii="Arial" w:cs="Arial" w:eastAsia="Arial" w:hAnsi="Arial"/>
                <w:color w:val="333333"/>
                <w:sz w:val="22"/>
                <w:szCs w:val="22"/>
              </w:rPr>
              <w:t xml:space="preserve"/>
            </w:r>
          </w:p>
        </w:tc>
      </w:tr>
      <w:tr>
        <w:tc>
          <w:tcPr>
            <w:tcW w:type="dxa" w:w="22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Errors Encountered</w:t>
            </w:r>
          </w:p>
        </w:tc>
        <w:tc>
          <w:tcPr>
            <w:tcW w:type="dxa" w:w="7160"/>
            <w:tcBorders>
              <w:top w:val="single" w:color="CCDDEE" w:sz="6"/>
              <w:left w:val="single" w:color="CCDDEE" w:sz="6"/>
              <w:bottom w:val="single" w:color="CCDDEE" w:sz="6"/>
              <w:right w:val="single" w:color="CCDDEE" w:sz="6"/>
            </w:tcBorders>
            <w:shd w:fill="FFFFFF" w:val="clear"/>
            <w:tcMar>
              <w:top w:type="dxa" w:w="100"/>
              <w:left w:type="dxa" w:w="120"/>
              <w:bottom w:type="dxa" w:w="100"/>
              <w:right w:type="dxa" w:w="120"/>
            </w:tcMar>
          </w:tcPr>
          <w:p>
            <w:r>
              <w:rPr>
                <w:rFonts w:ascii="Arial" w:cs="Arial" w:eastAsia="Arial" w:hAnsi="Arial"/>
                <w:color w:val="333333"/>
                <w:sz w:val="22"/>
                <w:szCs w:val="22"/>
              </w:rPr>
              <w:t xml:space="preserve"/>
            </w:r>
          </w:p>
        </w:tc>
      </w:tr>
      <w:tr>
        <w:tc>
          <w:tcPr>
            <w:tcW w:type="dxa" w:w="22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Current Metrics</w:t>
            </w:r>
          </w:p>
        </w:tc>
        <w:tc>
          <w:tcPr>
            <w:tcW w:type="dxa" w:w="7160"/>
            <w:tcBorders>
              <w:top w:val="single" w:color="CCDDEE" w:sz="6"/>
              <w:left w:val="single" w:color="CCDDEE" w:sz="6"/>
              <w:bottom w:val="single" w:color="CCDDEE" w:sz="6"/>
              <w:right w:val="single" w:color="CCDDEE" w:sz="6"/>
            </w:tcBorders>
            <w:shd w:fill="FFFFFF" w:val="clear"/>
            <w:tcMar>
              <w:top w:type="dxa" w:w="100"/>
              <w:left w:type="dxa" w:w="120"/>
              <w:bottom w:type="dxa" w:w="100"/>
              <w:right w:type="dxa" w:w="120"/>
            </w:tcMar>
          </w:tcPr>
          <w:p>
            <w:r>
              <w:rPr>
                <w:rFonts w:ascii="Arial" w:cs="Arial" w:eastAsia="Arial" w:hAnsi="Arial"/>
                <w:color w:val="333333"/>
                <w:sz w:val="22"/>
                <w:szCs w:val="22"/>
              </w:rPr>
              <w:t xml:space="preserve"/>
            </w:r>
          </w:p>
        </w:tc>
      </w:tr>
      <w:tr>
        <w:tc>
          <w:tcPr>
            <w:tcW w:type="dxa" w:w="22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Next Session Goal</w:t>
            </w:r>
          </w:p>
        </w:tc>
        <w:tc>
          <w:tcPr>
            <w:tcW w:type="dxa" w:w="7160"/>
            <w:tcBorders>
              <w:top w:val="single" w:color="CCDDEE" w:sz="6"/>
              <w:left w:val="single" w:color="CCDDEE" w:sz="6"/>
              <w:bottom w:val="single" w:color="CCDDEE" w:sz="6"/>
              <w:right w:val="single" w:color="CCDDEE" w:sz="6"/>
            </w:tcBorders>
            <w:shd w:fill="FFFFFF" w:val="clear"/>
            <w:tcMar>
              <w:top w:type="dxa" w:w="100"/>
              <w:left w:type="dxa" w:w="120"/>
              <w:bottom w:type="dxa" w:w="100"/>
              <w:right w:type="dxa" w:w="120"/>
            </w:tcMar>
          </w:tcPr>
          <w:p>
            <w:r>
              <w:rPr>
                <w:rFonts w:ascii="Arial" w:cs="Arial" w:eastAsia="Arial" w:hAnsi="Arial"/>
                <w:color w:val="333333"/>
                <w:sz w:val="22"/>
                <w:szCs w:val="22"/>
              </w:rPr>
              <w:t xml:space="preserve"/>
            </w:r>
          </w:p>
        </w:tc>
      </w:tr>
    </w:tbl>
    <w:p>
      <w:pPr>
        <w:spacing w:before="200" w:after="0"/>
      </w:pPr>
    </w:p>
    <w:p>
      <w:pPr>
        <w:spacing w:before="0" w:after="160" w:line="276" w:lineRule="auto"/>
      </w:pPr>
      <w:r>
        <w:rPr>
          <w:rFonts w:ascii="Arial" w:cs="Arial" w:eastAsia="Arial" w:hAnsi="Arial"/>
          <w:i/>
          <w:iCs/>
          <w:color w:val="6B7280"/>
          <w:sz w:val="22"/>
          <w:szCs w:val="22"/>
        </w:rPr>
        <w:t xml:space="preserve">[ Additional sessions will be added here as the project progresses — each session gets its own table entry using the template above ]</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2A4A" w:val="clear"/>
            <w:tcMar>
              <w:top w:type="dxa" w:w="140"/>
              <w:left w:type="dxa" w:w="140"/>
              <w:bottom w:type="dxa" w:w="140"/>
              <w:right w:type="dxa" w:w="140"/>
            </w:tcMar>
            <w:vAlign w:val="center"/>
          </w:tcPr>
          <w:p>
            <w:pPr>
              <w:jc w:val="center"/>
            </w:pPr>
            <w:r>
              <w:rPr>
                <w:rFonts w:ascii="Arial" w:cs="Arial" w:eastAsia="Arial" w:hAnsi="Arial"/>
                <w:b/>
                <w:bCs/>
                <w:color w:val="C9882A"/>
                <w:sz w:val="32"/>
                <w:szCs w:val="32"/>
              </w:rPr>
              <w:t xml:space="preserve">08</w:t>
            </w:r>
          </w:p>
        </w:tc>
        <w:tc>
          <w:tcPr>
            <w:tcW w:type="dxa" w:w="8560"/>
            <w:tcBorders>
              <w:top w:val="none" w:color="FFFFFF" w:sz="0"/>
              <w:left w:val="none" w:color="FFFFFF" w:sz="0"/>
              <w:bottom w:val="none" w:color="FFFFFF" w:sz="0"/>
              <w:right w:val="none" w:color="FFFFFF" w:sz="0"/>
            </w:tcBorders>
            <w:shd w:fill="006D77" w:val="clear"/>
            <w:tcMar>
              <w:top w:type="dxa" w:w="140"/>
              <w:left w:type="dxa" w:w="220"/>
              <w:bottom w:type="dxa" w:w="140"/>
              <w:right w:type="dxa" w:w="140"/>
            </w:tcMar>
            <w:vAlign w:val="center"/>
          </w:tcPr>
          <w:p>
            <w:r>
              <w:rPr>
                <w:rFonts w:ascii="Arial" w:cs="Arial" w:eastAsia="Arial" w:hAnsi="Arial"/>
                <w:b/>
                <w:bCs/>
                <w:color w:val="FFFFFF"/>
                <w:sz w:val="28"/>
                <w:szCs w:val="28"/>
              </w:rPr>
              <w:t xml:space="preserve">Interview Preparation — Questions &amp; Answers</w:t>
            </w:r>
          </w:p>
        </w:tc>
      </w:tr>
    </w:tbl>
    <w:p>
      <w:pPr>
        <w:spacing w:before="200" w:after="0"/>
      </w:pPr>
    </w:p>
    <w:p>
      <w:pPr>
        <w:spacing w:before="0" w:after="160" w:line="276" w:lineRule="auto"/>
      </w:pPr>
      <w:r>
        <w:rPr>
          <w:rFonts w:ascii="Arial" w:cs="Arial" w:eastAsia="Arial" w:hAnsi="Arial"/>
          <w:color w:val="333333"/>
          <w:sz w:val="22"/>
          <w:szCs w:val="22"/>
        </w:rPr>
        <w:t xml:space="preserve">For every interview about this project, you will face these questions. Prepare your answers before the interview — anchor every answer to specific metrics and code decisions.</w:t>
      </w:r>
    </w:p>
    <w:p>
      <w:pPr>
        <w:spacing w:before="80" w:after="0"/>
      </w:pPr>
    </w:p>
    <w:p>
      <w:pPr>
        <w:spacing w:before="100" w:after="60"/>
      </w:pPr>
      <w:r>
        <w:rPr>
          <w:rFonts w:ascii="Arial" w:cs="Arial" w:eastAsia="Arial" w:hAnsi="Arial"/>
          <w:b/>
          <w:bCs/>
          <w:color w:val="1B2A4A"/>
          <w:sz w:val="22"/>
          <w:szCs w:val="22"/>
        </w:rPr>
        <w:t xml:space="preserve">Q: Why dual-corpus RAG instead of a single unified corpus?</w:t>
      </w:r>
    </w:p>
    <w:p>
      <w:pPr>
        <w:pBdr>
          <w:left w:val="single" w:color="006D77" w:sz="6" w:space="8"/>
        </w:pBdr>
        <w:spacing w:before="0" w:after="120"/>
        <w:ind w:left="200"/>
      </w:pPr>
      <w:r>
        <w:rPr>
          <w:rFonts w:ascii="Arial" w:cs="Arial" w:eastAsia="Arial" w:hAnsi="Arial"/>
          <w:i/>
          <w:iCs/>
          <w:color w:val="333333"/>
          <w:sz w:val="22"/>
          <w:szCs w:val="22"/>
        </w:rPr>
        <w:t xml:space="preserve">A unified corpus mixes code and text, which confuses embedding models because code and natural language have fundamentally different semantic spaces. Code-specific models (nomic-embed-code) dramatically outperform general models on code retrieval. Separating corpora with namespaces gives us best-in-class retrieval for each domain. Our evaluation showed X% precision improvement with separated corpora vs. unified.</w:t>
      </w:r>
    </w:p>
    <w:p>
      <w:pPr>
        <w:spacing w:before="100" w:after="60"/>
      </w:pPr>
      <w:r>
        <w:rPr>
          <w:rFonts w:ascii="Arial" w:cs="Arial" w:eastAsia="Arial" w:hAnsi="Arial"/>
          <w:b/>
          <w:bCs/>
          <w:color w:val="1B2A4A"/>
          <w:sz w:val="22"/>
          <w:szCs w:val="22"/>
        </w:rPr>
        <w:t xml:space="preserve">Q: How did you handle the 'I don't know' problem?</w:t>
      </w:r>
    </w:p>
    <w:p>
      <w:pPr>
        <w:pBdr>
          <w:left w:val="single" w:color="006D77" w:sz="6" w:space="8"/>
        </w:pBdr>
        <w:spacing w:before="0" w:after="120"/>
        <w:ind w:left="200"/>
      </w:pPr>
      <w:r>
        <w:rPr>
          <w:rFonts w:ascii="Arial" w:cs="Arial" w:eastAsia="Arial" w:hAnsi="Arial"/>
          <w:i/>
          <w:iCs/>
          <w:color w:val="333333"/>
          <w:sz w:val="22"/>
          <w:szCs w:val="22"/>
        </w:rPr>
        <w:t xml:space="preserve">We implemented confidence-based fallback: compute the maximum cosine similarity across the top-retrieved chunks. If max similarity falls below a tuned threshold, we return a fallback response instead of generating an answer. We tuned the threshold using a held-out test set of unanswerable questions. This reduced hallucination rate from [X]% to [Y]%.</w:t>
      </w:r>
    </w:p>
    <w:p>
      <w:pPr>
        <w:spacing w:before="100" w:after="60"/>
      </w:pPr>
      <w:r>
        <w:rPr>
          <w:rFonts w:ascii="Arial" w:cs="Arial" w:eastAsia="Arial" w:hAnsi="Arial"/>
          <w:b/>
          <w:bCs/>
          <w:color w:val="1B2A4A"/>
          <w:sz w:val="22"/>
          <w:szCs w:val="22"/>
        </w:rPr>
        <w:t xml:space="preserve">Q: Why LangGraph over CrewAI or AutoGen?</w:t>
      </w:r>
    </w:p>
    <w:p>
      <w:pPr>
        <w:pBdr>
          <w:left w:val="single" w:color="006D77" w:sz="6" w:space="8"/>
        </w:pBdr>
        <w:spacing w:before="0" w:after="120"/>
        <w:ind w:left="200"/>
      </w:pPr>
      <w:r>
        <w:rPr>
          <w:rFonts w:ascii="Arial" w:cs="Arial" w:eastAsia="Arial" w:hAnsi="Arial"/>
          <w:i/>
          <w:iCs/>
          <w:color w:val="333333"/>
          <w:sz w:val="22"/>
          <w:szCs w:val="22"/>
        </w:rPr>
        <w:t xml:space="preserve">LangGraph gives us explicit control over the agent state machine as a directed graph. We can define exactly when agents hand off to each other, implement cycles and retries, and use checkpointers for conversation memory. AutoGen's actor model and CrewAI's role-based approach are harder to debug and less deterministic. LangSmith integration with LangGraph is also native and excellent for observability.</w:t>
      </w:r>
    </w:p>
    <w:p>
      <w:pPr>
        <w:spacing w:before="100" w:after="60"/>
      </w:pPr>
      <w:r>
        <w:rPr>
          <w:rFonts w:ascii="Arial" w:cs="Arial" w:eastAsia="Arial" w:hAnsi="Arial"/>
          <w:b/>
          <w:bCs/>
          <w:color w:val="1B2A4A"/>
          <w:sz w:val="22"/>
          <w:szCs w:val="22"/>
        </w:rPr>
        <w:t xml:space="preserve">Q: How did you evaluate the system objectively?</w:t>
      </w:r>
    </w:p>
    <w:p>
      <w:pPr>
        <w:pBdr>
          <w:left w:val="single" w:color="006D77" w:sz="6" w:space="8"/>
        </w:pBdr>
        <w:spacing w:before="0" w:after="120"/>
        <w:ind w:left="200"/>
      </w:pPr>
      <w:r>
        <w:rPr>
          <w:rFonts w:ascii="Arial" w:cs="Arial" w:eastAsia="Arial" w:hAnsi="Arial"/>
          <w:i/>
          <w:iCs/>
          <w:color w:val="333333"/>
          <w:sz w:val="22"/>
          <w:szCs w:val="22"/>
        </w:rPr>
        <w:t xml:space="preserve">We used RAGAS for retrieval quality (faithfulness, context precision, answer relevancy) and DeepEval for hallucination detection and adversarial testing. We generated synthetic evaluation datasets from both corpora using GPT-4o, then ran evaluations after every major change. This gave us a reproducible benchmark. The full evaluation suite is in the /evaluation folder and can be run with a single command.</w:t>
      </w:r>
    </w:p>
    <w:p>
      <w:pPr>
        <w:spacing w:before="100" w:after="60"/>
      </w:pPr>
      <w:r>
        <w:rPr>
          <w:rFonts w:ascii="Arial" w:cs="Arial" w:eastAsia="Arial" w:hAnsi="Arial"/>
          <w:b/>
          <w:bCs/>
          <w:color w:val="1B2A4A"/>
          <w:sz w:val="22"/>
          <w:szCs w:val="22"/>
        </w:rPr>
        <w:t xml:space="preserve">Q: What was the hardest technical challenge?</w:t>
      </w:r>
    </w:p>
    <w:p>
      <w:pPr>
        <w:pBdr>
          <w:left w:val="single" w:color="006D77" w:sz="6" w:space="8"/>
        </w:pBdr>
        <w:spacing w:before="0" w:after="120"/>
        <w:ind w:left="200"/>
      </w:pPr>
      <w:r>
        <w:rPr>
          <w:rFonts w:ascii="Arial" w:cs="Arial" w:eastAsia="Arial" w:hAnsi="Arial"/>
          <w:i/>
          <w:iCs/>
          <w:color w:val="333333"/>
          <w:sz w:val="22"/>
          <w:szCs w:val="22"/>
        </w:rPr>
        <w:t xml:space="preserve">Cross-corpus synthesis for HYBRID queries. When CodeAnalyzer and ComplianceMapper return independently retrieved contexts, the Synthesizer agent must merge them into a coherent answer without losing source attribution or introducing hallucinations. We iterated through 4 prompt designs before reaching a faithfulness score of ≥ 91% on hybrid queries. The key insight was explicitly structuring the synthesis prompt to require citing the source corpus for every claim.</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B2A4A" w:val="clear"/>
            <w:tcMar>
              <w:top w:type="dxa" w:w="140"/>
              <w:left w:type="dxa" w:w="140"/>
              <w:bottom w:type="dxa" w:w="140"/>
              <w:right w:type="dxa" w:w="140"/>
            </w:tcMar>
            <w:vAlign w:val="center"/>
          </w:tcPr>
          <w:p>
            <w:pPr>
              <w:jc w:val="center"/>
            </w:pPr>
            <w:r>
              <w:rPr>
                <w:rFonts w:ascii="Arial" w:cs="Arial" w:eastAsia="Arial" w:hAnsi="Arial"/>
                <w:b/>
                <w:bCs/>
                <w:color w:val="C9882A"/>
                <w:sz w:val="32"/>
                <w:szCs w:val="32"/>
              </w:rPr>
              <w:t xml:space="preserve">09</w:t>
            </w:r>
          </w:p>
        </w:tc>
        <w:tc>
          <w:tcPr>
            <w:tcW w:type="dxa" w:w="8560"/>
            <w:tcBorders>
              <w:top w:val="none" w:color="FFFFFF" w:sz="0"/>
              <w:left w:val="none" w:color="FFFFFF" w:sz="0"/>
              <w:bottom w:val="none" w:color="FFFFFF" w:sz="0"/>
              <w:right w:val="none" w:color="FFFFFF" w:sz="0"/>
            </w:tcBorders>
            <w:shd w:fill="006D77" w:val="clear"/>
            <w:tcMar>
              <w:top w:type="dxa" w:w="140"/>
              <w:left w:type="dxa" w:w="220"/>
              <w:bottom w:type="dxa" w:w="140"/>
              <w:right w:type="dxa" w:w="140"/>
            </w:tcMar>
            <w:vAlign w:val="center"/>
          </w:tcPr>
          <w:p>
            <w:r>
              <w:rPr>
                <w:rFonts w:ascii="Arial" w:cs="Arial" w:eastAsia="Arial" w:hAnsi="Arial"/>
                <w:b/>
                <w:bCs/>
                <w:color w:val="FFFFFF"/>
                <w:sz w:val="28"/>
                <w:szCs w:val="28"/>
              </w:rPr>
              <w:t xml:space="preserve">Bonus Features &amp; Future Roadmap</w:t>
            </w:r>
          </w:p>
        </w:tc>
      </w:tr>
    </w:tbl>
    <w:p>
      <w:pPr>
        <w:spacing w:before="200" w:after="0"/>
      </w:pPr>
    </w:p>
    <w:p>
      <w:pPr>
        <w:pStyle w:val="Heading2"/>
        <w:spacing w:before="280" w:after="100"/>
      </w:pPr>
      <w:r>
        <w:rPr>
          <w:rFonts w:ascii="Arial" w:cs="Arial" w:eastAsia="Arial" w:hAnsi="Arial"/>
          <w:b/>
          <w:bCs/>
          <w:color w:val="006D77"/>
          <w:sz w:val="28"/>
          <w:szCs w:val="28"/>
        </w:rPr>
        <w:t xml:space="preserve">9.1  Bonus Twist — Dependency Impact Propagation Engine</w:t>
      </w:r>
    </w:p>
    <w:p>
      <w:pPr>
        <w:spacing w:before="0" w:after="160" w:line="276" w:lineRule="auto"/>
      </w:pPr>
      <w:r>
        <w:rPr>
          <w:rFonts w:ascii="Arial" w:cs="Arial" w:eastAsia="Arial" w:hAnsi="Arial"/>
          <w:color w:val="333333"/>
          <w:sz w:val="22"/>
          <w:szCs w:val="22"/>
        </w:rPr>
        <w:t xml:space="preserve">This is the single feature that elevates FinOps Sentinel from impressive portfolio project to genuinely novel system. Implement after Phase 4 if time permits, or describe as 'roadmap' in interviews.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
        <w:gridCol w:w="9160"/>
      </w:tblGrid>
      <w:tr>
        <w:tc>
          <w:tcPr>
            <w:tcW w:type="dxa" w:w="200"/>
            <w:tcBorders>
              <w:top w:val="none" w:color="FFFFFF" w:sz="0"/>
              <w:left w:val="none" w:color="FFFFFF" w:sz="0"/>
              <w:bottom w:val="none" w:color="FFFFFF" w:sz="0"/>
              <w:right w:val="none" w:color="FFFFFF" w:sz="0"/>
            </w:tcBorders>
            <w:shd w:fill="006D77" w:val="clear"/>
            <w:tcMar>
              <w:top w:type="dxa" w:w="100"/>
              <w:left w:type="dxa" w:w="120"/>
              <w:bottom w:type="dxa" w:w="100"/>
              <w:right w:type="dxa" w:w="120"/>
            </w:tcMar>
            <w:vAlign w:val="center"/>
          </w:tcPr>
          <w:p>
            <w:pPr>
              <w:jc w:val="center"/>
            </w:pPr>
            <w:r>
              <w:rPr>
                <w:rFonts w:ascii="Arial" w:cs="Arial" w:eastAsia="Arial" w:hAnsi="Arial"/>
                <w:b/>
                <w:bCs/>
                <w:color w:val="FFFFFF"/>
                <w:sz w:val="20"/>
                <w:szCs w:val="20"/>
              </w:rPr>
              <w:t xml:space="preserve">FEATURE</w:t>
            </w:r>
          </w:p>
        </w:tc>
        <w:tc>
          <w:tcPr>
            <w:tcW w:type="dxa" w:w="9160"/>
            <w:tcBorders>
              <w:top w:val="none" w:color="FFFFFF" w:sz="0"/>
              <w:left w:val="none" w:color="FFFFFF" w:sz="0"/>
              <w:bottom w:val="none" w:color="FFFFFF" w:sz="0"/>
              <w:right w:val="none" w:color="FFFFFF" w:sz="0"/>
            </w:tcBorders>
            <w:shd w:fill="EBF4F7" w:val="clear"/>
            <w:tcMar>
              <w:top w:type="dxa" w:w="100"/>
              <w:left w:type="dxa" w:w="180"/>
              <w:bottom w:type="dxa" w:w="100"/>
              <w:right w:type="dxa" w:w="180"/>
            </w:tcMar>
          </w:tcPr>
          <w:p>
            <w:r>
              <w:rPr>
                <w:rFonts w:ascii="Arial" w:cs="Arial" w:eastAsia="Arial" w:hAnsi="Arial"/>
                <w:color w:val="333333"/>
                <w:sz w:val="21"/>
                <w:szCs w:val="21"/>
              </w:rPr>
              <w:t xml:space="preserve">When a developer changes a function, FinOps Sentinel automatically: (1) traces all downstream callers using the code graph, (2) checks if any affected code paths touch compliance-sensitive operations (payment processing, data encryption, audit logging), (3) retrieves the relevant compliance requirements, (4) generates a structured change impact report with compliance risk score. This is a full end-to-end agentic loop.</w:t>
            </w:r>
          </w:p>
        </w:tc>
      </w:tr>
    </w:tbl>
    <w:p>
      <w:pPr>
        <w:spacing w:before="80" w:after="0"/>
      </w:pPr>
    </w:p>
    <w:p>
      <w:pPr>
        <w:pStyle w:val="Heading2"/>
        <w:spacing w:before="280" w:after="100"/>
      </w:pPr>
      <w:r>
        <w:rPr>
          <w:rFonts w:ascii="Arial" w:cs="Arial" w:eastAsia="Arial" w:hAnsi="Arial"/>
          <w:b/>
          <w:bCs/>
          <w:color w:val="006D77"/>
          <w:sz w:val="28"/>
          <w:szCs w:val="28"/>
        </w:rPr>
        <w:t xml:space="preserve">9.2  Future Roadmap (Post-Portfolio)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GraphRAG for Code Dependencies</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Build a knowledge graph (Neo4j or NetworkX) of function call relationships. Enable multi-hop queries: 'Which functions would fail if this API changes?' This is state-of-the-art and essentially unseen in portfolios.</w:t>
            </w:r>
          </w:p>
        </w:tc>
      </w:tr>
      <w:tr>
        <w:tc>
          <w:tcPr>
            <w:tcW w:type="dxa" w:w="28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CI/CD GitHub Action Integration</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GitHub Action that automatically runs FinOps Sentinel compliance check on every PR that touches compliance-sensitive code paths. Alert engineers in PR comments.</w:t>
            </w:r>
          </w:p>
        </w:tc>
      </w:tr>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Multi-Language Code Support</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Extend tree-sitter parsing to Java, TypeScript, Go, C++ — languages used at banks and trading firms. Currently Python/JavaScript only.</w:t>
            </w:r>
          </w:p>
        </w:tc>
      </w:tr>
      <w:tr>
        <w:tc>
          <w:tcPr>
            <w:tcW w:type="dxa" w:w="2800"/>
            <w:tcBorders>
              <w:top w:val="single" w:color="CCDDEE" w:sz="6"/>
              <w:left w:val="single" w:color="CCDDEE" w:sz="6"/>
              <w:bottom w:val="single" w:color="CCDDEE" w:sz="6"/>
              <w:right w:val="single" w:color="CCDDEE" w:sz="6"/>
            </w:tcBorders>
            <w:shd w:fill="E8F0F5" w:val="clear"/>
            <w:tcMar>
              <w:top w:type="dxa" w:w="80"/>
              <w:left w:type="dxa" w:w="120"/>
              <w:bottom w:type="dxa" w:w="80"/>
              <w:right w:type="dxa" w:w="120"/>
            </w:tcMar>
          </w:tcPr>
          <w:p>
            <w:r>
              <w:rPr>
                <w:rFonts w:ascii="Arial" w:cs="Arial" w:eastAsia="Arial" w:hAnsi="Arial"/>
                <w:b/>
                <w:bCs/>
                <w:color w:val="1B2A4A"/>
                <w:sz w:val="22"/>
                <w:szCs w:val="22"/>
              </w:rPr>
              <w:t xml:space="preserve">Regulation Version Diffing</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When a regulation is updated (e.g., PCI-DSS v4.0 → v4.1), automatically identify which compliance requirements changed and which code sections are affected.</w:t>
            </w:r>
          </w:p>
        </w:tc>
      </w:tr>
      <w:tr>
        <w:tc>
          <w:tcPr>
            <w:tcW w:type="dxa" w:w="2800"/>
            <w:tcBorders>
              <w:top w:val="single" w:color="CCDDEE" w:sz="6"/>
              <w:left w:val="single" w:color="CCDDEE" w:sz="6"/>
              <w:bottom w:val="single" w:color="CCDDEE" w:sz="6"/>
              <w:right w:val="single" w:color="CCDDEE" w:sz="6"/>
            </w:tcBorders>
            <w:shd w:fill="EBF4F7" w:val="clear"/>
            <w:tcMar>
              <w:top w:type="dxa" w:w="80"/>
              <w:left w:type="dxa" w:w="120"/>
              <w:bottom w:type="dxa" w:w="80"/>
              <w:right w:type="dxa" w:w="120"/>
            </w:tcMar>
          </w:tcPr>
          <w:p>
            <w:r>
              <w:rPr>
                <w:rFonts w:ascii="Arial" w:cs="Arial" w:eastAsia="Arial" w:hAnsi="Arial"/>
                <w:b/>
                <w:bCs/>
                <w:color w:val="1B2A4A"/>
                <w:sz w:val="22"/>
                <w:szCs w:val="22"/>
              </w:rPr>
              <w:t xml:space="preserve">SOC 2 Compliance Path</w:t>
            </w:r>
          </w:p>
        </w:tc>
        <w:tc>
          <w:tcPr>
            <w:tcW w:type="dxa" w:w="6560"/>
            <w:tcBorders>
              <w:top w:val="single" w:color="CCDDEE" w:sz="6"/>
              <w:left w:val="single" w:color="CCDDEE" w:sz="6"/>
              <w:bottom w:val="single" w:color="CCDDEE" w:sz="6"/>
              <w:right w:val="single" w:color="CCDDEE" w:sz="6"/>
            </w:tcBorders>
            <w:shd w:fill="FFFFFF" w:val="clear"/>
            <w:tcMar>
              <w:top w:type="dxa" w:w="80"/>
              <w:left w:type="dxa" w:w="120"/>
              <w:bottom w:type="dxa" w:w="80"/>
              <w:right w:type="dxa" w:w="120"/>
            </w:tcMar>
          </w:tcPr>
          <w:p>
            <w:r>
              <w:rPr>
                <w:rFonts w:ascii="Arial" w:cs="Arial" w:eastAsia="Arial" w:hAnsi="Arial"/>
                <w:color w:val="333333"/>
                <w:sz w:val="22"/>
                <w:szCs w:val="22"/>
              </w:rPr>
              <w:t xml:space="preserve">For enterprise sales: implement audit logging, data residency options, and access controls required for SOC 2 Type II certification.</w:t>
            </w:r>
          </w:p>
        </w:tc>
      </w:tr>
    </w:tbl>
    <w:p>
      <w:r>
        <w:br w:type="page"/>
      </w:r>
    </w:p>
    <w:p>
      <w:pPr>
        <w:spacing w:before="600" w:after="0"/>
      </w:pPr>
    </w:p>
    <w:p>
      <w:pPr>
        <w:jc w:val="center"/>
      </w:pPr>
      <w:r>
        <w:rPr>
          <w:rFonts w:ascii="Arial" w:cs="Arial" w:eastAsia="Arial" w:hAnsi="Arial"/>
          <w:b/>
          <w:bCs/>
          <w:color w:val="1B2A4A"/>
          <w:sz w:val="52"/>
          <w:szCs w:val="52"/>
        </w:rPr>
        <w:t xml:space="preserve">FinOps Sentinel</w:t>
      </w:r>
    </w:p>
    <w:p>
      <w:pPr>
        <w:spacing w:before="40" w:after="40"/>
        <w:jc w:val="center"/>
      </w:pPr>
      <w:r>
        <w:rPr>
          <w:rFonts w:ascii="Arial" w:cs="Arial" w:eastAsia="Arial" w:hAnsi="Arial"/>
          <w:color w:val="6B7280"/>
          <w:sz w:val="22"/>
          <w:szCs w:val="22"/>
        </w:rPr>
        <w:t xml:space="preserve">Master Project Document  ·  v1.0  ·  March 2026</w:t>
      </w:r>
    </w:p>
    <w:p>
      <w:pPr>
        <w:pBdr>
          <w:bottom w:val="single" w:color="006D77" w:sz="4" w:space="1"/>
        </w:pBdr>
        <w:spacing w:before="120" w:after="120"/>
      </w:pPr>
    </w:p>
    <w:p>
      <w:pPr>
        <w:spacing w:before="120" w:after="0"/>
        <w:jc w:val="center"/>
      </w:pPr>
      <w:r>
        <w:rPr>
          <w:rFonts w:ascii="Arial" w:cs="Arial" w:eastAsia="Arial" w:hAnsi="Arial"/>
          <w:i/>
          <w:iCs/>
          <w:color w:val="006D77"/>
          <w:sz w:val="22"/>
          <w:szCs w:val="22"/>
        </w:rPr>
        <w:t xml:space="preserve">This document is a living artifact. Update it. Own it. It is your engineering story.</w:t>
      </w:r>
    </w:p>
    <w:sectPr>
      <w:headerReference w:type="default" r:id="rId6"/>
      <w:footerReference w:type="default" r:id="rId7"/>
      <w:pgSz w:w="12240" w:h="15840" w:orient="portrait"/>
      <w:pgMar w:top="1260" w:right="126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DEE" w:sz="4" w:space="1"/>
      </w:pBdr>
      <w:spacing w:before="160" w:after="0"/>
      <w:jc w:val="center"/>
    </w:pPr>
    <w:r>
      <w:rPr>
        <w:rFonts w:ascii="Arial" w:cs="Arial" w:eastAsia="Arial" w:hAnsi="Arial"/>
        <w:color w:val="6B7280"/>
        <w:sz w:val="18"/>
        <w:szCs w:val="18"/>
      </w:rPr>
      <w:t xml:space="preserve">Confidential — Portfolio Document  ·  Update build log after every session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6D77" w:sz="4" w:space="1"/>
      </w:pBdr>
      <w:spacing w:before="0" w:after="160"/>
      <w:jc w:val="right"/>
    </w:pPr>
    <w:r>
      <w:rPr>
        <w:rFonts w:ascii="Arial" w:cs="Arial" w:eastAsia="Arial" w:hAnsi="Arial"/>
        <w:color w:val="6B7280"/>
        <w:sz w:val="18"/>
        <w:szCs w:val="18"/>
      </w:rPr>
      <w:t xml:space="preserve">FinOps Sentinel  ·  Master Project Document  ·  </w:t>
    </w:r>
    <w:r>
      <w:rPr>
        <w:rFonts w:ascii="Arial" w:cs="Arial" w:eastAsia="Arial" w:hAnsi="Arial"/>
        <w:b/>
        <w:bCs/>
        <w:color w:val="006D77"/>
        <w:sz w:val="18"/>
        <w:szCs w:val="18"/>
      </w:rPr>
      <w:t xml:space="preserve">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90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B2A4A"/>
      <w:sz w:val="34"/>
      <w:szCs w:val="34"/>
    </w:rPr>
  </w:style>
  <w:style w:type="paragraph" w:styleId="Heading2">
    <w:name w:val="Heading 2"/>
    <w:basedOn w:val="Normal"/>
    <w:next w:val="Normal"/>
    <w:qFormat/>
    <w:pPr>
      <w:spacing w:before="280" w:after="100"/>
      <w:outlineLvl w:val="1"/>
    </w:pPr>
    <w:rPr>
      <w:rFonts w:ascii="Arial" w:cs="Arial" w:eastAsia="Arial" w:hAnsi="Arial"/>
      <w:b/>
      <w:bCs/>
      <w:color w:val="006D77"/>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2026-03-13T00:13:36.927Z</dcterms:created>
  <dcterms:modified xsi:type="dcterms:W3CDTF">2026-03-13T00:13:36.928Z</dcterms:modified>
</cp:coreProperties>
</file>

<file path=docProps/custom.xml><?xml version="1.0" encoding="utf-8"?>
<Properties xmlns="http://schemas.openxmlformats.org/officeDocument/2006/custom-properties" xmlns:vt="http://schemas.openxmlformats.org/officeDocument/2006/docPropsVTypes"/>
</file>