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0B617" w14:textId="77777777" w:rsidR="0082191B" w:rsidRDefault="008331D3">
      <w:pPr>
        <w:pStyle w:val="Heading1"/>
        <w:jc w:val="center"/>
        <w:rPr>
          <w:rFonts w:ascii="Aptos" w:eastAsia="Aptos" w:hAnsi="Aptos" w:cs="Aptos"/>
          <w:color w:val="000000"/>
        </w:rPr>
      </w:pPr>
      <w:r>
        <w:rPr>
          <w:rFonts w:ascii="Aptos" w:eastAsia="Aptos" w:hAnsi="Aptos" w:cs="Aptos"/>
          <w:color w:val="000000"/>
        </w:rPr>
        <w:t>Guide to Dispute Resolution in UK Public Procurement</w:t>
      </w:r>
    </w:p>
    <w:p w14:paraId="22B0B618" w14:textId="77777777" w:rsidR="0082191B" w:rsidRDefault="0082191B">
      <w:pPr>
        <w:rPr>
          <w:rFonts w:ascii="Aptos" w:eastAsia="Aptos" w:hAnsi="Aptos" w:cs="Aptos"/>
          <w:sz w:val="24"/>
          <w:szCs w:val="24"/>
        </w:rPr>
      </w:pPr>
    </w:p>
    <w:p w14:paraId="22B0B619" w14:textId="77777777" w:rsidR="0082191B" w:rsidRDefault="008331D3">
      <w:pPr>
        <w:rPr>
          <w:rFonts w:ascii="Aptos" w:eastAsia="Aptos" w:hAnsi="Aptos" w:cs="Aptos"/>
          <w:sz w:val="24"/>
          <w:szCs w:val="24"/>
        </w:rPr>
      </w:pPr>
      <w:r>
        <w:rPr>
          <w:rFonts w:ascii="Aptos" w:eastAsia="Aptos" w:hAnsi="Aptos" w:cs="Aptos"/>
          <w:sz w:val="24"/>
          <w:szCs w:val="24"/>
        </w:rPr>
        <w:t>Public procurement disputes in the UK operate within a specialised legal environment, shaped by specified timescales, mandatory standstill periods, and the need for confidentiality. The Technology and Construction Court (TCC) provides the principal procedural framework for such disputes, supplemented by the Civil Procedure Rules (CPR).</w:t>
      </w:r>
    </w:p>
    <w:p w14:paraId="22B0B61A" w14:textId="77777777" w:rsidR="0082191B" w:rsidRDefault="0082191B">
      <w:pPr>
        <w:rPr>
          <w:rFonts w:ascii="Aptos" w:eastAsia="Aptos" w:hAnsi="Aptos" w:cs="Aptos"/>
          <w:b/>
          <w:bCs/>
          <w:sz w:val="32"/>
          <w:szCs w:val="32"/>
        </w:rPr>
      </w:pPr>
    </w:p>
    <w:p w14:paraId="22B0B61B" w14:textId="77777777" w:rsidR="0082191B" w:rsidRDefault="008331D3">
      <w:pPr>
        <w:rPr>
          <w:rFonts w:ascii="Aptos" w:eastAsia="Aptos" w:hAnsi="Aptos" w:cs="Aptos"/>
          <w:b/>
          <w:bCs/>
          <w:sz w:val="32"/>
          <w:szCs w:val="32"/>
        </w:rPr>
      </w:pPr>
      <w:r>
        <w:rPr>
          <w:rFonts w:ascii="Aptos" w:eastAsia="Aptos" w:hAnsi="Aptos" w:cs="Aptos"/>
          <w:b/>
          <w:bCs/>
          <w:sz w:val="32"/>
          <w:szCs w:val="32"/>
        </w:rPr>
        <w:t>General Points</w:t>
      </w:r>
    </w:p>
    <w:p w14:paraId="22B0B61C" w14:textId="77777777" w:rsidR="0082191B" w:rsidRDefault="008331D3">
      <w:pPr>
        <w:rPr>
          <w:rFonts w:ascii="Aptos" w:eastAsia="Aptos" w:hAnsi="Aptos" w:cs="Aptos"/>
          <w:sz w:val="24"/>
          <w:szCs w:val="24"/>
        </w:rPr>
      </w:pPr>
      <w:r>
        <w:rPr>
          <w:rFonts w:ascii="Aptos" w:eastAsia="Aptos" w:hAnsi="Aptos" w:cs="Aptos"/>
          <w:b/>
          <w:bCs/>
          <w:sz w:val="24"/>
          <w:szCs w:val="24"/>
        </w:rPr>
        <w:t>Alternative Dispute Resolution</w:t>
      </w:r>
    </w:p>
    <w:p w14:paraId="22B0B61D" w14:textId="77777777" w:rsidR="0082191B" w:rsidRDefault="008331D3">
      <w:pPr>
        <w:rPr>
          <w:rFonts w:ascii="Aptos" w:eastAsia="Aptos" w:hAnsi="Aptos" w:cs="Aptos"/>
          <w:sz w:val="24"/>
          <w:szCs w:val="24"/>
        </w:rPr>
      </w:pPr>
      <w:r>
        <w:rPr>
          <w:rFonts w:ascii="Aptos" w:eastAsia="Aptos" w:hAnsi="Aptos" w:cs="Aptos"/>
          <w:sz w:val="24"/>
          <w:szCs w:val="24"/>
        </w:rPr>
        <w:t>ADR processes are strongly encouraged to avoid litigation, which must be a “last resort”.</w:t>
      </w:r>
    </w:p>
    <w:p w14:paraId="22B0B61E" w14:textId="77777777" w:rsidR="0082191B" w:rsidRDefault="008331D3">
      <w:pPr>
        <w:rPr>
          <w:rFonts w:ascii="Aptos" w:eastAsia="Aptos" w:hAnsi="Aptos" w:cs="Aptos"/>
          <w:color w:val="000000"/>
        </w:rPr>
      </w:pPr>
      <w:hyperlink r:id="rId6">
        <w:r>
          <w:rPr>
            <w:rFonts w:ascii="Aptos" w:eastAsia="Aptos" w:hAnsi="Aptos" w:cs="Aptos"/>
            <w:color w:val="000000"/>
            <w:sz w:val="24"/>
            <w:szCs w:val="24"/>
          </w:rPr>
          <w:t>https://www.advicenow.org.uk/get-help/going-court/ways-resolve-dispute</w:t>
        </w:r>
      </w:hyperlink>
    </w:p>
    <w:p w14:paraId="22B0B61F" w14:textId="77777777" w:rsidR="0082191B" w:rsidRDefault="008331D3">
      <w:pPr>
        <w:rPr>
          <w:rFonts w:ascii="Aptos" w:eastAsia="Aptos" w:hAnsi="Aptos" w:cs="Aptos"/>
          <w:b/>
          <w:bCs/>
          <w:sz w:val="24"/>
          <w:szCs w:val="24"/>
        </w:rPr>
      </w:pPr>
      <w:r>
        <w:rPr>
          <w:rFonts w:ascii="Aptos" w:eastAsia="Aptos" w:hAnsi="Aptos" w:cs="Aptos"/>
          <w:b/>
          <w:bCs/>
          <w:sz w:val="24"/>
          <w:szCs w:val="24"/>
        </w:rPr>
        <w:t>Confidentiality Protection</w:t>
      </w:r>
    </w:p>
    <w:p w14:paraId="22B0B620" w14:textId="77777777" w:rsidR="0082191B" w:rsidRDefault="008331D3">
      <w:pPr>
        <w:numPr>
          <w:ilvl w:val="0"/>
          <w:numId w:val="5"/>
        </w:numPr>
        <w:pBdr>
          <w:top w:val="nil"/>
          <w:left w:val="nil"/>
          <w:bottom w:val="nil"/>
          <w:right w:val="nil"/>
          <w:between w:val="nil"/>
        </w:pBdr>
        <w:spacing w:after="0"/>
        <w:rPr>
          <w:rFonts w:ascii="Aptos" w:eastAsia="Aptos" w:hAnsi="Aptos" w:cs="Aptos"/>
          <w:color w:val="000000"/>
          <w:sz w:val="24"/>
          <w:szCs w:val="24"/>
        </w:rPr>
      </w:pPr>
      <w:r>
        <w:rPr>
          <w:rFonts w:ascii="Aptos" w:eastAsia="Aptos" w:hAnsi="Aptos" w:cs="Aptos"/>
          <w:color w:val="000000"/>
          <w:sz w:val="24"/>
          <w:szCs w:val="24"/>
        </w:rPr>
        <w:t>Procurement disputes often involve competitively sensitive material, so the TCC encourages confidentiality rings and undertakings to support pre</w:t>
      </w:r>
      <w:r>
        <w:rPr>
          <w:rFonts w:ascii="Cambria Math" w:eastAsia="Cambria Math" w:hAnsi="Cambria Math" w:cs="Cambria Math"/>
          <w:color w:val="000000"/>
          <w:sz w:val="24"/>
          <w:szCs w:val="24"/>
        </w:rPr>
        <w:t>‑</w:t>
      </w:r>
      <w:r>
        <w:rPr>
          <w:rFonts w:ascii="Aptos" w:eastAsia="Aptos" w:hAnsi="Aptos" w:cs="Aptos"/>
          <w:color w:val="000000"/>
          <w:sz w:val="24"/>
          <w:szCs w:val="24"/>
        </w:rPr>
        <w:t>action ADR</w:t>
      </w:r>
    </w:p>
    <w:p w14:paraId="22B0B621" w14:textId="77777777" w:rsidR="0082191B" w:rsidRDefault="008331D3">
      <w:pPr>
        <w:numPr>
          <w:ilvl w:val="0"/>
          <w:numId w:val="5"/>
        </w:numPr>
        <w:pBdr>
          <w:top w:val="nil"/>
          <w:left w:val="nil"/>
          <w:bottom w:val="nil"/>
          <w:right w:val="nil"/>
          <w:between w:val="nil"/>
        </w:pBdr>
        <w:spacing w:after="0"/>
        <w:rPr>
          <w:rFonts w:ascii="Aptos" w:eastAsia="Aptos" w:hAnsi="Aptos" w:cs="Aptos"/>
          <w:color w:val="000000"/>
          <w:sz w:val="24"/>
          <w:szCs w:val="24"/>
        </w:rPr>
      </w:pPr>
      <w:r>
        <w:rPr>
          <w:rFonts w:ascii="Aptos" w:eastAsia="Aptos" w:hAnsi="Aptos" w:cs="Aptos"/>
          <w:color w:val="000000"/>
          <w:sz w:val="24"/>
          <w:szCs w:val="24"/>
        </w:rPr>
        <w:t xml:space="preserve">Mills &amp; Reeve ‘confidentiality rings’ guide linked </w:t>
      </w:r>
      <w:hyperlink r:id="rId7" w:anchor=":~:text=A%20confidentiality%20ring%20may%20be%20established%20before,other%20procurement%20exercises%20for%20a%20limited%20time">
        <w:r>
          <w:rPr>
            <w:rFonts w:ascii="Aptos" w:eastAsia="Aptos" w:hAnsi="Aptos" w:cs="Aptos"/>
            <w:color w:val="0000FF"/>
            <w:sz w:val="24"/>
            <w:szCs w:val="24"/>
            <w:u w:val="single"/>
          </w:rPr>
          <w:t>here</w:t>
        </w:r>
      </w:hyperlink>
    </w:p>
    <w:p w14:paraId="22B0B622" w14:textId="77777777" w:rsidR="0082191B" w:rsidRDefault="008331D3">
      <w:pPr>
        <w:numPr>
          <w:ilvl w:val="0"/>
          <w:numId w:val="5"/>
        </w:numPr>
        <w:pBdr>
          <w:top w:val="nil"/>
          <w:left w:val="nil"/>
          <w:bottom w:val="nil"/>
          <w:right w:val="nil"/>
          <w:between w:val="nil"/>
        </w:pBdr>
        <w:rPr>
          <w:rFonts w:ascii="Aptos" w:eastAsia="Aptos" w:hAnsi="Aptos" w:cs="Aptos"/>
          <w:color w:val="000000"/>
        </w:rPr>
      </w:pPr>
      <w:r>
        <w:rPr>
          <w:rFonts w:ascii="Aptos" w:eastAsia="Aptos" w:hAnsi="Aptos" w:cs="Aptos"/>
          <w:color w:val="000000"/>
          <w:sz w:val="24"/>
          <w:szCs w:val="24"/>
        </w:rPr>
        <w:t xml:space="preserve">Legal privilege </w:t>
      </w:r>
      <w:hyperlink r:id="rId8">
        <w:r>
          <w:rPr>
            <w:rFonts w:ascii="Aptos" w:eastAsia="Aptos" w:hAnsi="Aptos" w:cs="Aptos"/>
            <w:color w:val="0000FF"/>
            <w:u w:val="single"/>
          </w:rPr>
          <w:t>Legal professional privilege | The Law Society</w:t>
        </w:r>
      </w:hyperlink>
    </w:p>
    <w:p w14:paraId="22B0B623" w14:textId="77777777" w:rsidR="0082191B" w:rsidRDefault="0082191B">
      <w:pPr>
        <w:rPr>
          <w:rFonts w:ascii="Aptos" w:eastAsia="Aptos" w:hAnsi="Aptos" w:cs="Aptos"/>
        </w:rPr>
      </w:pPr>
    </w:p>
    <w:p w14:paraId="22B0B624" w14:textId="77777777" w:rsidR="0082191B" w:rsidRDefault="0082191B">
      <w:pPr>
        <w:rPr>
          <w:rFonts w:ascii="Aptos" w:eastAsia="Aptos" w:hAnsi="Aptos" w:cs="Aptos"/>
        </w:rPr>
      </w:pPr>
    </w:p>
    <w:p w14:paraId="22B0B625" w14:textId="77777777" w:rsidR="0082191B" w:rsidRDefault="008331D3">
      <w:pPr>
        <w:numPr>
          <w:ilvl w:val="0"/>
          <w:numId w:val="5"/>
        </w:numPr>
        <w:pBdr>
          <w:top w:val="nil"/>
          <w:left w:val="nil"/>
          <w:bottom w:val="nil"/>
          <w:right w:val="nil"/>
          <w:between w:val="nil"/>
        </w:pBdr>
        <w:rPr>
          <w:rFonts w:ascii="Aptos" w:eastAsia="Aptos" w:hAnsi="Aptos" w:cs="Aptos"/>
          <w:color w:val="000000"/>
          <w:sz w:val="24"/>
          <w:szCs w:val="24"/>
        </w:rPr>
      </w:pPr>
      <w:r>
        <w:br w:type="page"/>
      </w:r>
    </w:p>
    <w:p w14:paraId="22B0B626" w14:textId="77777777" w:rsidR="0082191B" w:rsidRDefault="0082191B">
      <w:pPr>
        <w:rPr>
          <w:rFonts w:ascii="Aptos" w:eastAsia="Aptos" w:hAnsi="Aptos" w:cs="Aptos"/>
          <w:color w:val="000000"/>
        </w:rPr>
      </w:pPr>
    </w:p>
    <w:p w14:paraId="22B0B627" w14:textId="77777777" w:rsidR="0082191B" w:rsidRDefault="008331D3">
      <w:pPr>
        <w:rPr>
          <w:rFonts w:ascii="Aptos" w:eastAsia="Aptos" w:hAnsi="Aptos" w:cs="Aptos"/>
          <w:b/>
          <w:bCs/>
          <w:sz w:val="32"/>
          <w:szCs w:val="32"/>
        </w:rPr>
      </w:pPr>
      <w:r>
        <w:rPr>
          <w:rFonts w:ascii="Aptos" w:eastAsia="Aptos" w:hAnsi="Aptos" w:cs="Aptos"/>
          <w:b/>
          <w:bCs/>
          <w:sz w:val="32"/>
          <w:szCs w:val="32"/>
        </w:rPr>
        <w:t>Dispute Resolution Approaches and Procedures</w:t>
      </w:r>
    </w:p>
    <w:p w14:paraId="22B0B628" w14:textId="77777777" w:rsidR="0082191B" w:rsidRDefault="008331D3">
      <w:pPr>
        <w:rPr>
          <w:rFonts w:ascii="Aptos" w:eastAsia="Aptos" w:hAnsi="Aptos" w:cs="Aptos"/>
        </w:rPr>
      </w:pPr>
      <w:r>
        <w:rPr>
          <w:rFonts w:ascii="Aptos" w:eastAsia="Aptos" w:hAnsi="Aptos" w:cs="Aptos"/>
        </w:rPr>
        <w:t>While Alternative Dispute Resolution is strongly encouraged and often effective in resolving procurement disputes at an early stage, it does not remove or replace the statutory and legal remedies available to suppliers. Where informal engagement or ADR fails to resolve the dispute, or where a supplier considers that its legal rights have been infringed, the dispute may progress into formal legal procedures.</w:t>
      </w:r>
    </w:p>
    <w:p w14:paraId="22B0B629" w14:textId="77777777" w:rsidR="0082191B" w:rsidRDefault="008331D3">
      <w:pPr>
        <w:rPr>
          <w:rFonts w:ascii="Aptos" w:eastAsia="Aptos" w:hAnsi="Aptos" w:cs="Aptos"/>
        </w:rPr>
      </w:pPr>
      <w:r>
        <w:rPr>
          <w:rFonts w:ascii="Aptos" w:eastAsia="Aptos" w:hAnsi="Aptos" w:cs="Aptos"/>
        </w:rPr>
        <w:t>The appropriate route will depend on the nature of the decision being challenged, the stage of the procurement, and the legal basis of the alleged breach.</w:t>
      </w:r>
    </w:p>
    <w:tbl>
      <w:tblPr>
        <w:tblStyle w:val="a"/>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82191B" w14:paraId="22B0B62F" w14:textId="77777777">
        <w:tc>
          <w:tcPr>
            <w:tcW w:w="8630" w:type="dxa"/>
          </w:tcPr>
          <w:p w14:paraId="22B0B62A" w14:textId="77777777" w:rsidR="0082191B" w:rsidRDefault="008331D3">
            <w:pPr>
              <w:rPr>
                <w:rFonts w:ascii="Aptos" w:eastAsia="Aptos" w:hAnsi="Aptos" w:cs="Aptos"/>
                <w:b/>
                <w:bCs/>
                <w:sz w:val="32"/>
                <w:szCs w:val="32"/>
              </w:rPr>
            </w:pPr>
            <w:r>
              <w:rPr>
                <w:rFonts w:ascii="Aptos" w:eastAsia="Aptos" w:hAnsi="Aptos" w:cs="Aptos"/>
                <w:b/>
                <w:bCs/>
                <w:sz w:val="32"/>
                <w:szCs w:val="32"/>
              </w:rPr>
              <w:t>Negotiation / Informal Engagement</w:t>
            </w:r>
          </w:p>
          <w:p w14:paraId="22B0B62B" w14:textId="77777777" w:rsidR="0082191B" w:rsidRDefault="008331D3">
            <w:pPr>
              <w:rPr>
                <w:rFonts w:ascii="Aptos" w:eastAsia="Aptos" w:hAnsi="Aptos" w:cs="Aptos"/>
                <w:sz w:val="24"/>
                <w:szCs w:val="24"/>
              </w:rPr>
            </w:pPr>
            <w:r>
              <w:rPr>
                <w:rFonts w:ascii="Aptos" w:eastAsia="Aptos" w:hAnsi="Aptos" w:cs="Aptos"/>
                <w:b/>
                <w:bCs/>
                <w:sz w:val="24"/>
                <w:szCs w:val="24"/>
              </w:rPr>
              <w:t>Purpose</w:t>
            </w:r>
            <w:r>
              <w:rPr>
                <w:rFonts w:ascii="Aptos" w:eastAsia="Aptos" w:hAnsi="Aptos" w:cs="Aptos"/>
                <w:sz w:val="24"/>
                <w:szCs w:val="24"/>
              </w:rPr>
              <w:t>: Early information exchange to narrow issues and avoid proceedings.</w:t>
            </w:r>
          </w:p>
          <w:p w14:paraId="22B0B62C" w14:textId="77777777" w:rsidR="0082191B" w:rsidRDefault="008331D3">
            <w:pPr>
              <w:numPr>
                <w:ilvl w:val="0"/>
                <w:numId w:val="2"/>
              </w:numPr>
              <w:pBdr>
                <w:top w:val="nil"/>
                <w:left w:val="nil"/>
                <w:bottom w:val="nil"/>
                <w:right w:val="nil"/>
                <w:between w:val="nil"/>
              </w:pBdr>
              <w:spacing w:line="276" w:lineRule="auto"/>
              <w:rPr>
                <w:rFonts w:ascii="Aptos" w:eastAsia="Aptos" w:hAnsi="Aptos" w:cs="Aptos"/>
                <w:color w:val="000000"/>
                <w:sz w:val="24"/>
                <w:szCs w:val="24"/>
              </w:rPr>
            </w:pPr>
            <w:r>
              <w:rPr>
                <w:rFonts w:ascii="Aptos" w:eastAsia="Aptos" w:hAnsi="Aptos" w:cs="Aptos"/>
                <w:color w:val="000000"/>
                <w:sz w:val="24"/>
                <w:szCs w:val="24"/>
              </w:rPr>
              <w:t>Pre</w:t>
            </w:r>
            <w:r>
              <w:rPr>
                <w:rFonts w:ascii="Cambria Math" w:eastAsia="Cambria Math" w:hAnsi="Cambria Math" w:cs="Cambria Math"/>
                <w:color w:val="000000"/>
                <w:sz w:val="24"/>
                <w:szCs w:val="24"/>
              </w:rPr>
              <w:t>‑</w:t>
            </w:r>
            <w:r>
              <w:rPr>
                <w:rFonts w:ascii="Aptos" w:eastAsia="Aptos" w:hAnsi="Aptos" w:cs="Aptos"/>
                <w:color w:val="000000"/>
                <w:sz w:val="24"/>
                <w:szCs w:val="24"/>
              </w:rPr>
              <w:t>action engagement is expected under the TCC’s guidance on procurement disputes</w:t>
            </w:r>
          </w:p>
          <w:p w14:paraId="22B0B62D" w14:textId="77777777" w:rsidR="0082191B" w:rsidRDefault="008331D3">
            <w:pPr>
              <w:numPr>
                <w:ilvl w:val="0"/>
                <w:numId w:val="2"/>
              </w:numPr>
              <w:pBdr>
                <w:top w:val="nil"/>
                <w:left w:val="nil"/>
                <w:bottom w:val="nil"/>
                <w:right w:val="nil"/>
                <w:between w:val="nil"/>
              </w:pBdr>
              <w:spacing w:after="200" w:line="276" w:lineRule="auto"/>
              <w:rPr>
                <w:rFonts w:ascii="Aptos" w:eastAsia="Aptos" w:hAnsi="Aptos" w:cs="Aptos"/>
                <w:color w:val="000000"/>
                <w:sz w:val="24"/>
                <w:szCs w:val="24"/>
              </w:rPr>
            </w:pPr>
            <w:r>
              <w:rPr>
                <w:rFonts w:ascii="Aptos" w:eastAsia="Aptos" w:hAnsi="Aptos" w:cs="Aptos"/>
                <w:color w:val="000000"/>
                <w:sz w:val="24"/>
                <w:szCs w:val="24"/>
              </w:rPr>
              <w:t>Authorities are encouraged to disclose key decision materials early, including evaluation documents, to avoid litigation merely to obtain disclosure</w:t>
            </w:r>
          </w:p>
          <w:p w14:paraId="22B0B62E" w14:textId="77777777" w:rsidR="0082191B" w:rsidRDefault="0082191B">
            <w:pPr>
              <w:rPr>
                <w:rFonts w:ascii="Aptos" w:eastAsia="Aptos" w:hAnsi="Aptos" w:cs="Aptos"/>
                <w:b/>
                <w:bCs/>
                <w:sz w:val="24"/>
                <w:szCs w:val="24"/>
              </w:rPr>
            </w:pPr>
          </w:p>
        </w:tc>
      </w:tr>
      <w:tr w:rsidR="0082191B" w14:paraId="22B0B637" w14:textId="77777777">
        <w:tc>
          <w:tcPr>
            <w:tcW w:w="8630" w:type="dxa"/>
          </w:tcPr>
          <w:p w14:paraId="22B0B630" w14:textId="77777777" w:rsidR="0082191B" w:rsidRDefault="008331D3">
            <w:pPr>
              <w:rPr>
                <w:rFonts w:ascii="Aptos" w:eastAsia="Aptos" w:hAnsi="Aptos" w:cs="Aptos"/>
                <w:b/>
                <w:bCs/>
                <w:sz w:val="32"/>
                <w:szCs w:val="32"/>
              </w:rPr>
            </w:pPr>
            <w:r>
              <w:rPr>
                <w:rFonts w:ascii="Aptos" w:eastAsia="Aptos" w:hAnsi="Aptos" w:cs="Aptos"/>
                <w:b/>
                <w:bCs/>
                <w:sz w:val="32"/>
                <w:szCs w:val="32"/>
              </w:rPr>
              <w:t>Mediation</w:t>
            </w:r>
          </w:p>
          <w:p w14:paraId="22B0B631" w14:textId="77777777" w:rsidR="0082191B" w:rsidRDefault="008331D3">
            <w:pPr>
              <w:rPr>
                <w:rFonts w:ascii="Aptos" w:eastAsia="Aptos" w:hAnsi="Aptos" w:cs="Aptos"/>
                <w:sz w:val="24"/>
                <w:szCs w:val="24"/>
              </w:rPr>
            </w:pPr>
            <w:r>
              <w:rPr>
                <w:rFonts w:ascii="Aptos" w:eastAsia="Aptos" w:hAnsi="Aptos" w:cs="Aptos"/>
                <w:b/>
                <w:bCs/>
                <w:sz w:val="24"/>
                <w:szCs w:val="24"/>
              </w:rPr>
              <w:t>Purpose</w:t>
            </w:r>
            <w:r>
              <w:rPr>
                <w:rFonts w:ascii="Aptos" w:eastAsia="Aptos" w:hAnsi="Aptos" w:cs="Aptos"/>
                <w:sz w:val="24"/>
                <w:szCs w:val="24"/>
              </w:rPr>
              <w:t>: Facilitated confidential resolution using an independent mediator.</w:t>
            </w:r>
          </w:p>
          <w:p w14:paraId="22B0B632" w14:textId="77777777" w:rsidR="0082191B" w:rsidRDefault="008331D3">
            <w:pPr>
              <w:numPr>
                <w:ilvl w:val="0"/>
                <w:numId w:val="4"/>
              </w:numPr>
              <w:pBdr>
                <w:top w:val="nil"/>
                <w:left w:val="nil"/>
                <w:bottom w:val="nil"/>
                <w:right w:val="nil"/>
                <w:between w:val="nil"/>
              </w:pBdr>
              <w:spacing w:line="276" w:lineRule="auto"/>
              <w:rPr>
                <w:rFonts w:ascii="Aptos" w:eastAsia="Aptos" w:hAnsi="Aptos" w:cs="Aptos"/>
                <w:color w:val="000000"/>
                <w:sz w:val="24"/>
                <w:szCs w:val="24"/>
              </w:rPr>
            </w:pPr>
            <w:r>
              <w:rPr>
                <w:rFonts w:ascii="Aptos" w:eastAsia="Aptos" w:hAnsi="Aptos" w:cs="Aptos"/>
                <w:color w:val="000000"/>
                <w:sz w:val="24"/>
                <w:szCs w:val="24"/>
              </w:rPr>
              <w:t xml:space="preserve">Explicitly encouraged in the TCC Guide’s Alternative Dispute Resolution (ADR) section (Section 7). Guide linked </w:t>
            </w:r>
            <w:hyperlink r:id="rId9">
              <w:r>
                <w:rPr>
                  <w:rFonts w:ascii="Aptos" w:eastAsia="Aptos" w:hAnsi="Aptos" w:cs="Aptos"/>
                  <w:color w:val="0000FF"/>
                  <w:sz w:val="24"/>
                  <w:szCs w:val="24"/>
                  <w:u w:val="single"/>
                </w:rPr>
                <w:t>here</w:t>
              </w:r>
            </w:hyperlink>
          </w:p>
          <w:p w14:paraId="22B0B633" w14:textId="77777777" w:rsidR="0082191B" w:rsidRDefault="008331D3">
            <w:pPr>
              <w:numPr>
                <w:ilvl w:val="0"/>
                <w:numId w:val="4"/>
              </w:numPr>
              <w:pBdr>
                <w:top w:val="nil"/>
                <w:left w:val="nil"/>
                <w:bottom w:val="nil"/>
                <w:right w:val="nil"/>
                <w:between w:val="nil"/>
              </w:pBdr>
              <w:spacing w:line="276" w:lineRule="auto"/>
              <w:rPr>
                <w:rFonts w:ascii="Aptos" w:eastAsia="Aptos" w:hAnsi="Aptos" w:cs="Aptos"/>
                <w:color w:val="000000"/>
                <w:sz w:val="24"/>
                <w:szCs w:val="24"/>
              </w:rPr>
            </w:pPr>
            <w:r>
              <w:rPr>
                <w:rFonts w:ascii="Aptos" w:eastAsia="Aptos" w:hAnsi="Aptos" w:cs="Aptos"/>
                <w:color w:val="000000"/>
                <w:sz w:val="24"/>
                <w:szCs w:val="24"/>
              </w:rPr>
              <w:t>May take place before or during litigation, and courts may question unreasonable refusal to mediate</w:t>
            </w:r>
          </w:p>
          <w:p w14:paraId="22B0B634" w14:textId="77777777" w:rsidR="0082191B" w:rsidRDefault="008331D3">
            <w:pPr>
              <w:numPr>
                <w:ilvl w:val="0"/>
                <w:numId w:val="4"/>
              </w:numPr>
              <w:pBdr>
                <w:top w:val="nil"/>
                <w:left w:val="nil"/>
                <w:bottom w:val="nil"/>
                <w:right w:val="nil"/>
                <w:between w:val="nil"/>
              </w:pBdr>
              <w:spacing w:line="276" w:lineRule="auto"/>
              <w:rPr>
                <w:rFonts w:ascii="Aptos" w:eastAsia="Aptos" w:hAnsi="Aptos" w:cs="Aptos"/>
                <w:color w:val="000000"/>
              </w:rPr>
            </w:pPr>
            <w:hyperlink r:id="rId10">
              <w:r>
                <w:rPr>
                  <w:rFonts w:ascii="Aptos" w:eastAsia="Aptos" w:hAnsi="Aptos" w:cs="Aptos"/>
                  <w:color w:val="000000"/>
                  <w:sz w:val="24"/>
                  <w:szCs w:val="24"/>
                </w:rPr>
                <w:t>https://ukmediation.net</w:t>
              </w:r>
            </w:hyperlink>
          </w:p>
          <w:p w14:paraId="22B0B635" w14:textId="77777777" w:rsidR="0082191B" w:rsidRDefault="0082191B">
            <w:pPr>
              <w:pBdr>
                <w:top w:val="nil"/>
                <w:left w:val="nil"/>
                <w:bottom w:val="nil"/>
                <w:right w:val="nil"/>
                <w:between w:val="nil"/>
              </w:pBdr>
              <w:spacing w:after="200" w:line="276" w:lineRule="auto"/>
              <w:ind w:left="720"/>
              <w:rPr>
                <w:rFonts w:ascii="Aptos" w:eastAsia="Aptos" w:hAnsi="Aptos" w:cs="Aptos"/>
                <w:color w:val="000000"/>
              </w:rPr>
            </w:pPr>
          </w:p>
          <w:p w14:paraId="22B0B636" w14:textId="77777777" w:rsidR="0082191B" w:rsidRDefault="0082191B">
            <w:pPr>
              <w:rPr>
                <w:rFonts w:ascii="Aptos" w:eastAsia="Aptos" w:hAnsi="Aptos" w:cs="Aptos"/>
                <w:b/>
                <w:bCs/>
                <w:sz w:val="24"/>
                <w:szCs w:val="24"/>
              </w:rPr>
            </w:pPr>
          </w:p>
        </w:tc>
      </w:tr>
    </w:tbl>
    <w:p w14:paraId="22B0B644" w14:textId="77777777" w:rsidR="0082191B" w:rsidRDefault="0082191B">
      <w:pPr>
        <w:rPr>
          <w:rFonts w:ascii="Aptos" w:eastAsia="Aptos" w:hAnsi="Aptos" w:cs="Aptos"/>
        </w:rPr>
      </w:pPr>
    </w:p>
    <w:p w14:paraId="22B0B645" w14:textId="77777777" w:rsidR="0082191B" w:rsidRDefault="008331D3">
      <w:pPr>
        <w:rPr>
          <w:rFonts w:ascii="Aptos" w:eastAsia="Aptos" w:hAnsi="Aptos" w:cs="Aptos"/>
        </w:rPr>
      </w:pPr>
      <w:r>
        <w:rPr>
          <w:rFonts w:ascii="Aptos" w:eastAsia="Aptos" w:hAnsi="Aptos" w:cs="Aptos"/>
        </w:rPr>
        <w:t xml:space="preserve">Where a supplier alleges that a contracting authority has breached its obligations under procurement legislation </w:t>
      </w:r>
      <w:proofErr w:type="gramStart"/>
      <w:r>
        <w:rPr>
          <w:rFonts w:ascii="Aptos" w:eastAsia="Aptos" w:hAnsi="Aptos" w:cs="Aptos"/>
        </w:rPr>
        <w:t>in the course of</w:t>
      </w:r>
      <w:proofErr w:type="gramEnd"/>
      <w:r>
        <w:rPr>
          <w:rFonts w:ascii="Aptos" w:eastAsia="Aptos" w:hAnsi="Aptos" w:cs="Aptos"/>
        </w:rPr>
        <w:t xml:space="preserve"> conducting a procurement, the primary mechanism for challenge is through statutory procurement proceedings in the High Court, typically within the Technology and Construction Court (TCC).</w:t>
      </w:r>
    </w:p>
    <w:p w14:paraId="22B0B646" w14:textId="77777777" w:rsidR="0082191B" w:rsidRDefault="008331D3">
      <w:pPr>
        <w:rPr>
          <w:rFonts w:ascii="Aptos" w:eastAsia="Aptos" w:hAnsi="Aptos" w:cs="Aptos"/>
        </w:rPr>
      </w:pPr>
      <w:r>
        <w:rPr>
          <w:rFonts w:ascii="Aptos" w:eastAsia="Aptos" w:hAnsi="Aptos" w:cs="Aptos"/>
        </w:rPr>
        <w:t>The following sections set out the principal formal routes by which procurement disputes may be pursued where early resolution is not achieved, each of which serves a distinct legal function.</w:t>
      </w:r>
    </w:p>
    <w:tbl>
      <w:tblPr>
        <w:tblStyle w:val="a0"/>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82191B" w14:paraId="22B0B666" w14:textId="77777777">
        <w:tc>
          <w:tcPr>
            <w:tcW w:w="8630" w:type="dxa"/>
          </w:tcPr>
          <w:p w14:paraId="22B0B647" w14:textId="77777777" w:rsidR="0082191B" w:rsidRDefault="008331D3">
            <w:pPr>
              <w:rPr>
                <w:rFonts w:ascii="Aptos" w:eastAsia="Aptos" w:hAnsi="Aptos" w:cs="Aptos"/>
                <w:b/>
                <w:bCs/>
                <w:sz w:val="32"/>
                <w:szCs w:val="32"/>
              </w:rPr>
            </w:pPr>
            <w:r>
              <w:rPr>
                <w:rFonts w:ascii="Aptos" w:eastAsia="Aptos" w:hAnsi="Aptos" w:cs="Aptos"/>
                <w:b/>
                <w:bCs/>
                <w:sz w:val="32"/>
                <w:szCs w:val="32"/>
              </w:rPr>
              <w:lastRenderedPageBreak/>
              <w:t>Court Proceedings (High Court, TCC)</w:t>
            </w:r>
          </w:p>
          <w:p w14:paraId="22B0B648" w14:textId="77777777" w:rsidR="0082191B" w:rsidRDefault="008331D3">
            <w:pPr>
              <w:rPr>
                <w:rFonts w:ascii="Aptos" w:eastAsia="Aptos" w:hAnsi="Aptos" w:cs="Aptos"/>
                <w:sz w:val="24"/>
                <w:szCs w:val="24"/>
              </w:rPr>
            </w:pPr>
            <w:r>
              <w:rPr>
                <w:rFonts w:ascii="Aptos" w:eastAsia="Aptos" w:hAnsi="Aptos" w:cs="Aptos"/>
                <w:sz w:val="24"/>
                <w:szCs w:val="24"/>
              </w:rPr>
              <w:t>The primary method for resolving procurement disputes.</w:t>
            </w:r>
          </w:p>
          <w:p w14:paraId="22B0B649" w14:textId="77777777" w:rsidR="0082191B" w:rsidRDefault="008331D3">
            <w:pPr>
              <w:rPr>
                <w:rFonts w:ascii="Aptos" w:eastAsia="Aptos" w:hAnsi="Aptos" w:cs="Aptos"/>
              </w:rPr>
            </w:pPr>
            <w:r>
              <w:rPr>
                <w:rFonts w:ascii="Aptos" w:eastAsia="Aptos" w:hAnsi="Aptos" w:cs="Aptos"/>
                <w:sz w:val="24"/>
                <w:szCs w:val="24"/>
              </w:rPr>
              <w:t xml:space="preserve">Ref: Part 9 of the </w:t>
            </w:r>
            <w:hyperlink r:id="rId11">
              <w:r>
                <w:rPr>
                  <w:rFonts w:ascii="Aptos" w:eastAsia="Aptos" w:hAnsi="Aptos" w:cs="Aptos"/>
                  <w:color w:val="0000FF"/>
                  <w:sz w:val="24"/>
                  <w:szCs w:val="24"/>
                  <w:u w:val="single"/>
                </w:rPr>
                <w:t>Procurement Act 2023</w:t>
              </w:r>
            </w:hyperlink>
          </w:p>
          <w:p w14:paraId="22B0B64A" w14:textId="77777777" w:rsidR="0082191B" w:rsidRDefault="0082191B">
            <w:pPr>
              <w:rPr>
                <w:rFonts w:ascii="Aptos" w:eastAsia="Aptos" w:hAnsi="Aptos" w:cs="Aptos"/>
              </w:rPr>
            </w:pPr>
          </w:p>
          <w:p w14:paraId="22B0B64B" w14:textId="77777777" w:rsidR="0082191B" w:rsidRDefault="008331D3">
            <w:pPr>
              <w:rPr>
                <w:rFonts w:ascii="Aptos" w:eastAsia="Aptos" w:hAnsi="Aptos" w:cs="Aptos"/>
                <w:b/>
                <w:bCs/>
                <w:sz w:val="24"/>
                <w:szCs w:val="24"/>
              </w:rPr>
            </w:pPr>
            <w:r>
              <w:rPr>
                <w:rFonts w:ascii="Aptos" w:eastAsia="Aptos" w:hAnsi="Aptos" w:cs="Aptos"/>
                <w:b/>
                <w:bCs/>
                <w:sz w:val="24"/>
                <w:szCs w:val="24"/>
              </w:rPr>
              <w:t>High Level Legal Basis</w:t>
            </w:r>
          </w:p>
          <w:p w14:paraId="22B0B64C" w14:textId="77777777" w:rsidR="0082191B" w:rsidRDefault="008331D3">
            <w:pPr>
              <w:numPr>
                <w:ilvl w:val="0"/>
                <w:numId w:val="1"/>
              </w:numPr>
              <w:pBdr>
                <w:top w:val="nil"/>
                <w:left w:val="nil"/>
                <w:bottom w:val="nil"/>
                <w:right w:val="nil"/>
                <w:between w:val="nil"/>
              </w:pBdr>
              <w:spacing w:line="276" w:lineRule="auto"/>
              <w:rPr>
                <w:rFonts w:ascii="Aptos" w:eastAsia="Aptos" w:hAnsi="Aptos" w:cs="Aptos"/>
                <w:color w:val="000000"/>
                <w:sz w:val="24"/>
                <w:szCs w:val="24"/>
              </w:rPr>
            </w:pPr>
            <w:r>
              <w:rPr>
                <w:rFonts w:ascii="Aptos" w:eastAsia="Aptos" w:hAnsi="Aptos" w:cs="Aptos"/>
                <w:color w:val="000000"/>
                <w:sz w:val="24"/>
                <w:szCs w:val="24"/>
              </w:rPr>
              <w:t>Procurement disputes are enforceable through High Court proceedings, generally within the Technology &amp; Construction Court (TCC)</w:t>
            </w:r>
          </w:p>
          <w:p w14:paraId="22B0B64D" w14:textId="77777777" w:rsidR="0082191B" w:rsidRDefault="008331D3">
            <w:pPr>
              <w:numPr>
                <w:ilvl w:val="0"/>
                <w:numId w:val="1"/>
              </w:numPr>
              <w:pBdr>
                <w:top w:val="nil"/>
                <w:left w:val="nil"/>
                <w:bottom w:val="nil"/>
                <w:right w:val="nil"/>
                <w:between w:val="nil"/>
              </w:pBdr>
              <w:spacing w:line="276" w:lineRule="auto"/>
              <w:rPr>
                <w:rFonts w:ascii="Aptos" w:eastAsia="Aptos" w:hAnsi="Aptos" w:cs="Aptos"/>
                <w:color w:val="000000"/>
                <w:sz w:val="24"/>
                <w:szCs w:val="24"/>
              </w:rPr>
            </w:pPr>
            <w:r>
              <w:rPr>
                <w:rFonts w:ascii="Aptos" w:eastAsia="Aptos" w:hAnsi="Aptos" w:cs="Aptos"/>
                <w:color w:val="000000"/>
                <w:sz w:val="24"/>
                <w:szCs w:val="24"/>
              </w:rPr>
              <w:t xml:space="preserve">Claims may be brought by suppliers who have suffered or are at risk of suffering loss </w:t>
            </w:r>
            <w:proofErr w:type="gramStart"/>
            <w:r>
              <w:rPr>
                <w:rFonts w:ascii="Aptos" w:eastAsia="Aptos" w:hAnsi="Aptos" w:cs="Aptos"/>
                <w:color w:val="000000"/>
                <w:sz w:val="24"/>
                <w:szCs w:val="24"/>
              </w:rPr>
              <w:t>as a result of</w:t>
            </w:r>
            <w:proofErr w:type="gramEnd"/>
            <w:r>
              <w:rPr>
                <w:rFonts w:ascii="Aptos" w:eastAsia="Aptos" w:hAnsi="Aptos" w:cs="Aptos"/>
                <w:color w:val="000000"/>
                <w:sz w:val="24"/>
                <w:szCs w:val="24"/>
              </w:rPr>
              <w:t xml:space="preserve"> breach of procurement law</w:t>
            </w:r>
          </w:p>
          <w:p w14:paraId="22B0B64E" w14:textId="77777777" w:rsidR="0082191B" w:rsidRDefault="008331D3">
            <w:pPr>
              <w:numPr>
                <w:ilvl w:val="0"/>
                <w:numId w:val="1"/>
              </w:numPr>
              <w:pBdr>
                <w:top w:val="nil"/>
                <w:left w:val="nil"/>
                <w:bottom w:val="nil"/>
                <w:right w:val="nil"/>
                <w:between w:val="nil"/>
              </w:pBdr>
              <w:spacing w:after="200" w:line="276" w:lineRule="auto"/>
              <w:rPr>
                <w:rFonts w:ascii="Aptos" w:eastAsia="Aptos" w:hAnsi="Aptos" w:cs="Aptos"/>
                <w:color w:val="000000"/>
                <w:sz w:val="24"/>
                <w:szCs w:val="24"/>
              </w:rPr>
            </w:pPr>
            <w:r>
              <w:rPr>
                <w:rFonts w:ascii="Aptos" w:eastAsia="Aptos" w:hAnsi="Aptos" w:cs="Aptos"/>
                <w:color w:val="000000"/>
                <w:sz w:val="24"/>
                <w:szCs w:val="24"/>
              </w:rPr>
              <w:t>Time limits are pre-defined, 30 days from knowledge of the breach, sometimes 10 days</w:t>
            </w:r>
          </w:p>
          <w:p w14:paraId="22B0B64F" w14:textId="77777777" w:rsidR="0082191B" w:rsidRDefault="008331D3">
            <w:pPr>
              <w:rPr>
                <w:rFonts w:ascii="Aptos" w:eastAsia="Aptos" w:hAnsi="Aptos" w:cs="Aptos"/>
                <w:b/>
                <w:bCs/>
                <w:sz w:val="24"/>
                <w:szCs w:val="24"/>
              </w:rPr>
            </w:pPr>
            <w:r>
              <w:rPr>
                <w:rFonts w:ascii="Aptos" w:eastAsia="Aptos" w:hAnsi="Aptos" w:cs="Aptos"/>
                <w:b/>
                <w:bCs/>
                <w:sz w:val="24"/>
                <w:szCs w:val="24"/>
              </w:rPr>
              <w:t>Standstill Obligations</w:t>
            </w:r>
          </w:p>
          <w:p w14:paraId="22B0B650" w14:textId="77777777" w:rsidR="0082191B" w:rsidRDefault="008331D3">
            <w:pPr>
              <w:numPr>
                <w:ilvl w:val="0"/>
                <w:numId w:val="3"/>
              </w:numPr>
              <w:pBdr>
                <w:top w:val="nil"/>
                <w:left w:val="nil"/>
                <w:bottom w:val="nil"/>
                <w:right w:val="nil"/>
                <w:between w:val="nil"/>
              </w:pBdr>
              <w:spacing w:line="276" w:lineRule="auto"/>
              <w:rPr>
                <w:rFonts w:ascii="Aptos" w:eastAsia="Aptos" w:hAnsi="Aptos" w:cs="Aptos"/>
                <w:color w:val="000000"/>
                <w:sz w:val="24"/>
                <w:szCs w:val="24"/>
              </w:rPr>
            </w:pPr>
            <w:r>
              <w:rPr>
                <w:rFonts w:ascii="Aptos" w:eastAsia="Aptos" w:hAnsi="Aptos" w:cs="Aptos"/>
                <w:color w:val="000000"/>
                <w:sz w:val="24"/>
                <w:szCs w:val="24"/>
              </w:rPr>
              <w:t>Standstill letters must state the winner, scores, and characteristics/advantages of the winning bid</w:t>
            </w:r>
          </w:p>
          <w:p w14:paraId="22B0B651" w14:textId="77777777" w:rsidR="0082191B" w:rsidRDefault="008331D3">
            <w:pPr>
              <w:numPr>
                <w:ilvl w:val="0"/>
                <w:numId w:val="3"/>
              </w:numPr>
              <w:pBdr>
                <w:top w:val="nil"/>
                <w:left w:val="nil"/>
                <w:bottom w:val="nil"/>
                <w:right w:val="nil"/>
                <w:between w:val="nil"/>
              </w:pBdr>
              <w:spacing w:line="276" w:lineRule="auto"/>
              <w:rPr>
                <w:rFonts w:ascii="Aptos" w:eastAsia="Aptos" w:hAnsi="Aptos" w:cs="Aptos"/>
                <w:color w:val="000000"/>
                <w:sz w:val="24"/>
                <w:szCs w:val="24"/>
              </w:rPr>
            </w:pPr>
            <w:r>
              <w:rPr>
                <w:rFonts w:ascii="Aptos" w:eastAsia="Aptos" w:hAnsi="Aptos" w:cs="Aptos"/>
                <w:color w:val="000000"/>
                <w:sz w:val="24"/>
                <w:szCs w:val="24"/>
              </w:rPr>
              <w:t>The standstill period is normally 10 days, after which the authority may proceed to contract unless notified of issued proceedings</w:t>
            </w:r>
          </w:p>
          <w:p w14:paraId="22B0B652" w14:textId="77777777" w:rsidR="0082191B" w:rsidRDefault="008331D3">
            <w:pPr>
              <w:numPr>
                <w:ilvl w:val="0"/>
                <w:numId w:val="3"/>
              </w:numPr>
              <w:pBdr>
                <w:top w:val="nil"/>
                <w:left w:val="nil"/>
                <w:bottom w:val="nil"/>
                <w:right w:val="nil"/>
                <w:between w:val="nil"/>
              </w:pBdr>
              <w:spacing w:after="200" w:line="276" w:lineRule="auto"/>
              <w:rPr>
                <w:rFonts w:ascii="Aptos" w:eastAsia="Aptos" w:hAnsi="Aptos" w:cs="Aptos"/>
                <w:color w:val="000000"/>
                <w:sz w:val="24"/>
                <w:szCs w:val="24"/>
              </w:rPr>
            </w:pPr>
            <w:r>
              <w:rPr>
                <w:rFonts w:ascii="Aptos" w:eastAsia="Aptos" w:hAnsi="Aptos" w:cs="Aptos"/>
                <w:color w:val="000000"/>
                <w:sz w:val="24"/>
                <w:szCs w:val="24"/>
              </w:rPr>
              <w:t>Issuing proceedings during the standstill period triggers automatic suspension of contract award.</w:t>
            </w:r>
          </w:p>
          <w:p w14:paraId="22B0B653" w14:textId="77777777" w:rsidR="0082191B" w:rsidRDefault="0082191B">
            <w:pPr>
              <w:rPr>
                <w:rFonts w:ascii="Aptos" w:eastAsia="Aptos" w:hAnsi="Aptos" w:cs="Aptos"/>
              </w:rPr>
            </w:pPr>
          </w:p>
          <w:p w14:paraId="22B0B654" w14:textId="77777777" w:rsidR="0082191B" w:rsidRDefault="008331D3">
            <w:pPr>
              <w:numPr>
                <w:ilvl w:val="0"/>
                <w:numId w:val="6"/>
              </w:numPr>
              <w:pBdr>
                <w:top w:val="nil"/>
                <w:left w:val="nil"/>
                <w:bottom w:val="nil"/>
                <w:right w:val="nil"/>
                <w:between w:val="nil"/>
              </w:pBdr>
              <w:spacing w:line="276" w:lineRule="auto"/>
              <w:rPr>
                <w:rFonts w:ascii="Aptos" w:eastAsia="Aptos" w:hAnsi="Aptos" w:cs="Aptos"/>
                <w:color w:val="000000"/>
                <w:sz w:val="24"/>
                <w:szCs w:val="24"/>
              </w:rPr>
            </w:pPr>
            <w:r>
              <w:rPr>
                <w:rFonts w:ascii="Aptos" w:eastAsia="Aptos" w:hAnsi="Aptos" w:cs="Aptos"/>
                <w:color w:val="000000"/>
                <w:sz w:val="24"/>
                <w:szCs w:val="24"/>
              </w:rPr>
              <w:t>Procedural Rules</w:t>
            </w:r>
          </w:p>
          <w:p w14:paraId="22B0B655" w14:textId="77777777" w:rsidR="0082191B" w:rsidRDefault="008331D3">
            <w:pPr>
              <w:numPr>
                <w:ilvl w:val="0"/>
                <w:numId w:val="7"/>
              </w:numPr>
              <w:pBdr>
                <w:top w:val="nil"/>
                <w:left w:val="nil"/>
                <w:bottom w:val="nil"/>
                <w:right w:val="nil"/>
                <w:between w:val="nil"/>
              </w:pBdr>
              <w:spacing w:line="276" w:lineRule="auto"/>
              <w:rPr>
                <w:rFonts w:ascii="Aptos" w:eastAsia="Aptos" w:hAnsi="Aptos" w:cs="Aptos"/>
                <w:color w:val="000000"/>
                <w:sz w:val="24"/>
                <w:szCs w:val="24"/>
              </w:rPr>
            </w:pPr>
            <w:hyperlink r:id="rId12">
              <w:r>
                <w:rPr>
                  <w:rFonts w:ascii="Aptos" w:eastAsia="Aptos" w:hAnsi="Aptos" w:cs="Aptos"/>
                  <w:color w:val="0000FF"/>
                  <w:sz w:val="24"/>
                  <w:szCs w:val="24"/>
                  <w:u w:val="single"/>
                </w:rPr>
                <w:t>https://www.judiciary.uk/wp-content/uploads/2022/10/14.128_The_Technology_and_Construction_Court_Guide_WEB.pdf</w:t>
              </w:r>
            </w:hyperlink>
            <w:r>
              <w:rPr>
                <w:rFonts w:ascii="Aptos" w:eastAsia="Aptos" w:hAnsi="Aptos" w:cs="Aptos"/>
                <w:color w:val="000000"/>
                <w:sz w:val="24"/>
                <w:szCs w:val="24"/>
              </w:rPr>
              <w:t xml:space="preserve"> </w:t>
            </w:r>
          </w:p>
          <w:p w14:paraId="22B0B656" w14:textId="77777777" w:rsidR="0082191B" w:rsidRDefault="008331D3">
            <w:pPr>
              <w:numPr>
                <w:ilvl w:val="0"/>
                <w:numId w:val="7"/>
              </w:numPr>
              <w:pBdr>
                <w:top w:val="nil"/>
                <w:left w:val="nil"/>
                <w:bottom w:val="nil"/>
                <w:right w:val="nil"/>
                <w:between w:val="nil"/>
              </w:pBdr>
              <w:spacing w:after="200" w:line="276" w:lineRule="auto"/>
              <w:rPr>
                <w:rFonts w:ascii="Aptos" w:eastAsia="Aptos" w:hAnsi="Aptos" w:cs="Aptos"/>
                <w:b/>
                <w:bCs/>
                <w:color w:val="000000"/>
                <w:sz w:val="24"/>
                <w:szCs w:val="24"/>
              </w:rPr>
            </w:pPr>
            <w:hyperlink r:id="rId13">
              <w:r>
                <w:rPr>
                  <w:rFonts w:ascii="Aptos" w:eastAsia="Aptos" w:hAnsi="Aptos" w:cs="Aptos"/>
                  <w:b/>
                  <w:bCs/>
                  <w:color w:val="0000FF"/>
                  <w:sz w:val="24"/>
                  <w:szCs w:val="24"/>
                  <w:u w:val="single"/>
                </w:rPr>
                <w:t>Civil Procedure Rules (CPR)</w:t>
              </w:r>
            </w:hyperlink>
          </w:p>
          <w:p w14:paraId="22B0B657" w14:textId="77777777" w:rsidR="0082191B" w:rsidRDefault="0082191B">
            <w:pPr>
              <w:rPr>
                <w:rFonts w:ascii="Aptos" w:eastAsia="Aptos" w:hAnsi="Aptos" w:cs="Aptos"/>
                <w:sz w:val="24"/>
                <w:szCs w:val="24"/>
              </w:rPr>
            </w:pPr>
          </w:p>
          <w:p w14:paraId="22B0B658" w14:textId="77777777" w:rsidR="0082191B" w:rsidRDefault="008331D3">
            <w:pPr>
              <w:numPr>
                <w:ilvl w:val="0"/>
                <w:numId w:val="6"/>
              </w:numPr>
              <w:pBdr>
                <w:top w:val="nil"/>
                <w:left w:val="nil"/>
                <w:bottom w:val="nil"/>
                <w:right w:val="nil"/>
                <w:between w:val="nil"/>
              </w:pBdr>
              <w:spacing w:line="276" w:lineRule="auto"/>
              <w:rPr>
                <w:rFonts w:ascii="Aptos" w:eastAsia="Aptos" w:hAnsi="Aptos" w:cs="Aptos"/>
                <w:color w:val="000000"/>
                <w:sz w:val="24"/>
                <w:szCs w:val="24"/>
              </w:rPr>
            </w:pPr>
            <w:r>
              <w:rPr>
                <w:rFonts w:ascii="Aptos" w:eastAsia="Aptos" w:hAnsi="Aptos" w:cs="Aptos"/>
                <w:color w:val="000000"/>
                <w:sz w:val="24"/>
                <w:szCs w:val="24"/>
              </w:rPr>
              <w:t>Remedies Available</w:t>
            </w:r>
          </w:p>
          <w:p w14:paraId="22B0B659" w14:textId="77777777" w:rsidR="0082191B" w:rsidRDefault="008331D3">
            <w:pPr>
              <w:numPr>
                <w:ilvl w:val="1"/>
                <w:numId w:val="6"/>
              </w:numPr>
              <w:pBdr>
                <w:top w:val="nil"/>
                <w:left w:val="nil"/>
                <w:bottom w:val="nil"/>
                <w:right w:val="nil"/>
                <w:between w:val="nil"/>
              </w:pBdr>
              <w:spacing w:line="276" w:lineRule="auto"/>
              <w:rPr>
                <w:rFonts w:ascii="Aptos" w:eastAsia="Aptos" w:hAnsi="Aptos" w:cs="Aptos"/>
                <w:color w:val="000000"/>
                <w:sz w:val="24"/>
                <w:szCs w:val="24"/>
              </w:rPr>
            </w:pPr>
            <w:r>
              <w:rPr>
                <w:rFonts w:ascii="Aptos" w:eastAsia="Aptos" w:hAnsi="Aptos" w:cs="Aptos"/>
                <w:color w:val="000000"/>
                <w:sz w:val="24"/>
                <w:szCs w:val="24"/>
              </w:rPr>
              <w:t>Pre</w:t>
            </w:r>
            <w:r>
              <w:rPr>
                <w:rFonts w:ascii="Cambria Math" w:eastAsia="Cambria Math" w:hAnsi="Cambria Math" w:cs="Cambria Math"/>
                <w:color w:val="000000"/>
                <w:sz w:val="24"/>
                <w:szCs w:val="24"/>
              </w:rPr>
              <w:t>‑</w:t>
            </w:r>
            <w:r>
              <w:rPr>
                <w:rFonts w:ascii="Aptos" w:eastAsia="Aptos" w:hAnsi="Aptos" w:cs="Aptos"/>
                <w:color w:val="000000"/>
                <w:sz w:val="24"/>
                <w:szCs w:val="24"/>
              </w:rPr>
              <w:t>contractual remedies:</w:t>
            </w:r>
          </w:p>
          <w:p w14:paraId="22B0B65A" w14:textId="77777777" w:rsidR="0082191B" w:rsidRDefault="008331D3">
            <w:pPr>
              <w:numPr>
                <w:ilvl w:val="2"/>
                <w:numId w:val="6"/>
              </w:numPr>
              <w:pBdr>
                <w:top w:val="nil"/>
                <w:left w:val="nil"/>
                <w:bottom w:val="nil"/>
                <w:right w:val="nil"/>
                <w:between w:val="nil"/>
              </w:pBdr>
              <w:spacing w:line="276" w:lineRule="auto"/>
              <w:rPr>
                <w:rFonts w:ascii="Aptos" w:eastAsia="Aptos" w:hAnsi="Aptos" w:cs="Aptos"/>
                <w:color w:val="000000"/>
                <w:sz w:val="24"/>
                <w:szCs w:val="24"/>
              </w:rPr>
            </w:pPr>
            <w:r>
              <w:rPr>
                <w:rFonts w:ascii="Aptos" w:eastAsia="Aptos" w:hAnsi="Aptos" w:cs="Aptos"/>
                <w:color w:val="000000"/>
                <w:sz w:val="24"/>
                <w:szCs w:val="24"/>
              </w:rPr>
              <w:t>Set aside the award decision</w:t>
            </w:r>
          </w:p>
          <w:p w14:paraId="22B0B65B" w14:textId="77777777" w:rsidR="0082191B" w:rsidRDefault="008331D3">
            <w:pPr>
              <w:numPr>
                <w:ilvl w:val="2"/>
                <w:numId w:val="6"/>
              </w:numPr>
              <w:pBdr>
                <w:top w:val="nil"/>
                <w:left w:val="nil"/>
                <w:bottom w:val="nil"/>
                <w:right w:val="nil"/>
                <w:between w:val="nil"/>
              </w:pBdr>
              <w:spacing w:line="276" w:lineRule="auto"/>
              <w:rPr>
                <w:rFonts w:ascii="Aptos" w:eastAsia="Aptos" w:hAnsi="Aptos" w:cs="Aptos"/>
                <w:color w:val="000000"/>
                <w:sz w:val="24"/>
                <w:szCs w:val="24"/>
              </w:rPr>
            </w:pPr>
            <w:r>
              <w:rPr>
                <w:rFonts w:ascii="Aptos" w:eastAsia="Aptos" w:hAnsi="Aptos" w:cs="Aptos"/>
                <w:color w:val="000000"/>
                <w:sz w:val="24"/>
                <w:szCs w:val="24"/>
              </w:rPr>
              <w:t>Order re</w:t>
            </w:r>
            <w:r>
              <w:rPr>
                <w:rFonts w:ascii="Cambria Math" w:eastAsia="Cambria Math" w:hAnsi="Cambria Math" w:cs="Cambria Math"/>
                <w:color w:val="000000"/>
                <w:sz w:val="24"/>
                <w:szCs w:val="24"/>
              </w:rPr>
              <w:t>‑</w:t>
            </w:r>
            <w:r>
              <w:rPr>
                <w:rFonts w:ascii="Aptos" w:eastAsia="Aptos" w:hAnsi="Aptos" w:cs="Aptos"/>
                <w:color w:val="000000"/>
                <w:sz w:val="24"/>
                <w:szCs w:val="24"/>
              </w:rPr>
              <w:t>evaluation</w:t>
            </w:r>
          </w:p>
          <w:p w14:paraId="22B0B65C" w14:textId="77777777" w:rsidR="0082191B" w:rsidRDefault="008331D3">
            <w:pPr>
              <w:numPr>
                <w:ilvl w:val="2"/>
                <w:numId w:val="6"/>
              </w:numPr>
              <w:pBdr>
                <w:top w:val="nil"/>
                <w:left w:val="nil"/>
                <w:bottom w:val="nil"/>
                <w:right w:val="nil"/>
                <w:between w:val="nil"/>
              </w:pBdr>
              <w:spacing w:line="276" w:lineRule="auto"/>
              <w:rPr>
                <w:rFonts w:ascii="Aptos" w:eastAsia="Aptos" w:hAnsi="Aptos" w:cs="Aptos"/>
                <w:color w:val="000000"/>
                <w:sz w:val="24"/>
                <w:szCs w:val="24"/>
              </w:rPr>
            </w:pPr>
            <w:r>
              <w:rPr>
                <w:rFonts w:ascii="Aptos" w:eastAsia="Aptos" w:hAnsi="Aptos" w:cs="Aptos"/>
                <w:color w:val="000000"/>
                <w:sz w:val="24"/>
                <w:szCs w:val="24"/>
              </w:rPr>
              <w:t>Require the authority to correct unlawful procedures</w:t>
            </w:r>
          </w:p>
          <w:p w14:paraId="22B0B65D" w14:textId="77777777" w:rsidR="0082191B" w:rsidRDefault="0082191B">
            <w:pPr>
              <w:pBdr>
                <w:top w:val="nil"/>
                <w:left w:val="nil"/>
                <w:bottom w:val="nil"/>
                <w:right w:val="nil"/>
                <w:between w:val="nil"/>
              </w:pBdr>
              <w:spacing w:line="276" w:lineRule="auto"/>
              <w:ind w:left="2520"/>
              <w:rPr>
                <w:rFonts w:ascii="Aptos" w:eastAsia="Aptos" w:hAnsi="Aptos" w:cs="Aptos"/>
                <w:color w:val="000000"/>
                <w:sz w:val="24"/>
                <w:szCs w:val="24"/>
              </w:rPr>
            </w:pPr>
          </w:p>
          <w:p w14:paraId="22B0B65E" w14:textId="77777777" w:rsidR="0082191B" w:rsidRDefault="008331D3">
            <w:pPr>
              <w:numPr>
                <w:ilvl w:val="1"/>
                <w:numId w:val="6"/>
              </w:numPr>
              <w:pBdr>
                <w:top w:val="nil"/>
                <w:left w:val="nil"/>
                <w:bottom w:val="nil"/>
                <w:right w:val="nil"/>
                <w:between w:val="nil"/>
              </w:pBdr>
              <w:spacing w:line="276" w:lineRule="auto"/>
              <w:rPr>
                <w:rFonts w:ascii="Aptos" w:eastAsia="Aptos" w:hAnsi="Aptos" w:cs="Aptos"/>
                <w:color w:val="000000"/>
                <w:sz w:val="24"/>
                <w:szCs w:val="24"/>
              </w:rPr>
            </w:pPr>
            <w:r>
              <w:rPr>
                <w:rFonts w:ascii="Aptos" w:eastAsia="Aptos" w:hAnsi="Aptos" w:cs="Aptos"/>
                <w:color w:val="000000"/>
                <w:sz w:val="24"/>
                <w:szCs w:val="24"/>
              </w:rPr>
              <w:t>Interim remedies:</w:t>
            </w:r>
          </w:p>
          <w:p w14:paraId="22B0B65F" w14:textId="77777777" w:rsidR="0082191B" w:rsidRDefault="008331D3">
            <w:pPr>
              <w:numPr>
                <w:ilvl w:val="2"/>
                <w:numId w:val="6"/>
              </w:numPr>
              <w:pBdr>
                <w:top w:val="nil"/>
                <w:left w:val="nil"/>
                <w:bottom w:val="nil"/>
                <w:right w:val="nil"/>
                <w:between w:val="nil"/>
              </w:pBdr>
              <w:spacing w:line="276" w:lineRule="auto"/>
              <w:rPr>
                <w:rFonts w:ascii="Aptos" w:eastAsia="Aptos" w:hAnsi="Aptos" w:cs="Aptos"/>
                <w:color w:val="000000"/>
                <w:sz w:val="24"/>
                <w:szCs w:val="24"/>
              </w:rPr>
            </w:pPr>
            <w:r>
              <w:rPr>
                <w:rFonts w:ascii="Aptos" w:eastAsia="Aptos" w:hAnsi="Aptos" w:cs="Aptos"/>
                <w:color w:val="000000"/>
                <w:sz w:val="24"/>
                <w:szCs w:val="24"/>
              </w:rPr>
              <w:t>Suspend the procurement</w:t>
            </w:r>
          </w:p>
          <w:p w14:paraId="22B0B660" w14:textId="77777777" w:rsidR="0082191B" w:rsidRDefault="008331D3">
            <w:pPr>
              <w:numPr>
                <w:ilvl w:val="2"/>
                <w:numId w:val="6"/>
              </w:numPr>
              <w:pBdr>
                <w:top w:val="nil"/>
                <w:left w:val="nil"/>
                <w:bottom w:val="nil"/>
                <w:right w:val="nil"/>
                <w:between w:val="nil"/>
              </w:pBdr>
              <w:spacing w:line="276" w:lineRule="auto"/>
              <w:rPr>
                <w:rFonts w:ascii="Aptos" w:eastAsia="Aptos" w:hAnsi="Aptos" w:cs="Aptos"/>
                <w:color w:val="000000"/>
                <w:sz w:val="24"/>
                <w:szCs w:val="24"/>
              </w:rPr>
            </w:pPr>
            <w:r>
              <w:rPr>
                <w:rFonts w:ascii="Aptos" w:eastAsia="Aptos" w:hAnsi="Aptos" w:cs="Aptos"/>
                <w:color w:val="000000"/>
                <w:sz w:val="24"/>
                <w:szCs w:val="24"/>
              </w:rPr>
              <w:t>Lift or maintain automatic suspension</w:t>
            </w:r>
          </w:p>
          <w:p w14:paraId="22B0B661" w14:textId="77777777" w:rsidR="0082191B" w:rsidRDefault="0082191B">
            <w:pPr>
              <w:pBdr>
                <w:top w:val="nil"/>
                <w:left w:val="nil"/>
                <w:bottom w:val="nil"/>
                <w:right w:val="nil"/>
                <w:between w:val="nil"/>
              </w:pBdr>
              <w:spacing w:line="276" w:lineRule="auto"/>
              <w:ind w:left="2520"/>
              <w:rPr>
                <w:rFonts w:ascii="Aptos" w:eastAsia="Aptos" w:hAnsi="Aptos" w:cs="Aptos"/>
                <w:color w:val="000000"/>
                <w:sz w:val="24"/>
                <w:szCs w:val="24"/>
              </w:rPr>
            </w:pPr>
          </w:p>
          <w:p w14:paraId="22B0B662" w14:textId="77777777" w:rsidR="0082191B" w:rsidRDefault="008331D3">
            <w:pPr>
              <w:numPr>
                <w:ilvl w:val="1"/>
                <w:numId w:val="6"/>
              </w:numPr>
              <w:pBdr>
                <w:top w:val="nil"/>
                <w:left w:val="nil"/>
                <w:bottom w:val="nil"/>
                <w:right w:val="nil"/>
                <w:between w:val="nil"/>
              </w:pBdr>
              <w:spacing w:line="276" w:lineRule="auto"/>
              <w:rPr>
                <w:rFonts w:ascii="Aptos" w:eastAsia="Aptos" w:hAnsi="Aptos" w:cs="Aptos"/>
                <w:color w:val="000000"/>
                <w:sz w:val="24"/>
                <w:szCs w:val="24"/>
              </w:rPr>
            </w:pPr>
            <w:r>
              <w:rPr>
                <w:rFonts w:ascii="Aptos" w:eastAsia="Aptos" w:hAnsi="Aptos" w:cs="Aptos"/>
                <w:color w:val="000000"/>
                <w:sz w:val="24"/>
                <w:szCs w:val="24"/>
              </w:rPr>
              <w:t>Post</w:t>
            </w:r>
            <w:r>
              <w:rPr>
                <w:rFonts w:ascii="Cambria Math" w:eastAsia="Cambria Math" w:hAnsi="Cambria Math" w:cs="Cambria Math"/>
                <w:color w:val="000000"/>
                <w:sz w:val="24"/>
                <w:szCs w:val="24"/>
              </w:rPr>
              <w:t>‑</w:t>
            </w:r>
            <w:r>
              <w:rPr>
                <w:rFonts w:ascii="Aptos" w:eastAsia="Aptos" w:hAnsi="Aptos" w:cs="Aptos"/>
                <w:color w:val="000000"/>
                <w:sz w:val="24"/>
                <w:szCs w:val="24"/>
              </w:rPr>
              <w:t>contract remedies:</w:t>
            </w:r>
          </w:p>
          <w:p w14:paraId="22B0B663" w14:textId="77777777" w:rsidR="0082191B" w:rsidRDefault="008331D3">
            <w:pPr>
              <w:numPr>
                <w:ilvl w:val="2"/>
                <w:numId w:val="6"/>
              </w:numPr>
              <w:pBdr>
                <w:top w:val="nil"/>
                <w:left w:val="nil"/>
                <w:bottom w:val="nil"/>
                <w:right w:val="nil"/>
                <w:between w:val="nil"/>
              </w:pBdr>
              <w:spacing w:line="276" w:lineRule="auto"/>
              <w:rPr>
                <w:rFonts w:ascii="Aptos" w:eastAsia="Aptos" w:hAnsi="Aptos" w:cs="Aptos"/>
                <w:color w:val="000000"/>
                <w:sz w:val="24"/>
                <w:szCs w:val="24"/>
              </w:rPr>
            </w:pPr>
            <w:r>
              <w:rPr>
                <w:rFonts w:ascii="Aptos" w:eastAsia="Aptos" w:hAnsi="Aptos" w:cs="Aptos"/>
                <w:color w:val="000000"/>
                <w:sz w:val="24"/>
                <w:szCs w:val="24"/>
              </w:rPr>
              <w:t>Damages for losses caused</w:t>
            </w:r>
          </w:p>
          <w:p w14:paraId="22B0B664" w14:textId="77777777" w:rsidR="0082191B" w:rsidRDefault="008331D3">
            <w:pPr>
              <w:numPr>
                <w:ilvl w:val="2"/>
                <w:numId w:val="6"/>
              </w:numPr>
              <w:pBdr>
                <w:top w:val="nil"/>
                <w:left w:val="nil"/>
                <w:bottom w:val="nil"/>
                <w:right w:val="nil"/>
                <w:between w:val="nil"/>
              </w:pBdr>
              <w:spacing w:line="276" w:lineRule="auto"/>
              <w:rPr>
                <w:rFonts w:ascii="Aptos" w:eastAsia="Aptos" w:hAnsi="Aptos" w:cs="Aptos"/>
                <w:color w:val="000000"/>
                <w:sz w:val="24"/>
                <w:szCs w:val="24"/>
              </w:rPr>
            </w:pPr>
            <w:r>
              <w:rPr>
                <w:rFonts w:ascii="Aptos" w:eastAsia="Aptos" w:hAnsi="Aptos" w:cs="Aptos"/>
                <w:color w:val="000000"/>
                <w:sz w:val="24"/>
                <w:szCs w:val="24"/>
              </w:rPr>
              <w:lastRenderedPageBreak/>
              <w:t>Setting aside the concluded contract where statutory criteria are met</w:t>
            </w:r>
          </w:p>
          <w:p w14:paraId="22B0B665" w14:textId="77777777" w:rsidR="0082191B" w:rsidRDefault="0082191B">
            <w:pPr>
              <w:pBdr>
                <w:top w:val="nil"/>
                <w:left w:val="nil"/>
                <w:bottom w:val="nil"/>
                <w:right w:val="nil"/>
                <w:between w:val="nil"/>
              </w:pBdr>
              <w:spacing w:after="200" w:line="276" w:lineRule="auto"/>
              <w:ind w:left="1800"/>
              <w:rPr>
                <w:rFonts w:ascii="Aptos" w:eastAsia="Aptos" w:hAnsi="Aptos" w:cs="Aptos"/>
                <w:color w:val="000000"/>
                <w:sz w:val="24"/>
                <w:szCs w:val="24"/>
              </w:rPr>
            </w:pPr>
          </w:p>
        </w:tc>
      </w:tr>
    </w:tbl>
    <w:p w14:paraId="22B0B667" w14:textId="77777777" w:rsidR="0082191B" w:rsidRDefault="0082191B">
      <w:pPr>
        <w:rPr>
          <w:rFonts w:ascii="Aptos" w:eastAsia="Aptos" w:hAnsi="Aptos" w:cs="Aptos"/>
        </w:rPr>
      </w:pPr>
    </w:p>
    <w:p w14:paraId="22B0B668" w14:textId="77777777" w:rsidR="0082191B" w:rsidRDefault="008331D3">
      <w:pPr>
        <w:rPr>
          <w:rFonts w:ascii="Aptos" w:eastAsia="Aptos" w:hAnsi="Aptos" w:cs="Aptos"/>
        </w:rPr>
      </w:pPr>
      <w:r>
        <w:rPr>
          <w:rFonts w:ascii="Aptos" w:eastAsia="Aptos" w:hAnsi="Aptos" w:cs="Aptos"/>
        </w:rPr>
        <w:t xml:space="preserve">Not all disputes arising in a procurement context fall within the statutory procurement remedies regime. </w:t>
      </w:r>
      <w:proofErr w:type="gramStart"/>
      <w:r>
        <w:rPr>
          <w:rFonts w:ascii="Aptos" w:eastAsia="Aptos" w:hAnsi="Aptos" w:cs="Aptos"/>
        </w:rPr>
        <w:t>In particular, challenges</w:t>
      </w:r>
      <w:proofErr w:type="gramEnd"/>
      <w:r>
        <w:rPr>
          <w:rFonts w:ascii="Aptos" w:eastAsia="Aptos" w:hAnsi="Aptos" w:cs="Aptos"/>
        </w:rPr>
        <w:t xml:space="preserve"> may arise before a procurement formally commences, outside the scope of regulated procurement, or in relation to broader public law duties. In such circumstances, Judicial Review may be relevant.</w:t>
      </w:r>
    </w:p>
    <w:p w14:paraId="22B0B669" w14:textId="77777777" w:rsidR="0082191B" w:rsidRDefault="008331D3">
      <w:pPr>
        <w:rPr>
          <w:rFonts w:ascii="Aptos" w:eastAsia="Aptos" w:hAnsi="Aptos" w:cs="Aptos"/>
        </w:rPr>
      </w:pPr>
      <w:r>
        <w:rPr>
          <w:rFonts w:ascii="Aptos" w:eastAsia="Aptos" w:hAnsi="Aptos" w:cs="Aptos"/>
        </w:rPr>
        <w:t>Judicial Review occupies a residual but important role in procurement-related disputes, operating as a public law safeguard where statutory procurement remedies are unavailable or inappropriate.</w:t>
      </w:r>
    </w:p>
    <w:p w14:paraId="22B0B66A" w14:textId="77777777" w:rsidR="0082191B" w:rsidRDefault="0082191B">
      <w:pPr>
        <w:rPr>
          <w:rFonts w:ascii="Aptos" w:eastAsia="Aptos" w:hAnsi="Aptos" w:cs="Aptos"/>
        </w:rPr>
      </w:pPr>
    </w:p>
    <w:tbl>
      <w:tblPr>
        <w:tblStyle w:val="a1"/>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82191B" w14:paraId="22B0B692" w14:textId="77777777">
        <w:tc>
          <w:tcPr>
            <w:tcW w:w="8630" w:type="dxa"/>
          </w:tcPr>
          <w:p w14:paraId="22B0B66B" w14:textId="77777777" w:rsidR="0082191B" w:rsidRDefault="008331D3">
            <w:pPr>
              <w:rPr>
                <w:rFonts w:ascii="Aptos" w:eastAsia="Aptos" w:hAnsi="Aptos" w:cs="Aptos"/>
                <w:b/>
                <w:bCs/>
                <w:sz w:val="32"/>
                <w:szCs w:val="32"/>
              </w:rPr>
            </w:pPr>
            <w:r>
              <w:rPr>
                <w:rFonts w:ascii="Aptos" w:eastAsia="Aptos" w:hAnsi="Aptos" w:cs="Aptos"/>
                <w:b/>
                <w:bCs/>
                <w:sz w:val="32"/>
                <w:szCs w:val="32"/>
              </w:rPr>
              <w:t>Court Proceedings (Judicial Review)</w:t>
            </w:r>
          </w:p>
          <w:p w14:paraId="22B0B66C" w14:textId="77777777" w:rsidR="0082191B" w:rsidRDefault="0082191B">
            <w:pPr>
              <w:rPr>
                <w:rFonts w:ascii="Aptos" w:eastAsia="Aptos" w:hAnsi="Aptos" w:cs="Aptos"/>
              </w:rPr>
            </w:pPr>
          </w:p>
          <w:p w14:paraId="22B0B66D" w14:textId="77777777" w:rsidR="0082191B" w:rsidRDefault="008331D3">
            <w:pPr>
              <w:rPr>
                <w:rFonts w:ascii="Aptos" w:eastAsia="Aptos" w:hAnsi="Aptos" w:cs="Aptos"/>
              </w:rPr>
            </w:pPr>
            <w:r>
              <w:rPr>
                <w:rFonts w:ascii="Aptos" w:eastAsia="Aptos" w:hAnsi="Aptos" w:cs="Aptos"/>
                <w:b/>
                <w:bCs/>
              </w:rPr>
              <w:t>Purpose</w:t>
            </w:r>
            <w:r>
              <w:rPr>
                <w:rFonts w:ascii="Aptos" w:eastAsia="Aptos" w:hAnsi="Aptos" w:cs="Aptos"/>
              </w:rPr>
              <w:br/>
              <w:t xml:space="preserve">Judicial Review is a public law remedy used to challenge the </w:t>
            </w:r>
            <w:r>
              <w:rPr>
                <w:rFonts w:ascii="Aptos" w:eastAsia="Aptos" w:hAnsi="Aptos" w:cs="Aptos"/>
                <w:i/>
                <w:iCs/>
              </w:rPr>
              <w:t>lawfulness</w:t>
            </w:r>
            <w:r>
              <w:rPr>
                <w:rFonts w:ascii="Aptos" w:eastAsia="Aptos" w:hAnsi="Aptos" w:cs="Aptos"/>
              </w:rPr>
              <w:t xml:space="preserve"> of decisions by contracting authorities, rather than the merits of the procurement outcome.</w:t>
            </w:r>
          </w:p>
          <w:p w14:paraId="22B0B66E" w14:textId="77777777" w:rsidR="0082191B" w:rsidRDefault="008331D3">
            <w:pPr>
              <w:rPr>
                <w:rFonts w:ascii="Aptos" w:eastAsia="Aptos" w:hAnsi="Aptos" w:cs="Aptos"/>
              </w:rPr>
            </w:pPr>
            <w:r>
              <w:rPr>
                <w:rFonts w:ascii="Aptos" w:eastAsia="Aptos" w:hAnsi="Aptos" w:cs="Aptos"/>
                <w:b/>
                <w:bCs/>
              </w:rPr>
              <w:t>When Judicial Review is Relevant</w:t>
            </w:r>
          </w:p>
          <w:p w14:paraId="22B0B66F" w14:textId="77777777" w:rsidR="0082191B" w:rsidRDefault="008331D3">
            <w:pPr>
              <w:numPr>
                <w:ilvl w:val="0"/>
                <w:numId w:val="8"/>
              </w:numPr>
              <w:rPr>
                <w:rFonts w:ascii="Aptos" w:eastAsia="Aptos" w:hAnsi="Aptos" w:cs="Aptos"/>
              </w:rPr>
            </w:pPr>
            <w:r>
              <w:rPr>
                <w:rFonts w:ascii="Aptos" w:eastAsia="Aptos" w:hAnsi="Aptos" w:cs="Aptos"/>
              </w:rPr>
              <w:t xml:space="preserve">Where the claim </w:t>
            </w:r>
            <w:r>
              <w:rPr>
                <w:rFonts w:ascii="Aptos" w:eastAsia="Aptos" w:hAnsi="Aptos" w:cs="Aptos"/>
                <w:b/>
                <w:bCs/>
              </w:rPr>
              <w:t>does not fall within the statutory procurement remedies regime</w:t>
            </w:r>
            <w:r>
              <w:rPr>
                <w:rFonts w:ascii="Aptos" w:eastAsia="Aptos" w:hAnsi="Aptos" w:cs="Aptos"/>
              </w:rPr>
              <w:t>, or</w:t>
            </w:r>
          </w:p>
          <w:p w14:paraId="22B0B670" w14:textId="77777777" w:rsidR="0082191B" w:rsidRDefault="008331D3">
            <w:pPr>
              <w:numPr>
                <w:ilvl w:val="0"/>
                <w:numId w:val="8"/>
              </w:numPr>
              <w:rPr>
                <w:rFonts w:ascii="Aptos" w:eastAsia="Aptos" w:hAnsi="Aptos" w:cs="Aptos"/>
              </w:rPr>
            </w:pPr>
            <w:r>
              <w:rPr>
                <w:rFonts w:ascii="Aptos" w:eastAsia="Aptos" w:hAnsi="Aptos" w:cs="Aptos"/>
              </w:rPr>
              <w:t xml:space="preserve">Where the challenge concerns: </w:t>
            </w:r>
          </w:p>
          <w:p w14:paraId="22B0B671" w14:textId="77777777" w:rsidR="0082191B" w:rsidRDefault="008331D3">
            <w:pPr>
              <w:numPr>
                <w:ilvl w:val="1"/>
                <w:numId w:val="8"/>
              </w:numPr>
              <w:rPr>
                <w:rFonts w:ascii="Aptos" w:eastAsia="Aptos" w:hAnsi="Aptos" w:cs="Aptos"/>
              </w:rPr>
            </w:pPr>
            <w:r>
              <w:rPr>
                <w:rFonts w:ascii="Aptos" w:eastAsia="Aptos" w:hAnsi="Aptos" w:cs="Aptos"/>
              </w:rPr>
              <w:t>Policy decisions prior to the commencement of a procurement</w:t>
            </w:r>
          </w:p>
          <w:p w14:paraId="22B0B672" w14:textId="77777777" w:rsidR="0082191B" w:rsidRDefault="008331D3">
            <w:pPr>
              <w:numPr>
                <w:ilvl w:val="1"/>
                <w:numId w:val="8"/>
              </w:numPr>
              <w:rPr>
                <w:rFonts w:ascii="Aptos" w:eastAsia="Aptos" w:hAnsi="Aptos" w:cs="Aptos"/>
              </w:rPr>
            </w:pPr>
            <w:r>
              <w:rPr>
                <w:rFonts w:ascii="Aptos" w:eastAsia="Aptos" w:hAnsi="Aptos" w:cs="Aptos"/>
              </w:rPr>
              <w:t>Decisions excluded from the procurement remedies regime</w:t>
            </w:r>
          </w:p>
          <w:p w14:paraId="22B0B673" w14:textId="77777777" w:rsidR="0082191B" w:rsidRDefault="008331D3">
            <w:pPr>
              <w:numPr>
                <w:ilvl w:val="1"/>
                <w:numId w:val="8"/>
              </w:numPr>
              <w:rPr>
                <w:rFonts w:ascii="Aptos" w:eastAsia="Aptos" w:hAnsi="Aptos" w:cs="Aptos"/>
              </w:rPr>
            </w:pPr>
            <w:r>
              <w:rPr>
                <w:rFonts w:ascii="Aptos" w:eastAsia="Aptos" w:hAnsi="Aptos" w:cs="Aptos"/>
              </w:rPr>
              <w:t>Failures to exercise statutory duties (e.g. transparency, equal treatment)</w:t>
            </w:r>
          </w:p>
          <w:p w14:paraId="22B0B674" w14:textId="77777777" w:rsidR="0082191B" w:rsidRDefault="008331D3">
            <w:pPr>
              <w:numPr>
                <w:ilvl w:val="0"/>
                <w:numId w:val="8"/>
              </w:numPr>
              <w:rPr>
                <w:rFonts w:ascii="Aptos" w:eastAsia="Aptos" w:hAnsi="Aptos" w:cs="Aptos"/>
              </w:rPr>
            </w:pPr>
            <w:r>
              <w:rPr>
                <w:rFonts w:ascii="Aptos" w:eastAsia="Aptos" w:hAnsi="Aptos" w:cs="Aptos"/>
              </w:rPr>
              <w:t xml:space="preserve">Commonly used where: </w:t>
            </w:r>
          </w:p>
          <w:p w14:paraId="22B0B675" w14:textId="77777777" w:rsidR="0082191B" w:rsidRDefault="008331D3">
            <w:pPr>
              <w:numPr>
                <w:ilvl w:val="1"/>
                <w:numId w:val="8"/>
              </w:numPr>
              <w:rPr>
                <w:rFonts w:ascii="Aptos" w:eastAsia="Aptos" w:hAnsi="Aptos" w:cs="Aptos"/>
              </w:rPr>
            </w:pPr>
            <w:r>
              <w:rPr>
                <w:rFonts w:ascii="Aptos" w:eastAsia="Aptos" w:hAnsi="Aptos" w:cs="Aptos"/>
              </w:rPr>
              <w:t>No procurement “decision” has yet been taken</w:t>
            </w:r>
          </w:p>
          <w:p w14:paraId="22B0B676" w14:textId="77777777" w:rsidR="0082191B" w:rsidRDefault="008331D3">
            <w:pPr>
              <w:numPr>
                <w:ilvl w:val="1"/>
                <w:numId w:val="8"/>
              </w:numPr>
              <w:rPr>
                <w:rFonts w:ascii="Aptos" w:eastAsia="Aptos" w:hAnsi="Aptos" w:cs="Aptos"/>
              </w:rPr>
            </w:pPr>
            <w:r>
              <w:rPr>
                <w:rFonts w:ascii="Aptos" w:eastAsia="Aptos" w:hAnsi="Aptos" w:cs="Aptos"/>
              </w:rPr>
              <w:t>A claimant lacks standing under procurement legislation</w:t>
            </w:r>
          </w:p>
          <w:p w14:paraId="22B0B677" w14:textId="77777777" w:rsidR="0082191B" w:rsidRDefault="008331D3">
            <w:pPr>
              <w:numPr>
                <w:ilvl w:val="1"/>
                <w:numId w:val="8"/>
              </w:numPr>
              <w:rPr>
                <w:rFonts w:ascii="Aptos" w:eastAsia="Aptos" w:hAnsi="Aptos" w:cs="Aptos"/>
              </w:rPr>
            </w:pPr>
            <w:r>
              <w:rPr>
                <w:rFonts w:ascii="Aptos" w:eastAsia="Aptos" w:hAnsi="Aptos" w:cs="Aptos"/>
              </w:rPr>
              <w:t>Time limits for procurement claims have expired</w:t>
            </w:r>
          </w:p>
          <w:p w14:paraId="22B0B678" w14:textId="77777777" w:rsidR="0082191B" w:rsidRDefault="008331D3">
            <w:pPr>
              <w:rPr>
                <w:rFonts w:ascii="Aptos" w:eastAsia="Aptos" w:hAnsi="Aptos" w:cs="Aptos"/>
              </w:rPr>
            </w:pPr>
            <w:r>
              <w:rPr>
                <w:rFonts w:ascii="Aptos" w:eastAsia="Aptos" w:hAnsi="Aptos" w:cs="Aptos"/>
                <w:b/>
                <w:bCs/>
              </w:rPr>
              <w:t>Key Distinction from Procurement Proceedings</w:t>
            </w:r>
          </w:p>
          <w:p w14:paraId="22B0B679" w14:textId="77777777" w:rsidR="0082191B" w:rsidRDefault="008331D3">
            <w:pPr>
              <w:numPr>
                <w:ilvl w:val="0"/>
                <w:numId w:val="9"/>
              </w:numPr>
              <w:rPr>
                <w:rFonts w:ascii="Aptos" w:eastAsia="Aptos" w:hAnsi="Aptos" w:cs="Aptos"/>
              </w:rPr>
            </w:pPr>
            <w:r>
              <w:rPr>
                <w:rFonts w:ascii="Aptos" w:eastAsia="Aptos" w:hAnsi="Aptos" w:cs="Aptos"/>
              </w:rPr>
              <w:t xml:space="preserve">Judicial Review focuses on: </w:t>
            </w:r>
          </w:p>
          <w:p w14:paraId="22B0B67A" w14:textId="77777777" w:rsidR="0082191B" w:rsidRDefault="008331D3">
            <w:pPr>
              <w:numPr>
                <w:ilvl w:val="1"/>
                <w:numId w:val="9"/>
              </w:numPr>
              <w:rPr>
                <w:rFonts w:ascii="Aptos" w:eastAsia="Aptos" w:hAnsi="Aptos" w:cs="Aptos"/>
              </w:rPr>
            </w:pPr>
            <w:r>
              <w:rPr>
                <w:rFonts w:ascii="Aptos" w:eastAsia="Aptos" w:hAnsi="Aptos" w:cs="Aptos"/>
              </w:rPr>
              <w:t>Lawfulness</w:t>
            </w:r>
          </w:p>
          <w:p w14:paraId="22B0B67B" w14:textId="77777777" w:rsidR="0082191B" w:rsidRDefault="008331D3">
            <w:pPr>
              <w:numPr>
                <w:ilvl w:val="1"/>
                <w:numId w:val="9"/>
              </w:numPr>
              <w:rPr>
                <w:rFonts w:ascii="Aptos" w:eastAsia="Aptos" w:hAnsi="Aptos" w:cs="Aptos"/>
              </w:rPr>
            </w:pPr>
            <w:r>
              <w:rPr>
                <w:rFonts w:ascii="Aptos" w:eastAsia="Aptos" w:hAnsi="Aptos" w:cs="Aptos"/>
              </w:rPr>
              <w:t>Rationality</w:t>
            </w:r>
          </w:p>
          <w:p w14:paraId="22B0B67C" w14:textId="77777777" w:rsidR="0082191B" w:rsidRDefault="008331D3">
            <w:pPr>
              <w:numPr>
                <w:ilvl w:val="1"/>
                <w:numId w:val="9"/>
              </w:numPr>
              <w:rPr>
                <w:rFonts w:ascii="Aptos" w:eastAsia="Aptos" w:hAnsi="Aptos" w:cs="Aptos"/>
              </w:rPr>
            </w:pPr>
            <w:r>
              <w:rPr>
                <w:rFonts w:ascii="Aptos" w:eastAsia="Aptos" w:hAnsi="Aptos" w:cs="Aptos"/>
              </w:rPr>
              <w:t>Procedural fairness</w:t>
            </w:r>
          </w:p>
          <w:p w14:paraId="22B0B67D" w14:textId="77777777" w:rsidR="0082191B" w:rsidRDefault="008331D3">
            <w:pPr>
              <w:numPr>
                <w:ilvl w:val="0"/>
                <w:numId w:val="9"/>
              </w:numPr>
              <w:rPr>
                <w:rFonts w:ascii="Aptos" w:eastAsia="Aptos" w:hAnsi="Aptos" w:cs="Aptos"/>
              </w:rPr>
            </w:pPr>
            <w:r>
              <w:rPr>
                <w:rFonts w:ascii="Aptos" w:eastAsia="Aptos" w:hAnsi="Aptos" w:cs="Aptos"/>
              </w:rPr>
              <w:t xml:space="preserve">It </w:t>
            </w:r>
            <w:r>
              <w:rPr>
                <w:rFonts w:ascii="Aptos" w:eastAsia="Aptos" w:hAnsi="Aptos" w:cs="Aptos"/>
                <w:b/>
                <w:bCs/>
              </w:rPr>
              <w:t>does not involve re-scoring bids or substituting the court’s judgment</w:t>
            </w:r>
            <w:r>
              <w:rPr>
                <w:rFonts w:ascii="Aptos" w:eastAsia="Aptos" w:hAnsi="Aptos" w:cs="Aptos"/>
              </w:rPr>
              <w:t xml:space="preserve"> for that of the authority.</w:t>
            </w:r>
          </w:p>
          <w:p w14:paraId="22B0B67E" w14:textId="77777777" w:rsidR="0082191B" w:rsidRDefault="008331D3">
            <w:pPr>
              <w:rPr>
                <w:rFonts w:ascii="Aptos" w:eastAsia="Aptos" w:hAnsi="Aptos" w:cs="Aptos"/>
              </w:rPr>
            </w:pPr>
            <w:r>
              <w:rPr>
                <w:rFonts w:ascii="Aptos" w:eastAsia="Aptos" w:hAnsi="Aptos" w:cs="Aptos"/>
                <w:b/>
                <w:bCs/>
              </w:rPr>
              <w:t>Typical Grounds in Procurement-Related JR</w:t>
            </w:r>
          </w:p>
          <w:p w14:paraId="22B0B67F" w14:textId="77777777" w:rsidR="0082191B" w:rsidRDefault="008331D3">
            <w:pPr>
              <w:numPr>
                <w:ilvl w:val="0"/>
                <w:numId w:val="10"/>
              </w:numPr>
              <w:rPr>
                <w:rFonts w:ascii="Aptos" w:eastAsia="Aptos" w:hAnsi="Aptos" w:cs="Aptos"/>
              </w:rPr>
            </w:pPr>
            <w:r>
              <w:rPr>
                <w:rFonts w:ascii="Aptos" w:eastAsia="Aptos" w:hAnsi="Aptos" w:cs="Aptos"/>
              </w:rPr>
              <w:t>Illegality (acting outside statutory powers)</w:t>
            </w:r>
          </w:p>
          <w:p w14:paraId="22B0B680" w14:textId="77777777" w:rsidR="0082191B" w:rsidRDefault="008331D3">
            <w:pPr>
              <w:numPr>
                <w:ilvl w:val="0"/>
                <w:numId w:val="10"/>
              </w:numPr>
              <w:rPr>
                <w:rFonts w:ascii="Aptos" w:eastAsia="Aptos" w:hAnsi="Aptos" w:cs="Aptos"/>
              </w:rPr>
            </w:pPr>
            <w:r>
              <w:rPr>
                <w:rFonts w:ascii="Aptos" w:eastAsia="Aptos" w:hAnsi="Aptos" w:cs="Aptos"/>
              </w:rPr>
              <w:t>Procedural unfairness or breach of natural justice</w:t>
            </w:r>
          </w:p>
          <w:p w14:paraId="22B0B681" w14:textId="77777777" w:rsidR="0082191B" w:rsidRDefault="008331D3">
            <w:pPr>
              <w:numPr>
                <w:ilvl w:val="0"/>
                <w:numId w:val="10"/>
              </w:numPr>
              <w:rPr>
                <w:rFonts w:ascii="Aptos" w:eastAsia="Aptos" w:hAnsi="Aptos" w:cs="Aptos"/>
              </w:rPr>
            </w:pPr>
            <w:r>
              <w:rPr>
                <w:rFonts w:ascii="Aptos" w:eastAsia="Aptos" w:hAnsi="Aptos" w:cs="Aptos"/>
              </w:rPr>
              <w:t>Failure to take relevant considerations into account</w:t>
            </w:r>
          </w:p>
          <w:p w14:paraId="22B0B682" w14:textId="77777777" w:rsidR="0082191B" w:rsidRDefault="008331D3">
            <w:pPr>
              <w:numPr>
                <w:ilvl w:val="0"/>
                <w:numId w:val="10"/>
              </w:numPr>
              <w:rPr>
                <w:rFonts w:ascii="Aptos" w:eastAsia="Aptos" w:hAnsi="Aptos" w:cs="Aptos"/>
              </w:rPr>
            </w:pPr>
            <w:r>
              <w:rPr>
                <w:rFonts w:ascii="Aptos" w:eastAsia="Aptos" w:hAnsi="Aptos" w:cs="Aptos"/>
              </w:rPr>
              <w:t>Irrational or manifestly unreasonable decisions</w:t>
            </w:r>
          </w:p>
          <w:p w14:paraId="22B0B683" w14:textId="77777777" w:rsidR="0082191B" w:rsidRDefault="008331D3">
            <w:pPr>
              <w:numPr>
                <w:ilvl w:val="0"/>
                <w:numId w:val="10"/>
              </w:numPr>
              <w:rPr>
                <w:rFonts w:ascii="Aptos" w:eastAsia="Aptos" w:hAnsi="Aptos" w:cs="Aptos"/>
              </w:rPr>
            </w:pPr>
            <w:r>
              <w:rPr>
                <w:rFonts w:ascii="Aptos" w:eastAsia="Aptos" w:hAnsi="Aptos" w:cs="Aptos"/>
              </w:rPr>
              <w:t>Legitimate expectation (e.g. deviation from published policy or guidance)</w:t>
            </w:r>
          </w:p>
          <w:p w14:paraId="22B0B684" w14:textId="77777777" w:rsidR="0082191B" w:rsidRDefault="008331D3">
            <w:pPr>
              <w:rPr>
                <w:rFonts w:ascii="Aptos" w:eastAsia="Aptos" w:hAnsi="Aptos" w:cs="Aptos"/>
              </w:rPr>
            </w:pPr>
            <w:r>
              <w:rPr>
                <w:rFonts w:ascii="Aptos" w:eastAsia="Aptos" w:hAnsi="Aptos" w:cs="Aptos"/>
                <w:b/>
                <w:bCs/>
              </w:rPr>
              <w:lastRenderedPageBreak/>
              <w:t>Procedural Characteristics</w:t>
            </w:r>
          </w:p>
          <w:p w14:paraId="22B0B685" w14:textId="77777777" w:rsidR="0082191B" w:rsidRDefault="008331D3">
            <w:pPr>
              <w:numPr>
                <w:ilvl w:val="0"/>
                <w:numId w:val="11"/>
              </w:numPr>
              <w:rPr>
                <w:rFonts w:ascii="Aptos" w:eastAsia="Aptos" w:hAnsi="Aptos" w:cs="Aptos"/>
              </w:rPr>
            </w:pPr>
            <w:r>
              <w:rPr>
                <w:rFonts w:ascii="Aptos" w:eastAsia="Aptos" w:hAnsi="Aptos" w:cs="Aptos"/>
              </w:rPr>
              <w:t>Permission stage required before the claim proceeds</w:t>
            </w:r>
          </w:p>
          <w:p w14:paraId="22B0B686" w14:textId="77777777" w:rsidR="0082191B" w:rsidRDefault="008331D3">
            <w:pPr>
              <w:numPr>
                <w:ilvl w:val="0"/>
                <w:numId w:val="11"/>
              </w:numPr>
              <w:rPr>
                <w:rFonts w:ascii="Aptos" w:eastAsia="Aptos" w:hAnsi="Aptos" w:cs="Aptos"/>
              </w:rPr>
            </w:pPr>
            <w:r>
              <w:rPr>
                <w:rFonts w:ascii="Aptos" w:eastAsia="Aptos" w:hAnsi="Aptos" w:cs="Aptos"/>
              </w:rPr>
              <w:t>Strict promptness requirement (and generally within 3 months)</w:t>
            </w:r>
          </w:p>
          <w:p w14:paraId="22B0B687" w14:textId="77777777" w:rsidR="0082191B" w:rsidRDefault="008331D3">
            <w:pPr>
              <w:numPr>
                <w:ilvl w:val="0"/>
                <w:numId w:val="11"/>
              </w:numPr>
              <w:rPr>
                <w:rFonts w:ascii="Aptos" w:eastAsia="Aptos" w:hAnsi="Aptos" w:cs="Aptos"/>
              </w:rPr>
            </w:pPr>
            <w:r>
              <w:rPr>
                <w:rFonts w:ascii="Aptos" w:eastAsia="Aptos" w:hAnsi="Aptos" w:cs="Aptos"/>
              </w:rPr>
              <w:t>Interim relief may be sought where urgency requires</w:t>
            </w:r>
          </w:p>
          <w:p w14:paraId="22B0B688" w14:textId="77777777" w:rsidR="0082191B" w:rsidRDefault="008331D3">
            <w:pPr>
              <w:numPr>
                <w:ilvl w:val="0"/>
                <w:numId w:val="11"/>
              </w:numPr>
              <w:rPr>
                <w:rFonts w:ascii="Aptos" w:eastAsia="Aptos" w:hAnsi="Aptos" w:cs="Aptos"/>
              </w:rPr>
            </w:pPr>
            <w:r>
              <w:rPr>
                <w:rFonts w:ascii="Aptos" w:eastAsia="Aptos" w:hAnsi="Aptos" w:cs="Aptos"/>
              </w:rPr>
              <w:t xml:space="preserve">Remedies are discretionary and include: </w:t>
            </w:r>
          </w:p>
          <w:p w14:paraId="22B0B689" w14:textId="77777777" w:rsidR="0082191B" w:rsidRDefault="008331D3">
            <w:pPr>
              <w:numPr>
                <w:ilvl w:val="1"/>
                <w:numId w:val="11"/>
              </w:numPr>
              <w:rPr>
                <w:rFonts w:ascii="Aptos" w:eastAsia="Aptos" w:hAnsi="Aptos" w:cs="Aptos"/>
              </w:rPr>
            </w:pPr>
            <w:r>
              <w:rPr>
                <w:rFonts w:ascii="Aptos" w:eastAsia="Aptos" w:hAnsi="Aptos" w:cs="Aptos"/>
              </w:rPr>
              <w:t>Quashing orders</w:t>
            </w:r>
          </w:p>
          <w:p w14:paraId="22B0B68A" w14:textId="77777777" w:rsidR="0082191B" w:rsidRDefault="008331D3">
            <w:pPr>
              <w:numPr>
                <w:ilvl w:val="1"/>
                <w:numId w:val="11"/>
              </w:numPr>
              <w:rPr>
                <w:rFonts w:ascii="Aptos" w:eastAsia="Aptos" w:hAnsi="Aptos" w:cs="Aptos"/>
              </w:rPr>
            </w:pPr>
            <w:r>
              <w:rPr>
                <w:rFonts w:ascii="Aptos" w:eastAsia="Aptos" w:hAnsi="Aptos" w:cs="Aptos"/>
              </w:rPr>
              <w:t>Mandatory or prohibiting orders</w:t>
            </w:r>
          </w:p>
          <w:p w14:paraId="22B0B68B" w14:textId="77777777" w:rsidR="0082191B" w:rsidRDefault="008331D3">
            <w:pPr>
              <w:numPr>
                <w:ilvl w:val="1"/>
                <w:numId w:val="11"/>
              </w:numPr>
              <w:rPr>
                <w:rFonts w:ascii="Aptos" w:eastAsia="Aptos" w:hAnsi="Aptos" w:cs="Aptos"/>
              </w:rPr>
            </w:pPr>
            <w:r>
              <w:rPr>
                <w:rFonts w:ascii="Aptos" w:eastAsia="Aptos" w:hAnsi="Aptos" w:cs="Aptos"/>
              </w:rPr>
              <w:t>Declarations</w:t>
            </w:r>
          </w:p>
          <w:p w14:paraId="22B0B68C" w14:textId="77777777" w:rsidR="0082191B" w:rsidRDefault="008331D3">
            <w:pPr>
              <w:rPr>
                <w:rFonts w:ascii="Aptos" w:eastAsia="Aptos" w:hAnsi="Aptos" w:cs="Aptos"/>
              </w:rPr>
            </w:pPr>
            <w:r>
              <w:rPr>
                <w:rFonts w:ascii="Aptos" w:eastAsia="Aptos" w:hAnsi="Aptos" w:cs="Aptos"/>
                <w:b/>
                <w:bCs/>
              </w:rPr>
              <w:t>Relationship with Procurement Remedies</w:t>
            </w:r>
          </w:p>
          <w:p w14:paraId="22B0B68D" w14:textId="77777777" w:rsidR="0082191B" w:rsidRDefault="008331D3">
            <w:pPr>
              <w:numPr>
                <w:ilvl w:val="0"/>
                <w:numId w:val="12"/>
              </w:numPr>
              <w:rPr>
                <w:rFonts w:ascii="Aptos" w:eastAsia="Aptos" w:hAnsi="Aptos" w:cs="Aptos"/>
              </w:rPr>
            </w:pPr>
            <w:r>
              <w:rPr>
                <w:rFonts w:ascii="Aptos" w:eastAsia="Aptos" w:hAnsi="Aptos" w:cs="Aptos"/>
              </w:rPr>
              <w:t xml:space="preserve">Courts will generally expect claimants to use </w:t>
            </w:r>
            <w:r>
              <w:rPr>
                <w:rFonts w:ascii="Aptos" w:eastAsia="Aptos" w:hAnsi="Aptos" w:cs="Aptos"/>
                <w:b/>
                <w:bCs/>
              </w:rPr>
              <w:t>statutory procurement remedies</w:t>
            </w:r>
            <w:r>
              <w:rPr>
                <w:rFonts w:ascii="Aptos" w:eastAsia="Aptos" w:hAnsi="Aptos" w:cs="Aptos"/>
              </w:rPr>
              <w:t xml:space="preserve"> where available</w:t>
            </w:r>
          </w:p>
          <w:p w14:paraId="22B0B68E" w14:textId="77777777" w:rsidR="0082191B" w:rsidRDefault="008331D3">
            <w:pPr>
              <w:numPr>
                <w:ilvl w:val="0"/>
                <w:numId w:val="12"/>
              </w:numPr>
              <w:rPr>
                <w:rFonts w:ascii="Aptos" w:eastAsia="Aptos" w:hAnsi="Aptos" w:cs="Aptos"/>
              </w:rPr>
            </w:pPr>
            <w:r>
              <w:rPr>
                <w:rFonts w:ascii="Aptos" w:eastAsia="Aptos" w:hAnsi="Aptos" w:cs="Aptos"/>
              </w:rPr>
              <w:t xml:space="preserve">Judicial Review is treated as a </w:t>
            </w:r>
            <w:r>
              <w:rPr>
                <w:rFonts w:ascii="Aptos" w:eastAsia="Aptos" w:hAnsi="Aptos" w:cs="Aptos"/>
                <w:b/>
                <w:bCs/>
              </w:rPr>
              <w:t>remedy of last resort</w:t>
            </w:r>
            <w:r>
              <w:rPr>
                <w:rFonts w:ascii="Aptos" w:eastAsia="Aptos" w:hAnsi="Aptos" w:cs="Aptos"/>
              </w:rPr>
              <w:t xml:space="preserve"> in procurement contexts</w:t>
            </w:r>
          </w:p>
          <w:p w14:paraId="22B0B68F" w14:textId="77777777" w:rsidR="0082191B" w:rsidRDefault="008331D3">
            <w:pPr>
              <w:rPr>
                <w:rFonts w:ascii="Aptos" w:eastAsia="Aptos" w:hAnsi="Aptos" w:cs="Aptos"/>
              </w:rPr>
            </w:pPr>
            <w:r>
              <w:rPr>
                <w:rFonts w:ascii="Aptos" w:eastAsia="Aptos" w:hAnsi="Aptos" w:cs="Aptos"/>
                <w:b/>
                <w:bCs/>
              </w:rPr>
              <w:t>Guidance</w:t>
            </w:r>
          </w:p>
          <w:p w14:paraId="22B0B690" w14:textId="77777777" w:rsidR="0082191B" w:rsidRDefault="008331D3">
            <w:pPr>
              <w:numPr>
                <w:ilvl w:val="0"/>
                <w:numId w:val="13"/>
              </w:numPr>
              <w:rPr>
                <w:rFonts w:ascii="Aptos" w:eastAsia="Aptos" w:hAnsi="Aptos" w:cs="Aptos"/>
              </w:rPr>
            </w:pPr>
            <w:r>
              <w:rPr>
                <w:rFonts w:ascii="Aptos" w:eastAsia="Aptos" w:hAnsi="Aptos" w:cs="Aptos"/>
              </w:rPr>
              <w:t>Administrative Court Judicial Review Guide</w:t>
            </w:r>
            <w:r>
              <w:rPr>
                <w:rFonts w:ascii="Aptos" w:eastAsia="Aptos" w:hAnsi="Aptos" w:cs="Aptos"/>
              </w:rPr>
              <w:br/>
            </w:r>
            <w:hyperlink r:id="rId14">
              <w:r>
                <w:rPr>
                  <w:rFonts w:ascii="Aptos" w:eastAsia="Aptos" w:hAnsi="Aptos" w:cs="Aptos"/>
                  <w:color w:val="0000FF"/>
                  <w:u w:val="single"/>
                </w:rPr>
                <w:t>https://www.judiciary.uk/wp-content/uploads/2022/09/Admin-Court-Judicial-Review-Guide.pdf</w:t>
              </w:r>
            </w:hyperlink>
            <w:r>
              <w:rPr>
                <w:rFonts w:ascii="Aptos" w:eastAsia="Aptos" w:hAnsi="Aptos" w:cs="Aptos"/>
              </w:rPr>
              <w:t xml:space="preserve"> </w:t>
            </w:r>
          </w:p>
          <w:p w14:paraId="22B0B691" w14:textId="77777777" w:rsidR="0082191B" w:rsidRDefault="0082191B">
            <w:pPr>
              <w:rPr>
                <w:rFonts w:ascii="Aptos" w:eastAsia="Aptos" w:hAnsi="Aptos" w:cs="Aptos"/>
                <w:b/>
                <w:bCs/>
                <w:sz w:val="24"/>
                <w:szCs w:val="24"/>
              </w:rPr>
            </w:pPr>
          </w:p>
        </w:tc>
      </w:tr>
    </w:tbl>
    <w:p w14:paraId="22B0B693" w14:textId="77777777" w:rsidR="0082191B" w:rsidRDefault="0082191B">
      <w:pPr>
        <w:rPr>
          <w:rFonts w:ascii="Aptos" w:eastAsia="Aptos" w:hAnsi="Aptos" w:cs="Aptos"/>
        </w:rPr>
      </w:pPr>
    </w:p>
    <w:p w14:paraId="22B0B694" w14:textId="77777777" w:rsidR="0082191B" w:rsidRDefault="008331D3">
      <w:pPr>
        <w:rPr>
          <w:rFonts w:ascii="Aptos" w:eastAsia="Aptos" w:hAnsi="Aptos" w:cs="Aptos"/>
        </w:rPr>
      </w:pPr>
      <w:r>
        <w:rPr>
          <w:rFonts w:ascii="Aptos" w:eastAsia="Aptos" w:hAnsi="Aptos" w:cs="Aptos"/>
        </w:rPr>
        <w:t xml:space="preserve">In addition to statutory procurement remedies and public law challenges, disputes may also arise under general principles of contract law. These claims do not challenge the lawfulness of a procurement </w:t>
      </w:r>
      <w:proofErr w:type="gramStart"/>
      <w:r>
        <w:rPr>
          <w:rFonts w:ascii="Aptos" w:eastAsia="Aptos" w:hAnsi="Aptos" w:cs="Aptos"/>
        </w:rPr>
        <w:t>decision, but</w:t>
      </w:r>
      <w:proofErr w:type="gramEnd"/>
      <w:r>
        <w:rPr>
          <w:rFonts w:ascii="Aptos" w:eastAsia="Aptos" w:hAnsi="Aptos" w:cs="Aptos"/>
        </w:rPr>
        <w:t xml:space="preserve"> instead focus on whether the contracting authority has complied with contractual obligations governing the tender process itself.</w:t>
      </w:r>
    </w:p>
    <w:p w14:paraId="22B0B695" w14:textId="77777777" w:rsidR="0082191B" w:rsidRDefault="0082191B">
      <w:pPr>
        <w:rPr>
          <w:rFonts w:ascii="Aptos" w:eastAsia="Aptos" w:hAnsi="Aptos" w:cs="Aptos"/>
        </w:rPr>
      </w:pPr>
    </w:p>
    <w:p w14:paraId="22B0B6D9" w14:textId="77777777" w:rsidR="0082191B" w:rsidRDefault="0082191B">
      <w:pPr>
        <w:rPr>
          <w:rFonts w:ascii="Aptos" w:eastAsia="Aptos" w:hAnsi="Aptos" w:cs="Aptos"/>
          <w:sz w:val="24"/>
          <w:szCs w:val="24"/>
        </w:rPr>
      </w:pPr>
    </w:p>
    <w:sectPr w:rsidR="0082191B">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1166469-9224-4D09-ADDE-F3B850A641F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45C6C35D-8CE1-4D5D-94BF-38235366CDA9}"/>
  </w:font>
  <w:font w:name="Calibri">
    <w:panose1 w:val="020F0502020204030204"/>
    <w:charset w:val="00"/>
    <w:family w:val="swiss"/>
    <w:pitch w:val="variable"/>
    <w:sig w:usb0="E4002EFF" w:usb1="C200247B" w:usb2="00000009" w:usb3="00000000" w:csb0="000001FF" w:csb1="00000000"/>
    <w:embedRegular r:id="rId3" w:fontKey="{9FC0479A-4766-44D2-AE0D-23A6F257DB25}"/>
    <w:embedBold r:id="rId4" w:fontKey="{37760C4F-7FE0-4A95-9BEF-5E3E3D224B39}"/>
    <w:embedItalic r:id="rId5" w:fontKey="{FDD028B3-168B-4EB6-8F9B-3B0363A02958}"/>
    <w:embedBoldItalic r:id="rId6" w:fontKey="{CE0785A1-1097-4BFC-AF59-FE433AA481DA}"/>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7" w:fontKey="{E9E332AD-E32E-4DE1-A09A-83E2E6B010D4}"/>
    <w:embedBold r:id="rId8" w:fontKey="{5B80A59B-1385-448E-9A48-A1E1594EAAEA}"/>
    <w:embedItalic r:id="rId9" w:fontKey="{BDA0AF2B-E641-4243-A394-F1007A8CAF4F}"/>
  </w:font>
  <w:font w:name="Cambria Math">
    <w:panose1 w:val="02040503050406030204"/>
    <w:charset w:val="00"/>
    <w:family w:val="roman"/>
    <w:pitch w:val="variable"/>
    <w:sig w:usb0="E00006FF" w:usb1="420024FF" w:usb2="02000000" w:usb3="00000000" w:csb0="0000019F" w:csb1="00000000"/>
    <w:embedRegular r:id="rId10" w:fontKey="{171DCE6D-0BAC-41C9-92D7-37DBACBAC0B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11CC"/>
    <w:multiLevelType w:val="multilevel"/>
    <w:tmpl w:val="BF92C0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97637FB"/>
    <w:multiLevelType w:val="multilevel"/>
    <w:tmpl w:val="CE0092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0DF603E"/>
    <w:multiLevelType w:val="multilevel"/>
    <w:tmpl w:val="DF100A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A3B103E"/>
    <w:multiLevelType w:val="multilevel"/>
    <w:tmpl w:val="AC42D35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6CC2545"/>
    <w:multiLevelType w:val="multilevel"/>
    <w:tmpl w:val="280CDB9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A007949"/>
    <w:multiLevelType w:val="multilevel"/>
    <w:tmpl w:val="5AC49B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795187F"/>
    <w:multiLevelType w:val="multilevel"/>
    <w:tmpl w:val="D09A452A"/>
    <w:lvl w:ilvl="0">
      <w:start w:val="1"/>
      <w:numFmt w:val="bullet"/>
      <w:lvlText w:val="o"/>
      <w:lvlJc w:val="left"/>
      <w:pPr>
        <w:ind w:left="360" w:hanging="360"/>
      </w:pPr>
      <w:rPr>
        <w:rFonts w:ascii="Courier New" w:eastAsia="Courier New" w:hAnsi="Courier New" w:cs="Courier New"/>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DDD04EB"/>
    <w:multiLevelType w:val="multilevel"/>
    <w:tmpl w:val="B9240A1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0397D69"/>
    <w:multiLevelType w:val="multilevel"/>
    <w:tmpl w:val="F2FE87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9452A8D"/>
    <w:multiLevelType w:val="multilevel"/>
    <w:tmpl w:val="425C1E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D41768D"/>
    <w:multiLevelType w:val="multilevel"/>
    <w:tmpl w:val="BCEE9D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51311B7"/>
    <w:multiLevelType w:val="multilevel"/>
    <w:tmpl w:val="A6EE7A6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A234743"/>
    <w:multiLevelType w:val="multilevel"/>
    <w:tmpl w:val="40AA12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0BA0159"/>
    <w:multiLevelType w:val="multilevel"/>
    <w:tmpl w:val="BA980F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2151CBB"/>
    <w:multiLevelType w:val="multilevel"/>
    <w:tmpl w:val="F4C270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31A27F3"/>
    <w:multiLevelType w:val="multilevel"/>
    <w:tmpl w:val="A4CEF27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656C391D"/>
    <w:multiLevelType w:val="multilevel"/>
    <w:tmpl w:val="9D80DE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6EFD22C5"/>
    <w:multiLevelType w:val="multilevel"/>
    <w:tmpl w:val="2F7E72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6F8466AD"/>
    <w:multiLevelType w:val="multilevel"/>
    <w:tmpl w:val="6A06F9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045553F"/>
    <w:multiLevelType w:val="multilevel"/>
    <w:tmpl w:val="94D6768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27711F1"/>
    <w:multiLevelType w:val="multilevel"/>
    <w:tmpl w:val="E1DC4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7C646A8C"/>
    <w:multiLevelType w:val="multilevel"/>
    <w:tmpl w:val="7032B5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7F065C73"/>
    <w:multiLevelType w:val="multilevel"/>
    <w:tmpl w:val="C832CC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85862884">
    <w:abstractNumId w:val="19"/>
  </w:num>
  <w:num w:numId="2" w16cid:durableId="1602835963">
    <w:abstractNumId w:val="7"/>
  </w:num>
  <w:num w:numId="3" w16cid:durableId="1140880263">
    <w:abstractNumId w:val="11"/>
  </w:num>
  <w:num w:numId="4" w16cid:durableId="2062318543">
    <w:abstractNumId w:val="4"/>
  </w:num>
  <w:num w:numId="5" w16cid:durableId="1386758354">
    <w:abstractNumId w:val="3"/>
  </w:num>
  <w:num w:numId="6" w16cid:durableId="54133928">
    <w:abstractNumId w:val="6"/>
  </w:num>
  <w:num w:numId="7" w16cid:durableId="811947758">
    <w:abstractNumId w:val="15"/>
  </w:num>
  <w:num w:numId="8" w16cid:durableId="34427540">
    <w:abstractNumId w:val="13"/>
  </w:num>
  <w:num w:numId="9" w16cid:durableId="1056784635">
    <w:abstractNumId w:val="16"/>
  </w:num>
  <w:num w:numId="10" w16cid:durableId="1430586506">
    <w:abstractNumId w:val="21"/>
  </w:num>
  <w:num w:numId="11" w16cid:durableId="1904875363">
    <w:abstractNumId w:val="1"/>
  </w:num>
  <w:num w:numId="12" w16cid:durableId="1829128628">
    <w:abstractNumId w:val="17"/>
  </w:num>
  <w:num w:numId="13" w16cid:durableId="1032925640">
    <w:abstractNumId w:val="2"/>
  </w:num>
  <w:num w:numId="14" w16cid:durableId="1003316471">
    <w:abstractNumId w:val="18"/>
  </w:num>
  <w:num w:numId="15" w16cid:durableId="1162162304">
    <w:abstractNumId w:val="5"/>
  </w:num>
  <w:num w:numId="16" w16cid:durableId="1374380282">
    <w:abstractNumId w:val="14"/>
  </w:num>
  <w:num w:numId="17" w16cid:durableId="70347774">
    <w:abstractNumId w:val="12"/>
  </w:num>
  <w:num w:numId="18" w16cid:durableId="1872956591">
    <w:abstractNumId w:val="20"/>
  </w:num>
  <w:num w:numId="19" w16cid:durableId="798762568">
    <w:abstractNumId w:val="9"/>
  </w:num>
  <w:num w:numId="20" w16cid:durableId="944309623">
    <w:abstractNumId w:val="22"/>
  </w:num>
  <w:num w:numId="21" w16cid:durableId="1314914673">
    <w:abstractNumId w:val="8"/>
  </w:num>
  <w:num w:numId="22" w16cid:durableId="341663757">
    <w:abstractNumId w:val="0"/>
  </w:num>
  <w:num w:numId="23" w16cid:durableId="8807031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91B"/>
    <w:rsid w:val="0001783F"/>
    <w:rsid w:val="0082191B"/>
    <w:rsid w:val="008331D3"/>
    <w:rsid w:val="00911FEA"/>
    <w:rsid w:val="00C515DA"/>
    <w:rsid w:val="00DD5B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0B617"/>
  <w15:docId w15:val="{5D1D3FC7-190F-40C5-AD4C-44F0727B5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awsociety.org.uk/topics/civil-litigation/legal-professional-privilege-guide/" TargetMode="External"/><Relationship Id="rId13" Type="http://schemas.openxmlformats.org/officeDocument/2006/relationships/hyperlink" Target="https://www.justice.gov.uk/courts/procedure-rules/civil" TargetMode="External"/><Relationship Id="rId3" Type="http://schemas.openxmlformats.org/officeDocument/2006/relationships/styles" Target="styles.xml"/><Relationship Id="rId7" Type="http://schemas.openxmlformats.org/officeDocument/2006/relationships/hyperlink" Target="https://www.mills-reeve.com/blogs/health-and-care/november-2019/confidentiality-rings-what-you-need-to-know/" TargetMode="External"/><Relationship Id="rId12" Type="http://schemas.openxmlformats.org/officeDocument/2006/relationships/hyperlink" Target="https://www.judiciary.uk/wp-content/uploads/2022/10/14.128_The_Technology_and_Construction_Court_Guide_WEB.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advicenow.org.uk/get-help/going-court/ways-resolve-dispute" TargetMode="External"/><Relationship Id="rId11" Type="http://schemas.openxmlformats.org/officeDocument/2006/relationships/hyperlink" Target="https://www.legislation.gov.uk/ukpga/2023/54/part/9"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ukmediation.net" TargetMode="External"/><Relationship Id="rId4" Type="http://schemas.openxmlformats.org/officeDocument/2006/relationships/settings" Target="settings.xml"/><Relationship Id="rId9" Type="http://schemas.openxmlformats.org/officeDocument/2006/relationships/hyperlink" Target="https://www.judiciary.uk/wp-content/uploads/2022/10/14.128_The_Technology_and_Construction_Court_Guide_WEB.pdf" TargetMode="External"/><Relationship Id="rId14" Type="http://schemas.openxmlformats.org/officeDocument/2006/relationships/hyperlink" Target="https://www.judiciary.uk/wp-content/uploads/2022/09/Admin-Court-Judicial-Review-Guide.pd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BtAG6mjOGvYo/+Cg0SaQxswwQQ==">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1079</Words>
  <Characters>6760</Characters>
  <Application>Microsoft Office Word</Application>
  <DocSecurity>0</DocSecurity>
  <Lines>177</Lines>
  <Paragraphs>126</Paragraphs>
  <ScaleCrop>false</ScaleCrop>
  <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Phil Woodhead</cp:lastModifiedBy>
  <cp:revision>4</cp:revision>
  <dcterms:created xsi:type="dcterms:W3CDTF">2026-04-16T09:10:00Z</dcterms:created>
  <dcterms:modified xsi:type="dcterms:W3CDTF">2026-04-16T09:11:00Z</dcterms:modified>
</cp:coreProperties>
</file>