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Random Forest and LSTM are complementary in this application along three axes. Information axis: Random Forest uses only instantaneous sensor values; LSTM uses a</w:t>
      </w:r>
      <w:r>
        <w:t xml:space="preserve"> </w:t>
      </w:r>
      <m:oMath>
        <m:r>
          <m:t>24</m:t>
        </m:r>
      </m:oMath>
      <w:r>
        <w:t xml:space="preserve">-hour history. Reporting both quantifies how much predictive value resides in the temporal context (here approximately</w:t>
      </w:r>
      <w:r>
        <w:t xml:space="preserve"> </w:t>
      </w:r>
      <m:oMath>
        <m:r>
          <m:t>0.034</m:t>
        </m:r>
        <m:r>
          <m:t> 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s</m:t>
        </m:r>
      </m:oMath>
      <w:r>
        <w:t xml:space="preserve"> </w:t>
      </w:r>
      <w:r>
        <w:t xml:space="preserve">of RMSE). Inference axis: Random Forest is faster (</w:t>
      </w:r>
      <m:oMath>
        <m:r>
          <m:t>4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9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), simpler to deploy, and survives gracefully when the input is a single sample; LSTM expects a window. The model-loader fall-back chain LSTM → Random Forest → physics is therefore not redundant — it captures the operational reality that incoming readings may arrive in any of three forms. Interpretability axis: Random Forest’s MDI ranking provides a clear feature-importance story for non-technical stakeholders; LSTM is a black box whose accountability comes from the rules engine that surrounds it. Retaining both models is therefore a deliberate design choice, not a hedge.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2026-05-09T17:14:33Z</dcterms:created>
  <dcterms:modified xsi:type="dcterms:W3CDTF">2026-05-09T17:14:33Z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