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E-Commerce Product Entity Resolution and Matching Platform Using Advanced Data Structures and Algorithms</w:t>
      </w:r>
    </w:p>
    <w:p>
      <w:r>
        <w:rPr>
          <w:b/>
          <w:sz w:val="28"/>
        </w:rPr>
        <w:t>Abstract</w:t>
        <w:br/>
      </w:r>
      <w:r>
        <w:t>The E-Commerce Product Entity-Resolution and Matching Platform aims to identify and group identical products listed by different sellers under varying names, descriptions, and specifications into a unified product catalog. This enables accurate product search, duplicate detection, price comparison, and better decision-making for customers. The platform will be implemented in Java by developing advanced algorithms from scratch without relying on advanced collection libraries.</w:t>
        <w:br/>
        <w:br/>
        <w:t>The project begins by analyzing the product-matching problem and selecting appropriate algorithmic strategies based on the input characteristics (CO1). Knuth-Morris-Pratt (KMP) and Rabin-Karp algorithms are used for efficient pattern matching and duplicate title detection, while Suffix Arrays improve similarity analysis between product descriptions (CO2). To resolve spelling variations and incomplete product names, the Wagner-Fischer Edit Distance algorithm based on Dynamic Programming is employed (CO3).</w:t>
        <w:br/>
        <w:br/>
        <w:t>A bipartite graph is constructed to represent seller-product relationships, and the Edmonds-Karp Maximum Flow algorithm is used to assign listings to canonical products efficiently (CO4). Since entity resolution is computationally expensive, a greedy approximation algorithm is applied to obtain near-optimal solutions for large datasets (CO5). Finally, randomized hashing accelerates duplicate detection, and parallel processing improves scalability when handling thousands of product listings simultaneously (CO6).</w:t>
        <w:br/>
        <w:br/>
        <w:t>The proposed system provides an efficient, scalable, and accurate solution for product entity resolution while demonstrating the practical application of advanced DSA-III concepts in a real-world e-commerce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