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sz w:val="48"/>
        </w:rPr>
        <w:t>A Zero-Allocation TinyML Stacking Hybrid Architecture for Real-Time Volatile Fruit Spoilage Detection on Edge Microcontrollers</w:t>
      </w:r>
    </w:p>
    <w:tbl>
      <w:tblPr>
        <w:tblW w:type="auto" w:w="0"/>
        <w:jc w:val="center"/>
        <w:tblLook w:firstColumn="1" w:firstRow="1" w:lastColumn="0" w:lastRow="0" w:noHBand="0" w:noVBand="1" w:val="04A0"/>
      </w:tblPr>
      <w:tblGrid>
        <w:gridCol w:w="3480"/>
        <w:gridCol w:w="3480"/>
        <w:gridCol w:w="3480"/>
      </w:tblGrid>
      <w:tr>
        <w:tc>
          <w:tcPr>
            <w:tcW w:type="dxa" w:w="3470"/>
            <w:tcBorders>
              <w:top w:val="none" w:sz="6" w:space="0" w:color="000000"/>
              <w:left w:val="none" w:sz="4" w:space="0" w:color="000000"/>
              <w:bottom w:val="none" w:sz="6" w:space="0" w:color="000000"/>
              <w:right w:val="none" w:sz="4" w:space="0" w:color="000000"/>
            </w:tcBorders>
          </w:tcPr>
          <w:p>
            <w:pPr>
              <w:spacing w:before="80" w:after="40" w:line="240" w:lineRule="auto"/>
              <w:jc w:val="center"/>
            </w:pPr>
            <w:r>
              <w:rPr>
                <w:rFonts w:ascii="Times New Roman" w:hAnsi="Times New Roman"/>
                <w:sz w:val="21"/>
              </w:rPr>
              <w:t>1st Shreyas P</w:t>
              <w:br/>
            </w:r>
            <w:r>
              <w:rPr>
                <w:rFonts w:ascii="Times New Roman" w:hAnsi="Times New Roman"/>
                <w:i/>
                <w:sz w:val="19"/>
              </w:rPr>
              <w:t>Department of Artificial Intelligence</w:t>
              <w:br/>
              <w:t>and Data Science</w:t>
              <w:br/>
              <w:t>KLH</w:t>
              <w:br/>
            </w:r>
            <w:r>
              <w:rPr>
                <w:rFonts w:ascii="Times New Roman" w:hAnsi="Times New Roman"/>
                <w:sz w:val="19"/>
              </w:rPr>
              <w:t>Hyderabad, India</w:t>
              <w:br/>
            </w:r>
            <w:r>
              <w:rPr>
                <w:rFonts w:ascii="Times New Roman" w:hAnsi="Times New Roman"/>
                <w:sz w:val="18"/>
              </w:rPr>
              <w:t>[email address or ORCID]</w:t>
            </w:r>
          </w:p>
        </w:tc>
        <w:tc>
          <w:tcPr>
            <w:tcW w:type="dxa" w:w="3470"/>
            <w:tcBorders>
              <w:top w:val="none" w:sz="6" w:space="0" w:color="000000"/>
              <w:left w:val="none" w:sz="4" w:space="0" w:color="000000"/>
              <w:bottom w:val="none" w:sz="6" w:space="0" w:color="000000"/>
              <w:right w:val="none" w:sz="4" w:space="0" w:color="000000"/>
            </w:tcBorders>
          </w:tcPr>
          <w:p>
            <w:pPr>
              <w:spacing w:before="80" w:after="40" w:line="240" w:lineRule="auto"/>
              <w:jc w:val="center"/>
            </w:pPr>
            <w:r>
              <w:rPr>
                <w:rFonts w:ascii="Times New Roman" w:hAnsi="Times New Roman"/>
                <w:sz w:val="21"/>
              </w:rPr>
              <w:t>2nd Ch. Karthikeya</w:t>
              <w:br/>
            </w:r>
            <w:r>
              <w:rPr>
                <w:rFonts w:ascii="Times New Roman" w:hAnsi="Times New Roman"/>
                <w:i/>
                <w:sz w:val="19"/>
              </w:rPr>
              <w:t>Department of Artificial Intelligence</w:t>
              <w:br/>
              <w:t>and Data Science</w:t>
              <w:br/>
              <w:t>KLH</w:t>
              <w:br/>
            </w:r>
            <w:r>
              <w:rPr>
                <w:rFonts w:ascii="Times New Roman" w:hAnsi="Times New Roman"/>
                <w:sz w:val="19"/>
              </w:rPr>
              <w:t>Hyderabad, India</w:t>
              <w:br/>
            </w:r>
            <w:r>
              <w:rPr>
                <w:rFonts w:ascii="Times New Roman" w:hAnsi="Times New Roman"/>
                <w:sz w:val="18"/>
              </w:rPr>
              <w:t>[email address or ORCID]</w:t>
            </w:r>
          </w:p>
        </w:tc>
        <w:tc>
          <w:tcPr>
            <w:tcW w:type="dxa" w:w="3470"/>
            <w:tcBorders>
              <w:top w:val="none" w:sz="6" w:space="0" w:color="000000"/>
              <w:left w:val="none" w:sz="4" w:space="0" w:color="000000"/>
              <w:bottom w:val="none" w:sz="6" w:space="0" w:color="000000"/>
              <w:right w:val="none" w:sz="4" w:space="0" w:color="000000"/>
            </w:tcBorders>
          </w:tcPr>
          <w:p>
            <w:pPr>
              <w:spacing w:before="80" w:after="40" w:line="240" w:lineRule="auto"/>
              <w:jc w:val="center"/>
            </w:pPr>
            <w:r>
              <w:rPr>
                <w:rFonts w:ascii="Times New Roman" w:hAnsi="Times New Roman"/>
                <w:sz w:val="21"/>
              </w:rPr>
              <w:t>3rd Abhinav S</w:t>
              <w:br/>
            </w:r>
            <w:r>
              <w:rPr>
                <w:rFonts w:ascii="Times New Roman" w:hAnsi="Times New Roman"/>
                <w:i/>
                <w:sz w:val="19"/>
              </w:rPr>
              <w:t>Department of Artificial Intelligence</w:t>
              <w:br/>
              <w:t>and Data Science</w:t>
              <w:br/>
              <w:t>KLH</w:t>
              <w:br/>
            </w:r>
            <w:r>
              <w:rPr>
                <w:rFonts w:ascii="Times New Roman" w:hAnsi="Times New Roman"/>
                <w:sz w:val="19"/>
              </w:rPr>
              <w:t>Hyderabad, India</w:t>
              <w:br/>
            </w:r>
            <w:r>
              <w:rPr>
                <w:rFonts w:ascii="Times New Roman" w:hAnsi="Times New Roman"/>
                <w:sz w:val="18"/>
              </w:rPr>
              <w:t>[email address or ORCID]</w:t>
            </w:r>
          </w:p>
        </w:tc>
      </w:tr>
      <w:tr>
        <w:tc>
          <w:tcPr>
            <w:tcW w:type="dxa" w:w="3470"/>
            <w:tcBorders>
              <w:top w:val="none" w:sz="6" w:space="0" w:color="000000"/>
              <w:left w:val="none" w:sz="4" w:space="0" w:color="000000"/>
              <w:bottom w:val="none" w:sz="6" w:space="0" w:color="000000"/>
              <w:right w:val="none" w:sz="4" w:space="0" w:color="000000"/>
            </w:tcBorders>
          </w:tcPr>
          <w:p>
            <w:pPr>
              <w:spacing w:before="80" w:after="40" w:line="240" w:lineRule="auto"/>
              <w:jc w:val="center"/>
            </w:pPr>
            <w:r>
              <w:rPr>
                <w:rFonts w:ascii="Times New Roman" w:hAnsi="Times New Roman"/>
                <w:sz w:val="21"/>
              </w:rPr>
              <w:t>4th Vasudeva</w:t>
              <w:br/>
            </w:r>
            <w:r>
              <w:rPr>
                <w:rFonts w:ascii="Times New Roman" w:hAnsi="Times New Roman"/>
                <w:i/>
                <w:sz w:val="19"/>
              </w:rPr>
              <w:t>Department of Artificial Intelligence</w:t>
              <w:br/>
              <w:t>and Data Science</w:t>
              <w:br/>
              <w:t>KLH</w:t>
              <w:br/>
            </w:r>
            <w:r>
              <w:rPr>
                <w:rFonts w:ascii="Times New Roman" w:hAnsi="Times New Roman"/>
                <w:sz w:val="19"/>
              </w:rPr>
              <w:t>Hyderabad, India</w:t>
              <w:br/>
            </w:r>
            <w:r>
              <w:rPr>
                <w:rFonts w:ascii="Times New Roman" w:hAnsi="Times New Roman"/>
                <w:sz w:val="18"/>
              </w:rPr>
              <w:t>[email address or ORCID]</w:t>
            </w:r>
          </w:p>
        </w:tc>
        <w:tc>
          <w:tcPr>
            <w:tcW w:type="dxa" w:w="3470"/>
            <w:tcBorders>
              <w:top w:val="none" w:sz="6" w:space="0" w:color="000000"/>
              <w:left w:val="none" w:sz="4" w:space="0" w:color="000000"/>
              <w:bottom w:val="none" w:sz="6" w:space="0" w:color="000000"/>
              <w:right w:val="none" w:sz="4" w:space="0" w:color="000000"/>
            </w:tcBorders>
          </w:tcPr>
          <w:p>
            <w:pPr>
              <w:spacing w:before="80" w:after="40" w:line="240" w:lineRule="auto"/>
              <w:jc w:val="center"/>
            </w:pPr>
            <w:r>
              <w:rPr>
                <w:rFonts w:ascii="Times New Roman" w:hAnsi="Times New Roman"/>
                <w:sz w:val="21"/>
              </w:rPr>
              <w:t>5th T. Harsha Vardhan</w:t>
              <w:br/>
            </w:r>
            <w:r>
              <w:rPr>
                <w:rFonts w:ascii="Times New Roman" w:hAnsi="Times New Roman"/>
                <w:i/>
                <w:sz w:val="19"/>
              </w:rPr>
              <w:t>Department of Artificial Intelligence</w:t>
              <w:br/>
              <w:t>and Data Science</w:t>
              <w:br/>
              <w:t>KLH</w:t>
              <w:br/>
            </w:r>
            <w:r>
              <w:rPr>
                <w:rFonts w:ascii="Times New Roman" w:hAnsi="Times New Roman"/>
                <w:sz w:val="19"/>
              </w:rPr>
              <w:t>Hyderabad, India</w:t>
              <w:br/>
            </w:r>
            <w:r>
              <w:rPr>
                <w:rFonts w:ascii="Times New Roman" w:hAnsi="Times New Roman"/>
                <w:sz w:val="18"/>
              </w:rPr>
              <w:t>[email address or ORCID]</w:t>
            </w:r>
          </w:p>
        </w:tc>
        <w:tc>
          <w:tcPr>
            <w:tcW w:type="dxa" w:w="3470"/>
            <w:tcBorders>
              <w:top w:val="none" w:sz="6" w:space="0" w:color="000000"/>
              <w:left w:val="none" w:sz="4" w:space="0" w:color="000000"/>
              <w:bottom w:val="none" w:sz="6" w:space="0" w:color="000000"/>
              <w:right w:val="none" w:sz="4" w:space="0" w:color="000000"/>
            </w:tcBorders>
          </w:tcPr>
          <w:p/>
        </w:tc>
      </w:tr>
    </w:tbl>
    <w:p>
      <w:pPr>
        <w:spacing w:before="0" w:after="120"/>
      </w:pPr>
    </w:p>
    <w:p>
      <w:pPr>
        <w:sectPr>
          <w:pgSz w:w="12240" w:h="15840"/>
          <w:pgMar w:top="1080" w:right="900" w:bottom="1440" w:left="900" w:header="720" w:footer="720" w:gutter="0"/>
          <w:cols w:space="720"/>
          <w:docGrid w:linePitch="360"/>
        </w:sectPr>
      </w:pPr>
    </w:p>
    <w:p>
      <w:pPr>
        <w:spacing w:before="0" w:after="80" w:line="240" w:lineRule="auto"/>
        <w:jc w:val="both"/>
      </w:pPr>
      <w:r>
        <w:rPr>
          <w:rFonts w:ascii="Times New Roman" w:hAnsi="Times New Roman"/>
          <w:b/>
          <w:i/>
          <w:sz w:val="18"/>
        </w:rPr>
        <w:t>Abstract—</w:t>
      </w:r>
      <w:r>
        <w:rPr>
          <w:rFonts w:ascii="Times New Roman" w:hAnsi="Times New Roman"/>
          <w:b/>
          <w:sz w:val="18"/>
        </w:rPr>
        <w:t>Post-harvest food waste constitutes a critical global challenge, with approximately 30–40% of agricultural produce lost before consumption due to inadequate real-time spoilage tracking. Conventional quality assessment relying on destructive penetrometry or gas chromatography is labor-intensive, slow, and unsuitable for continuous supply chain monitoring. This paper introduces an autonomous, ultra-fast Edge-AI Electronic Nose (E-Nose) framework for non-destructive fruit freshness and spoilage classification deployed on resource-constrained edge microcontrollers. We present a multi-estimator Stacking Hybrid architecture combining shallow Random Forests, regularized Decision Trees, standardized Logistic Regression, and Gaussian Naive Bayes into an out-of-fold calibrated meta-classifier. Evaluated on a comprehensive benchmark of 69,110 time-series gas sensor observations, the proposed hybrid architecture achieves a peak holdout classification accuracy of **99.9942% ($\approx$ 99.99%)**, a weighted **F1-score of 0.9999**, and **zero false alarms (100.00% specificity)** across 17,278 holdout test samples. Under a stringent 4-fold Leave-One-Day-Out (LODO) cross-validation protocol simulating unseen post-harvest days, the system achieves **95.81% pooled accuracy** (94.70% mean day accuracy, 95% CI: [95.66%, 95.96%]) and an F1-score of **0.9580**, demonstrating resilient cross-batch generalizability. Furthermore, the model accurately flags **85.26%** of biological transition samples during the pre-symptomatic climacteric ripening peak prior to visible necrotic decay. To enable practical deployment, the continuous probability surface is compiled into an $\mathcal{O}(1)$ Flash-resident lookup representation. Real-hardware compiler verification confirms **zero bytes of dynamic heap allocation**, a sub-microsecond inference latency of **$&lt; 1.0\ \mu\text{s}$**, **22.0% program Flash usage**, and **100.00% exact numerical parity** across all 4,096 discrete 12-bit ADC states.</w:t>
      </w:r>
    </w:p>
    <w:p>
      <w:pPr>
        <w:spacing w:before="0" w:after="240" w:line="240" w:lineRule="auto"/>
        <w:jc w:val="both"/>
      </w:pPr>
      <w:r>
        <w:rPr>
          <w:rFonts w:ascii="Times New Roman" w:hAnsi="Times New Roman"/>
          <w:b/>
          <w:i/>
          <w:sz w:val="18"/>
        </w:rPr>
        <w:t>Index Terms—</w:t>
      </w:r>
      <w:r>
        <w:rPr>
          <w:rFonts w:ascii="Times New Roman" w:hAnsi="Times New Roman"/>
          <w:sz w:val="18"/>
        </w:rPr>
        <w:t>TinyML, Electronic Nose, Gas Transduction, Fruit Spoilage Detection, Stacking Classifier, Embedded Edge Computing.</w:t>
      </w:r>
    </w:p>
    <w:p>
      <w:pPr>
        <w:keepNext/>
        <w:spacing w:before="240" w:after="80"/>
        <w:jc w:val="center"/>
      </w:pPr>
      <w:r>
        <w:rPr>
          <w:rFonts w:ascii="Times New Roman" w:hAnsi="Times New Roman"/>
          <w:b/>
          <w:smallCaps/>
          <w:sz w:val="20"/>
        </w:rPr>
        <w:t>I. INTRODUCTION</w:t>
      </w:r>
    </w:p>
    <w:p>
      <w:pPr>
        <w:spacing w:before="0" w:after="80" w:line="240" w:lineRule="auto"/>
        <w:ind w:firstLine="202"/>
        <w:jc w:val="both"/>
      </w:pPr>
      <w:r>
        <w:rPr>
          <w:rFonts w:ascii="Times New Roman" w:hAnsi="Times New Roman"/>
          <w:sz w:val="20"/>
        </w:rPr>
        <w:t>Agricultural food security and supply chain sustainability are severely undermined by post-harvest loss. According to the Food and Agriculture Organization (FAO), over one-third of all perishable fruits and vegetables are discarded annually along post-harvest supply chains, cold storage facilities, and retail distribution centers [1]. Fresh fruit undergoes a continuous biochemical respiration process following harvest, leading to structural softening, moisture loss, and eventual microbiological decomposition.</w:t>
      </w:r>
    </w:p>
    <w:p>
      <w:pPr>
        <w:spacing w:before="0" w:after="80" w:line="240" w:lineRule="auto"/>
        <w:ind w:firstLine="202"/>
        <w:jc w:val="both"/>
      </w:pPr>
      <w:r>
        <w:rPr>
          <w:rFonts w:ascii="Times New Roman" w:hAnsi="Times New Roman"/>
          <w:sz w:val="20"/>
        </w:rPr>
        <w:t>Existing quality inspection approaches present fundamental trade-offs:</w:t>
      </w:r>
    </w:p>
    <w:p>
      <w:pPr>
        <w:spacing w:before="0" w:after="40" w:line="240" w:lineRule="auto"/>
        <w:ind w:left="259"/>
        <w:jc w:val="both"/>
      </w:pPr>
      <w:r>
        <w:rPr>
          <w:rFonts w:ascii="Times New Roman" w:hAnsi="Times New Roman"/>
          <w:b/>
          <w:sz w:val="19"/>
        </w:rPr>
        <w:t xml:space="preserve">1. </w:t>
      </w:r>
      <w:r>
        <w:rPr>
          <w:rFonts w:ascii="Times New Roman" w:hAnsi="Times New Roman"/>
          <w:sz w:val="19"/>
        </w:rPr>
      </w:r>
      <w:r>
        <w:rPr>
          <w:rFonts w:ascii="Times New Roman" w:hAnsi="Times New Roman"/>
          <w:b/>
          <w:sz w:val="19"/>
        </w:rPr>
        <w:t>Destructive Mechanical Testing</w:t>
      </w:r>
      <w:r>
        <w:rPr>
          <w:rFonts w:ascii="Times New Roman" w:hAnsi="Times New Roman"/>
          <w:sz w:val="19"/>
        </w:rPr>
        <w:t>: Penetrometer firmness testing and soluble solids refractometry compromise produce integrity and only sample small fractions of a batch [2].</w:t>
      </w:r>
    </w:p>
    <w:p>
      <w:pPr>
        <w:spacing w:before="0" w:after="40" w:line="240" w:lineRule="auto"/>
        <w:ind w:left="259"/>
        <w:jc w:val="both"/>
      </w:pPr>
      <w:r>
        <w:rPr>
          <w:rFonts w:ascii="Times New Roman" w:hAnsi="Times New Roman"/>
          <w:b/>
          <w:sz w:val="19"/>
        </w:rPr>
        <w:t xml:space="preserve">2. </w:t>
      </w:r>
      <w:r>
        <w:rPr>
          <w:rFonts w:ascii="Times New Roman" w:hAnsi="Times New Roman"/>
          <w:sz w:val="19"/>
        </w:rPr>
      </w:r>
      <w:r>
        <w:rPr>
          <w:rFonts w:ascii="Times New Roman" w:hAnsi="Times New Roman"/>
          <w:b/>
          <w:sz w:val="19"/>
        </w:rPr>
        <w:t>Laboratory Analytical Instrumentation</w:t>
      </w:r>
      <w:r>
        <w:rPr>
          <w:rFonts w:ascii="Times New Roman" w:hAnsi="Times New Roman"/>
          <w:sz w:val="19"/>
        </w:rPr>
        <w:t>: Gas Chromatography-Mass Spectrometry (GC-MS) provides exquisite chemical specificity but requires benchtop instrumentation, trained operators, and prohibitive analytical turnaround times [3].</w:t>
      </w:r>
    </w:p>
    <w:p>
      <w:pPr>
        <w:spacing w:before="0" w:after="40" w:line="240" w:lineRule="auto"/>
        <w:ind w:left="259"/>
        <w:jc w:val="both"/>
      </w:pPr>
      <w:r>
        <w:rPr>
          <w:rFonts w:ascii="Times New Roman" w:hAnsi="Times New Roman"/>
          <w:b/>
          <w:sz w:val="19"/>
        </w:rPr>
        <w:t xml:space="preserve">3. </w:t>
      </w:r>
      <w:r>
        <w:rPr>
          <w:rFonts w:ascii="Times New Roman" w:hAnsi="Times New Roman"/>
          <w:sz w:val="19"/>
        </w:rPr>
      </w:r>
      <w:r>
        <w:rPr>
          <w:rFonts w:ascii="Times New Roman" w:hAnsi="Times New Roman"/>
          <w:b/>
          <w:sz w:val="19"/>
        </w:rPr>
        <w:t>Computer Vision &amp; Optical Inspection</w:t>
      </w:r>
      <w:r>
        <w:rPr>
          <w:rFonts w:ascii="Times New Roman" w:hAnsi="Times New Roman"/>
          <w:sz w:val="19"/>
        </w:rPr>
        <w:t>: Machine vision systems assess surface pigmentation and fungal spots; however, visible surface discoloration represents a delayed, post-symptomatic indicator of decay that appears well after metabolic degradation has occurred [4].</w:t>
      </w:r>
    </w:p>
    <w:p>
      <w:pPr>
        <w:spacing w:before="0" w:after="80" w:line="240" w:lineRule="auto"/>
        <w:ind w:firstLine="202"/>
        <w:jc w:val="both"/>
      </w:pPr>
      <w:r>
        <w:rPr>
          <w:rFonts w:ascii="Times New Roman" w:hAnsi="Times New Roman"/>
          <w:sz w:val="20"/>
        </w:rPr>
        <w:t>Non-destructive gas sensing through Electronic Noses (E-Noses) offers an attractive alternative. During post-harvest ripening and senescence, fruits release a dynamic spectrum of volatile organic compounds (VOCs)—including ethylene, ethanol, acetate esters, acetaldehyde, and carbon dioxide—which act as early biochemical signatures of shelf-life status [5]. However, traditional machine learning models for E-Noses typically require high-power microprocessors or cloud connectivity, introducing communication latency, privacy concerns, and network dependence.</w:t>
      </w:r>
    </w:p>
    <w:p>
      <w:pPr>
        <w:spacing w:before="0" w:after="80" w:line="240" w:lineRule="auto"/>
        <w:ind w:firstLine="202"/>
        <w:jc w:val="both"/>
      </w:pPr>
      <w:r>
        <w:rPr>
          <w:rFonts w:ascii="Times New Roman" w:hAnsi="Times New Roman"/>
          <w:sz w:val="20"/>
        </w:rPr>
        <w:t>Deploying intelligent classifiers directly onto low-power edge computing devices (TinyML) solves these constraints [6]. Nonetheless, univariate and multi-sensor time-series on microcontrollers suffer from continuous sensor drift, baseline temperature dependence, and severe memory limitations. Standard embedded runtimes (e.g., TensorFlow Lite for Microcontrollers) impose significant memory arena overhead and dynamic heap fragmentation risks.</w:t>
      </w:r>
    </w:p>
    <w:p>
      <w:pPr>
        <w:spacing w:before="0" w:after="80" w:line="240" w:lineRule="auto"/>
        <w:ind w:firstLine="202"/>
        <w:jc w:val="both"/>
      </w:pPr>
      <w:r>
        <w:rPr>
          <w:rFonts w:ascii="Times New Roman" w:hAnsi="Times New Roman"/>
          <w:sz w:val="20"/>
        </w:rPr>
        <w:t>To address these challenges, this paper presents a complete, zero-runtime TinyML system architecture for non-destructive fruit freshness assessment. The major contributions of this work are as follows:</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Multi-Estimator Stacking Architecture</w:t>
      </w:r>
      <w:r>
        <w:rPr>
          <w:rFonts w:ascii="Times New Roman" w:hAnsi="Times New Roman"/>
          <w:sz w:val="19"/>
        </w:rPr>
        <w:t xml:space="preserve">: We develop an out-of-fold (OOF) cross-validated stacking meta-classifier uniting four diverse base learners (Random Forest, Decision Tree, Logistic Regression, Gaussian Naive Bayes) that achieves </w:t>
      </w:r>
      <w:r>
        <w:rPr>
          <w:rFonts w:ascii="Times New Roman" w:hAnsi="Times New Roman"/>
          <w:b/>
          <w:sz w:val="19"/>
        </w:rPr>
        <w:t>99.99% accuracy</w:t>
      </w:r>
      <w:r>
        <w:rPr>
          <w:rFonts w:ascii="Times New Roman" w:hAnsi="Times New Roman"/>
          <w:sz w:val="19"/>
        </w:rPr>
        <w:t xml:space="preserve"> and an </w:t>
      </w:r>
      <w:r>
        <w:rPr>
          <w:rFonts w:ascii="Times New Roman" w:hAnsi="Times New Roman"/>
          <w:b/>
          <w:sz w:val="19"/>
        </w:rPr>
        <w:t>F1-score of 0.9999</w:t>
      </w:r>
      <w:r>
        <w:rPr>
          <w:rFonts w:ascii="Times New Roman" w:hAnsi="Times New Roman"/>
          <w:sz w:val="19"/>
        </w:rPr>
        <w:t xml:space="preserve"> on benchmark test partitions.</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Rigorous Cross-Day Generalization Benchmark</w:t>
      </w:r>
      <w:r>
        <w:rPr>
          <w:rFonts w:ascii="Times New Roman" w:hAnsi="Times New Roman"/>
          <w:sz w:val="19"/>
        </w:rPr>
        <w:t xml:space="preserve">: We document the temporal leakage inherent in random time-series splits and establish a rigorous 4-fold Leave-One-Day-Out (LODO) validation benchmark, demonstrating that calibrated linear and thresholding models maintain </w:t>
      </w:r>
      <w:r>
        <w:rPr>
          <w:rFonts w:ascii="Times New Roman" w:hAnsi="Times New Roman"/>
          <w:b/>
          <w:sz w:val="19"/>
        </w:rPr>
        <w:t>95.81% pooled accuracy</w:t>
      </w:r>
      <w:r>
        <w:rPr>
          <w:rFonts w:ascii="Times New Roman" w:hAnsi="Times New Roman"/>
          <w:sz w:val="19"/>
        </w:rPr>
        <w:t xml:space="preserve"> across independent harvesting days.</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Pre-Symptomatic Transition Phase Detection</w:t>
      </w:r>
      <w:r>
        <w:rPr>
          <w:rFonts w:ascii="Times New Roman" w:hAnsi="Times New Roman"/>
          <w:sz w:val="19"/>
        </w:rPr>
        <w:t xml:space="preserve">: We isolate the biological climacteric ripening peak (Day 3) from binary training, demonstrating that our architecture detects biochemical volatile surges 24–48 hours before physical decomposition (achieving an </w:t>
      </w:r>
      <w:r>
        <w:rPr>
          <w:rFonts w:ascii="Times New Roman" w:hAnsi="Times New Roman"/>
          <w:b/>
          <w:sz w:val="19"/>
        </w:rPr>
        <w:t>85.26% alert rate</w:t>
      </w:r>
      <w:r>
        <w:rPr>
          <w:rFonts w:ascii="Times New Roman" w:hAnsi="Times New Roman"/>
          <w:sz w:val="19"/>
        </w:rPr>
        <w:t xml:space="preserve"> with mean $P(\text{Spoiled}) = 0.8352$).</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Zero-Allocation $\mathcal{O}(1)$ Flash Compilation</w:t>
      </w:r>
      <w:r>
        <w:rPr>
          <w:rFonts w:ascii="Times New Roman" w:hAnsi="Times New Roman"/>
          <w:sz w:val="19"/>
        </w:rPr>
        <w:t xml:space="preserve">: We transpile the complete continuous probability surface into an $\mathcal{O}(1)$ Flash-resident (`PROGMEM`) lookup table over the entire 12-bit ADC space ($0 \dots 4095$), achieving </w:t>
      </w:r>
      <w:r>
        <w:rPr>
          <w:rFonts w:ascii="Times New Roman" w:hAnsi="Times New Roman"/>
          <w:b/>
          <w:sz w:val="19"/>
        </w:rPr>
        <w:t>$&lt; 1.0\ \mu\text{s}$ latency</w:t>
      </w:r>
      <w:r>
        <w:rPr>
          <w:rFonts w:ascii="Times New Roman" w:hAnsi="Times New Roman"/>
          <w:sz w:val="19"/>
        </w:rPr>
        <w:t xml:space="preserve">, </w:t>
      </w:r>
      <w:r>
        <w:rPr>
          <w:rFonts w:ascii="Times New Roman" w:hAnsi="Times New Roman"/>
          <w:b/>
          <w:sz w:val="19"/>
        </w:rPr>
        <w:t>0 bytes dynamic heap allocation</w:t>
      </w:r>
      <w:r>
        <w:rPr>
          <w:rFonts w:ascii="Times New Roman" w:hAnsi="Times New Roman"/>
          <w:sz w:val="19"/>
        </w:rPr>
        <w:t xml:space="preserve">, and </w:t>
      </w:r>
      <w:r>
        <w:rPr>
          <w:rFonts w:ascii="Times New Roman" w:hAnsi="Times New Roman"/>
          <w:b/>
          <w:sz w:val="19"/>
        </w:rPr>
        <w:t>100.00% exact numerical parity</w:t>
      </w:r>
      <w:r>
        <w:rPr>
          <w:rFonts w:ascii="Times New Roman" w:hAnsi="Times New Roman"/>
          <w:sz w:val="19"/>
        </w:rPr>
        <w:t>.</w:t>
      </w:r>
    </w:p>
    <w:p>
      <w:pPr>
        <w:keepNext/>
        <w:spacing w:before="240" w:after="80"/>
        <w:jc w:val="center"/>
      </w:pPr>
      <w:r>
        <w:rPr>
          <w:rFonts w:ascii="Times New Roman" w:hAnsi="Times New Roman"/>
          <w:b/>
          <w:smallCaps/>
          <w:sz w:val="20"/>
        </w:rPr>
        <w:t>II. SYSTEM ARCHITECTURE &amp; TRANSDUCTION PRINCIPLES</w:t>
      </w:r>
    </w:p>
    <w:p>
      <w:pPr>
        <w:spacing w:before="0" w:after="80" w:line="240" w:lineRule="auto"/>
        <w:ind w:firstLine="202"/>
        <w:jc w:val="both"/>
      </w:pPr>
      <w:r>
        <w:rPr>
          <w:rFonts w:ascii="Times New Roman" w:hAnsi="Times New Roman"/>
          <w:sz w:val="20"/>
        </w:rPr>
        <w:t>The overall system architecture comprises a dedicated edge sensing node, an analog-to-digital signal conditioning pipeline, a zero-overhead TinyML classification engine, and multi-channel alert actuation interfaces.</w:t>
      </w:r>
    </w:p>
    <w:p>
      <w:pPr>
        <w:spacing w:before="80" w:after="120" w:line="240" w:lineRule="auto"/>
      </w:pPr>
      <w:r>
        <w:rPr>
          <w:rFonts w:ascii="Consolas" w:hAnsi="Consolas"/>
          <w:color w:val="282828"/>
          <w:sz w:val="15"/>
        </w:rPr>
        <w:t>+---------------------------------------------------------------------------------------+</w:t>
        <w:br/>
        <w:t>|                                  Edge Sensing Node                                    |</w:t>
        <w:br/>
        <w:t>|                                                                                       |</w:t>
        <w:br/>
        <w:t>|  +--------------------+         12-bit ADC Interface         +---------------------+  |</w:t>
        <w:br/>
        <w:t>|  | Broad-Spectrum     | -----------------------------------&gt; | Low-Power 32-bit    |  |</w:t>
        <w:br/>
        <w:t>|  | MOS Gas Sensor     |        Continuous Gas Telemetry      | Edge Microcontroller|  |</w:t>
        <w:br/>
        <w:t>|  +--------------------+                                      | (Dual-Core @ 240MHz)|  |</w:t>
        <w:br/>
        <w:t>|                                                              +---------------------+  |</w:t>
        <w:br/>
        <w:t>|  +--------------------+         Digital 1-Wire Channel                  |             |</w:t>
        <w:br/>
        <w:t>|  | Ambient Temp / RH  | -----------------------------------&gt; Context    | O(1) Flash  |</w:t>
        <w:br/>
        <w:t>|  | Digital Sensor     |           Environmental Log          Telemetry  | Table Fetch |</w:t>
        <w:br/>
        <w:t>|  +--------------------+                                                 v             |</w:t>
        <w:br/>
        <w:t>|                                                              +---------------------+  |</w:t>
        <w:br/>
        <w:t>|                                                              | Zero-Runtime LUT    |  |</w:t>
        <w:br/>
        <w:t>|                                                              | (Program Memory)    |  |</w:t>
        <w:br/>
        <w:t>|                                                              +---------------------+  |</w:t>
        <w:br/>
        <w:t>|                                                                         |             |</w:t>
        <w:br/>
        <w:t>|                        Actuation &amp; Alarm Interface                      |             |</w:t>
        <w:br/>
        <w:t>|       +-----------------------------------------------------------------+             |</w:t>
        <w:br/>
        <w:t>|       |                                                                               |</w:t>
        <w:br/>
        <w:t>|       v                                                                 v             |</w:t>
        <w:br/>
        <w:t>|  +--------------------+                                      +---------------------+  |</w:t>
        <w:br/>
        <w:t>|  | Alert Indicator LED|                                      | Acoustic Alarm      |  |</w:t>
        <w:br/>
        <w:t>|  | State Annunciation |                                      | Buzzer (Active-Low) |  |</w:t>
        <w:br/>
        <w:t>|  +--------------------+                                      +---------------------+  |</w:t>
        <w:br/>
        <w:t>+---------------------------------------------------------------------------------------+</w:t>
      </w:r>
    </w:p>
    <w:p>
      <w:pPr>
        <w:keepNext/>
        <w:spacing w:before="160" w:after="40"/>
        <w:jc w:val="left"/>
      </w:pPr>
      <w:r>
        <w:rPr>
          <w:rFonts w:ascii="Times New Roman" w:hAnsi="Times New Roman"/>
          <w:i/>
          <w:sz w:val="20"/>
        </w:rPr>
        <w:t>A. Metal-Oxide Semiconductor (MOS) Gas Transduction</w:t>
      </w:r>
    </w:p>
    <w:p>
      <w:pPr>
        <w:spacing w:before="0" w:after="80" w:line="240" w:lineRule="auto"/>
        <w:ind w:firstLine="202"/>
        <w:jc w:val="both"/>
      </w:pPr>
      <w:r>
        <w:rPr>
          <w:rFonts w:ascii="Times New Roman" w:hAnsi="Times New Roman"/>
          <w:sz w:val="20"/>
        </w:rPr>
        <w:t>The primary chemical transducer is a broad-spectrum metal-oxide semiconductor (MOS) gas sensor utilizing a heated tin dioxide ($\text{SnO}_2$) ceramic sensing layer. In clean ambient air, oxygen molecules adsorb onto the polycrystalline grain boundaries of the $\text{SnO}_2$ surface, trapping conduction band electrons and forming an insulating depletion barrier:</w:t>
      </w:r>
    </w:p>
    <w:p>
      <w:pPr>
        <w:spacing w:before="80" w:after="80"/>
        <w:jc w:val="center"/>
      </w:pPr>
      <w:r>
        <w:rPr>
          <w:rFonts w:ascii="Cambria Math" w:hAnsi="Cambria Math"/>
          <w:i/>
          <w:sz w:val="19"/>
        </w:rPr>
        <w:t>\text{O}_{2\text{ (gas)}} + 2e^- \longrightarrow 2\text{O}^-_{\text{(adsorbed)}}</w:t>
      </w:r>
    </w:p>
    <w:p>
      <w:pPr>
        <w:spacing w:before="0" w:after="80" w:line="240" w:lineRule="auto"/>
        <w:ind w:firstLine="202"/>
        <w:jc w:val="both"/>
      </w:pPr>
      <w:r>
        <w:rPr>
          <w:rFonts w:ascii="Times New Roman" w:hAnsi="Times New Roman"/>
          <w:sz w:val="20"/>
        </w:rPr>
        <w:t>When the sensor is exposed to reducing volatile organic compounds ($R$) emitted during fruit ripening (e.g., ethanol, ethylene, aldehydes, esters):</w:t>
      </w:r>
    </w:p>
    <w:p>
      <w:pPr>
        <w:spacing w:before="80" w:after="80"/>
        <w:jc w:val="center"/>
      </w:pPr>
      <w:r>
        <w:rPr>
          <w:rFonts w:ascii="Cambria Math" w:hAnsi="Cambria Math"/>
          <w:i/>
          <w:sz w:val="19"/>
        </w:rPr>
        <w:t>R + \text{O}^-_{\text{(adsorbed)}} \longrightarrow RO + e^-</w:t>
      </w:r>
    </w:p>
    <w:p>
      <w:pPr>
        <w:spacing w:before="0" w:after="80" w:line="240" w:lineRule="auto"/>
        <w:ind w:firstLine="202"/>
        <w:jc w:val="both"/>
      </w:pPr>
      <w:r>
        <w:rPr>
          <w:rFonts w:ascii="Times New Roman" w:hAnsi="Times New Roman"/>
          <w:sz w:val="20"/>
        </w:rPr>
        <w:t>The trapped electrons are released back into the conduction band, decreasing the sensor's surface resistance ($R_s$) in proportion to the ambient VOC concentration [7].</w:t>
      </w:r>
    </w:p>
    <w:p>
      <w:pPr>
        <w:keepNext/>
        <w:spacing w:before="160" w:after="40"/>
        <w:jc w:val="left"/>
      </w:pPr>
      <w:r>
        <w:rPr>
          <w:rFonts w:ascii="Times New Roman" w:hAnsi="Times New Roman"/>
          <w:i/>
          <w:sz w:val="20"/>
        </w:rPr>
        <w:t>B. Signal Conditioning and Quantization</w:t>
      </w:r>
    </w:p>
    <w:p>
      <w:pPr>
        <w:spacing w:before="0" w:after="80" w:line="240" w:lineRule="auto"/>
        <w:ind w:firstLine="202"/>
        <w:jc w:val="both"/>
      </w:pPr>
      <w:r>
        <w:rPr>
          <w:rFonts w:ascii="Times New Roman" w:hAnsi="Times New Roman"/>
          <w:sz w:val="20"/>
        </w:rPr>
        <w:t>The sensor resistance $R_s$ is conditioned through a load resistor $R_L$ forming a voltage divider:</w:t>
      </w:r>
    </w:p>
    <w:p>
      <w:pPr>
        <w:spacing w:before="80" w:after="80"/>
        <w:jc w:val="center"/>
      </w:pPr>
      <w:r>
        <w:rPr>
          <w:rFonts w:ascii="Cambria Math" w:hAnsi="Cambria Math"/>
          <w:i/>
          <w:sz w:val="19"/>
        </w:rPr>
        <w:t>V_{\text{out}} = V_{CC} \cdot \frac{R_L}{R_s + R_L}</w:t>
      </w:r>
    </w:p>
    <w:p>
      <w:pPr>
        <w:spacing w:before="0" w:after="80" w:line="240" w:lineRule="auto"/>
        <w:ind w:firstLine="202"/>
        <w:jc w:val="both"/>
      </w:pPr>
      <w:r>
        <w:rPr>
          <w:rFonts w:ascii="Times New Roman" w:hAnsi="Times New Roman"/>
          <w:sz w:val="20"/>
        </w:rPr>
        <w:t>The analog potential $V_{\text{out}}$ is sampled via an on-chip 12-bit successive-approximation register (SAR) Analog-to-Digital Converter (ADC) operating over $V_{\text{in}} \in [0, 3.3\text{V}]$, producing integer levels $x \in \{0, 1, \dots, 4095\}$.</w:t>
      </w:r>
    </w:p>
    <w:p>
      <w:pPr>
        <w:keepNext/>
        <w:spacing w:before="160" w:after="40"/>
        <w:jc w:val="left"/>
      </w:pPr>
      <w:r>
        <w:rPr>
          <w:rFonts w:ascii="Times New Roman" w:hAnsi="Times New Roman"/>
          <w:i/>
          <w:sz w:val="20"/>
        </w:rPr>
        <w:t>C. Environmental Context Telemetry</w:t>
      </w:r>
    </w:p>
    <w:p>
      <w:pPr>
        <w:spacing w:before="0" w:after="80" w:line="240" w:lineRule="auto"/>
        <w:ind w:firstLine="202"/>
        <w:jc w:val="both"/>
      </w:pPr>
      <w:r>
        <w:rPr>
          <w:rFonts w:ascii="Times New Roman" w:hAnsi="Times New Roman"/>
          <w:sz w:val="20"/>
        </w:rPr>
        <w:t>Ambient temperature ($T$) and relative humidity ($RH$) alter the reaction kinetics of adsorbed oxygen ions on the sensor surface. An ambient digital sensor logs environmental telemetry concurrently. To prevent uncalibrated synthetic biases, environmental readings are captured for diagnostic telemetry and logging, while the primary machine learning feature space operates directly on calibrated gas transducer values.</w:t>
      </w:r>
    </w:p>
    <w:p>
      <w:pPr>
        <w:keepNext/>
        <w:spacing w:before="240" w:after="80"/>
        <w:jc w:val="center"/>
      </w:pPr>
      <w:r>
        <w:rPr>
          <w:rFonts w:ascii="Times New Roman" w:hAnsi="Times New Roman"/>
          <w:b/>
          <w:smallCaps/>
          <w:sz w:val="20"/>
        </w:rPr>
        <w:t>III. DATASET ARCHITECTURE &amp; VOLATILE TRANSITION DYNAMICS</w:t>
      </w:r>
    </w:p>
    <w:p>
      <w:pPr>
        <w:keepNext/>
        <w:spacing w:before="160" w:after="40"/>
        <w:jc w:val="left"/>
      </w:pPr>
      <w:r>
        <w:rPr>
          <w:rFonts w:ascii="Times New Roman" w:hAnsi="Times New Roman"/>
          <w:i/>
          <w:sz w:val="20"/>
        </w:rPr>
        <w:t>A. Benchmark Ingestion and Multi-Fruit Applicability</w:t>
      </w:r>
    </w:p>
    <w:p>
      <w:pPr>
        <w:spacing w:before="0" w:after="80" w:line="240" w:lineRule="auto"/>
        <w:ind w:firstLine="202"/>
        <w:jc w:val="both"/>
      </w:pPr>
      <w:r>
        <w:rPr>
          <w:rFonts w:ascii="Times New Roman" w:hAnsi="Times New Roman"/>
          <w:sz w:val="20"/>
        </w:rPr>
        <w:t>Empirical validation is performed on the open-access *Food Freshness E-Nose Benchmark Dataset* [8] (available online at [Kaggle](https://www.kaggle.com/datasets/ahmedmohameddawoud/food-freshness-e-nose-dataset)). The dataset records continuous, high-frequency gas sensor time-series across progressive ripening cycles.</w:t>
      </w:r>
    </w:p>
    <w:p>
      <w:pPr>
        <w:spacing w:before="0" w:after="80" w:line="240" w:lineRule="auto"/>
        <w:ind w:firstLine="202"/>
        <w:jc w:val="both"/>
      </w:pPr>
      <w:r>
        <w:rPr>
          <w:rFonts w:ascii="Times New Roman" w:hAnsi="Times New Roman"/>
          <w:sz w:val="20"/>
        </w:rPr>
        <w:t>While the primary baseline is benchmarked against continuous climacteric ripening series (comprising 82,505 timestamped sensor records across five consecutive days $D_1$ through $D_5$), the underlying gas-transduction framework is commodity-agnostic. Climacteric fruits (e.g., bananas, apples, pears, mangos, tomatoes) exhibit a dramatic surge in ethylene biosynthesis accompanied by high emissions of volatile esters and alcohols during ripening, whereas non-climacteric commodities (e.g., berries, citrus) exhibit progressive volatile outgassing during senescent tissue breakdown. The proposed system is architected to process the shared biochemical signature of post-harvest volatile emissions across diverse commodities.</w:t>
      </w:r>
    </w:p>
    <w:p>
      <w:pPr>
        <w:keepNext/>
        <w:spacing w:before="160" w:after="40"/>
        <w:jc w:val="left"/>
      </w:pPr>
      <w:r>
        <w:rPr>
          <w:rFonts w:ascii="Times New Roman" w:hAnsi="Times New Roman"/>
          <w:i/>
          <w:sz w:val="20"/>
        </w:rPr>
        <w:t>B. Protocol Formulation: Exclusion of Biological Transition (Day 3)</w:t>
      </w:r>
    </w:p>
    <w:p>
      <w:pPr>
        <w:spacing w:before="0" w:after="80" w:line="240" w:lineRule="auto"/>
        <w:ind w:firstLine="202"/>
        <w:jc w:val="both"/>
      </w:pPr>
      <w:r>
        <w:rPr>
          <w:rFonts w:ascii="Times New Roman" w:hAnsi="Times New Roman"/>
          <w:sz w:val="20"/>
        </w:rPr>
        <w:t>In the source benchmark, readings are acquired sequentially across five consecutive ripening days:</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$D_1$ and $D_2$ (FRESH)</w:t>
      </w:r>
      <w:r>
        <w:rPr>
          <w:rFonts w:ascii="Times New Roman" w:hAnsi="Times New Roman"/>
          <w:sz w:val="19"/>
        </w:rPr>
        <w:t>: $N = 40,054$ observations representing edible, green to ripe states.</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$D_4$ and $D_5$ (SPOILED)</w:t>
      </w:r>
      <w:r>
        <w:rPr>
          <w:rFonts w:ascii="Times New Roman" w:hAnsi="Times New Roman"/>
          <w:sz w:val="19"/>
        </w:rPr>
        <w:t>: $N = 29,056$ observations representing advanced post-climacteric necrosis and decomposition.</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$D_3$ (TRANSITION)</w:t>
      </w:r>
      <w:r>
        <w:rPr>
          <w:rFonts w:ascii="Times New Roman" w:hAnsi="Times New Roman"/>
          <w:sz w:val="19"/>
        </w:rPr>
        <w:t>: $N = 13,395$ observations representing the climacteric ripening peak.</w:t>
      </w:r>
    </w:p>
    <w:p>
      <w:pPr>
        <w:spacing w:before="0" w:after="80" w:line="240" w:lineRule="auto"/>
        <w:ind w:firstLine="202"/>
        <w:jc w:val="both"/>
      </w:pPr>
      <w:r>
        <w:rPr>
          <w:rFonts w:ascii="Times New Roman" w:hAnsi="Times New Roman"/>
          <w:sz w:val="20"/>
        </w:rPr>
        <w:t xml:space="preserve">Forcing an artificial binary boundary across $D_3$ distorts the ground truth of clean physiological states. Therefore, as an explicit protocol design choice, $D_3$ is excluded from primary training and evaluation ($N = 69,110$ benchmark records). Instead, $D_3$ is reserved for an isolated </w:t>
      </w:r>
      <w:r>
        <w:rPr>
          <w:rFonts w:ascii="Times New Roman" w:hAnsi="Times New Roman"/>
          <w:b/>
          <w:sz w:val="20"/>
        </w:rPr>
        <w:t>transition phase analysis</w:t>
      </w:r>
      <w:r>
        <w:rPr>
          <w:rFonts w:ascii="Times New Roman" w:hAnsi="Times New Roman"/>
          <w:sz w:val="20"/>
        </w:rPr>
        <w:t xml:space="preserve"> to evaluate early-warning detection sensitivity.</w:t>
      </w:r>
    </w:p>
    <w:p>
      <w:pPr>
        <w:keepNext/>
        <w:spacing w:before="160" w:after="40"/>
        <w:jc w:val="left"/>
      </w:pPr>
      <w:r>
        <w:rPr>
          <w:rFonts w:ascii="Times New Roman" w:hAnsi="Times New Roman"/>
          <w:i/>
          <w:sz w:val="20"/>
        </w:rPr>
        <w:t>C. Visual Representation of Volatile Ripening Dynamics</w:t>
      </w:r>
    </w:p>
    <w:p>
      <w:pPr>
        <w:spacing w:before="0" w:after="80" w:line="240" w:lineRule="auto"/>
        <w:ind w:firstLine="202"/>
        <w:jc w:val="both"/>
      </w:pPr>
      <w:r>
        <w:rPr>
          <w:rFonts w:ascii="Times New Roman" w:hAnsi="Times New Roman"/>
          <w:sz w:val="20"/>
        </w:rPr>
        <w:t>The trajectory of volatile emissions over time exhibits three distinct phases, illustrated below:</w:t>
      </w:r>
    </w:p>
    <w:p>
      <w:pPr>
        <w:spacing w:before="80" w:after="120" w:line="240" w:lineRule="auto"/>
      </w:pPr>
      <w:r>
        <w:rPr>
          <w:rFonts w:ascii="Consolas" w:hAnsi="Consolas"/>
          <w:color w:val="282828"/>
          <w:sz w:val="15"/>
        </w:rPr>
        <w:t xml:space="preserve">  Volatile Gas</w:t>
        <w:br/>
        <w:t xml:space="preserve">  Response (ADC)</w:t>
        <w:br/>
        <w:t xml:space="preserve">       ^</w:t>
        <w:br/>
        <w:t xml:space="preserve">  1200 |                                                 * * * * * [STAGE 3: SPOILED]</w:t>
        <w:br/>
        <w:t xml:space="preserve">       |                                             * *           Days 4 &amp; 5 (N=29,056)</w:t>
        <w:br/>
        <w:t xml:space="preserve">  1000 |                                         * *               Continuous decay &amp; saturation</w:t>
        <w:br/>
        <w:t xml:space="preserve">       |                                     * *                   ADC range: 738 - 1200+</w:t>
        <w:br/>
        <w:t xml:space="preserve">   800 |---------------------------------- * --------------------- Threshold: ADC &gt;= 738</w:t>
        <w:br/>
        <w:t xml:space="preserve">       |                          * * * *                          [STAGE 2: TRANSITION]</w:t>
        <w:br/>
        <w:t xml:space="preserve">   600 |                      * *                                  Day 3 (N=13,395)</w:t>
        <w:br/>
        <w:t xml:space="preserve">       |      * * * * * * * *                                      Climacteric VOC surge (85.3% alert)</w:t>
        <w:br/>
        <w:t xml:space="preserve">   400 |  * * [STAGE 1: FRESH]</w:t>
        <w:br/>
        <w:t xml:space="preserve">       |      Days 1 &amp; 2 (N=40,054)</w:t>
        <w:br/>
        <w:t xml:space="preserve">       |      ADC range: 434 - 733</w:t>
        <w:br/>
        <w:t xml:space="preserve">     0 +---------------------------------------------------------&gt; Ripening Timeline</w:t>
      </w:r>
    </w:p>
    <w:p>
      <w:pPr>
        <w:keepNext/>
        <w:spacing w:before="240" w:after="80"/>
        <w:jc w:val="center"/>
      </w:pPr>
      <w:r>
        <w:rPr>
          <w:rFonts w:ascii="Times New Roman" w:hAnsi="Times New Roman"/>
          <w:b/>
          <w:smallCaps/>
          <w:sz w:val="20"/>
        </w:rPr>
        <w:t>IV. PROPOSED MULTI-ESTIMATOR STACKING HYBRID METHODOLOGY</w:t>
      </w:r>
    </w:p>
    <w:p>
      <w:pPr>
        <w:spacing w:before="0" w:after="80" w:line="240" w:lineRule="auto"/>
        <w:ind w:firstLine="202"/>
        <w:jc w:val="both"/>
      </w:pPr>
      <w:r>
        <w:rPr>
          <w:rFonts w:ascii="Times New Roman" w:hAnsi="Times New Roman"/>
          <w:sz w:val="20"/>
        </w:rPr>
        <w:t xml:space="preserve">To achieve robust classification while preventing algorithmic overfitting to sensor noise, we implement a multi-estimator </w:t>
      </w:r>
      <w:r>
        <w:rPr>
          <w:rFonts w:ascii="Times New Roman" w:hAnsi="Times New Roman"/>
          <w:b/>
          <w:sz w:val="20"/>
        </w:rPr>
        <w:t>Stacking Hybrid Classifier</w:t>
      </w:r>
      <w:r>
        <w:rPr>
          <w:rFonts w:ascii="Times New Roman" w:hAnsi="Times New Roman"/>
          <w:sz w:val="20"/>
        </w:rPr>
        <w:t xml:space="preserve"> integrating four complementary base models with a meta-learner.</w:t>
      </w:r>
    </w:p>
    <w:p>
      <w:pPr>
        <w:spacing w:before="80" w:after="120" w:line="240" w:lineRule="auto"/>
      </w:pPr>
      <w:r>
        <w:rPr>
          <w:rFonts w:ascii="Consolas" w:hAnsi="Consolas"/>
          <w:color w:val="282828"/>
          <w:sz w:val="15"/>
        </w:rPr>
        <w:t xml:space="preserve">                          Sensor ADC Reading (x)</w:t>
        <w:br/>
        <w:t xml:space="preserve">                                   |</w:t>
        <w:br/>
        <w:t xml:space="preserve">         +-----------------+-------+-------+-----------------+</w:t>
        <w:br/>
        <w:t xml:space="preserve">         |                 |               |                 |</w:t>
        <w:br/>
        <w:t xml:space="preserve">         v                 v               v                 v</w:t>
        <w:br/>
        <w:t xml:space="preserve">  +--------------+  +--------------+  +----------+  +-----------------+</w:t>
        <w:br/>
        <w:t xml:space="preserve">  |Random Forest |  |Decision Tree |  | Logistic |  | Gaussian Naive  |</w:t>
        <w:br/>
        <w:t xml:space="preserve">  |  (Bagging)   |  | (Regularized)|  |Regression|  |      Bayes      |</w:t>
        <w:br/>
        <w:t xml:space="preserve">  +--------------+  +--------------+  +----------+  +-----------------+</w:t>
        <w:br/>
        <w:t xml:space="preserve">         |                 |               |                 |</w:t>
        <w:br/>
        <w:t xml:space="preserve">      P_1(x)            P_2(x)          P_3(x)            P_4(x)</w:t>
        <w:br/>
        <w:t xml:space="preserve">         |                 |               |                 |</w:t>
        <w:br/>
        <w:t xml:space="preserve">         +-----------------+-------+-------+-----------------+</w:t>
        <w:br/>
        <w:t xml:space="preserve">                                   |</w:t>
        <w:br/>
        <w:t xml:space="preserve">                                   v</w:t>
        <w:br/>
        <w:t xml:space="preserve">             Meta-Feature Vector: [P_1(x), P_2(x), P_3(x), P_4(x)]</w:t>
        <w:br/>
        <w:t xml:space="preserve">                                   |</w:t>
        <w:br/>
        <w:t xml:space="preserve">                                   v</w:t>
        <w:br/>
        <w:t xml:space="preserve">                     +----------------------------+</w:t>
        <w:br/>
        <w:t xml:space="preserve">                     |    Logistic Regression     |</w:t>
        <w:br/>
        <w:t xml:space="preserve">                     |        Meta-Learner        |</w:t>
        <w:br/>
        <w:t xml:space="preserve">                     +----------------------------+</w:t>
        <w:br/>
        <w:t xml:space="preserve">                                   |</w:t>
        <w:br/>
        <w:t xml:space="preserve">                                   v</w:t>
        <w:br/>
        <w:t xml:space="preserve">                          P(SPOILED | x) &gt;= 0.50</w:t>
        <w:br/>
        <w:t xml:space="preserve">                                   |</w:t>
        <w:br/>
        <w:t xml:space="preserve">                       +-----------+-----------+</w:t>
        <w:br/>
        <w:t xml:space="preserve">                       |                       |</w:t>
        <w:br/>
        <w:t xml:space="preserve">                       v                       v</w:t>
        <w:br/>
        <w:t xml:space="preserve">                  SPOILED (LATE)          FRESH (EARLY)</w:t>
      </w:r>
    </w:p>
    <w:p>
      <w:pPr>
        <w:keepNext/>
        <w:spacing w:before="160" w:after="40"/>
        <w:jc w:val="left"/>
      </w:pPr>
      <w:r>
        <w:rPr>
          <w:rFonts w:ascii="Times New Roman" w:hAnsi="Times New Roman"/>
          <w:i/>
          <w:sz w:val="20"/>
        </w:rPr>
        <w:t>A. Base Estimator Suite</w:t>
      </w:r>
    </w:p>
    <w:p>
      <w:pPr>
        <w:spacing w:before="0" w:after="40" w:line="240" w:lineRule="auto"/>
        <w:ind w:left="259"/>
        <w:jc w:val="both"/>
      </w:pPr>
      <w:r>
        <w:rPr>
          <w:rFonts w:ascii="Times New Roman" w:hAnsi="Times New Roman"/>
          <w:b/>
          <w:sz w:val="19"/>
        </w:rPr>
        <w:t xml:space="preserve">1. </w:t>
      </w:r>
      <w:r>
        <w:rPr>
          <w:rFonts w:ascii="Times New Roman" w:hAnsi="Times New Roman"/>
          <w:sz w:val="19"/>
        </w:rPr>
      </w:r>
      <w:r>
        <w:rPr>
          <w:rFonts w:ascii="Times New Roman" w:hAnsi="Times New Roman"/>
          <w:b/>
          <w:sz w:val="19"/>
        </w:rPr>
        <w:t>Random Forest ($f_1$)</w:t>
      </w:r>
      <w:r>
        <w:rPr>
          <w:rFonts w:ascii="Times New Roman" w:hAnsi="Times New Roman"/>
          <w:sz w:val="19"/>
        </w:rPr>
        <w:t>: An ensemble of 5 shallow decision trees trained via bootstrap aggregation (bagging) with $\text{max\_depth} = 3$ and $\text{min\_samples\_leaf} = 5$ to constrain variance.</w:t>
      </w:r>
    </w:p>
    <w:p>
      <w:pPr>
        <w:spacing w:before="0" w:after="40" w:line="240" w:lineRule="auto"/>
        <w:ind w:left="259"/>
        <w:jc w:val="both"/>
      </w:pPr>
      <w:r>
        <w:rPr>
          <w:rFonts w:ascii="Times New Roman" w:hAnsi="Times New Roman"/>
          <w:b/>
          <w:sz w:val="19"/>
        </w:rPr>
        <w:t xml:space="preserve">2. </w:t>
      </w:r>
      <w:r>
        <w:rPr>
          <w:rFonts w:ascii="Times New Roman" w:hAnsi="Times New Roman"/>
          <w:sz w:val="19"/>
        </w:rPr>
      </w:r>
      <w:r>
        <w:rPr>
          <w:rFonts w:ascii="Times New Roman" w:hAnsi="Times New Roman"/>
          <w:b/>
          <w:sz w:val="19"/>
        </w:rPr>
        <w:t>Decision Tree ($f_2$)</w:t>
      </w:r>
      <w:r>
        <w:rPr>
          <w:rFonts w:ascii="Times New Roman" w:hAnsi="Times New Roman"/>
          <w:sz w:val="19"/>
        </w:rPr>
        <w:t>: A cost-complexity regularized tree ($\text{max\_depth} = 3$, $\text{min\_samples\_leaf} = 10$) that creates deterministic orthogonal partitions.</w:t>
      </w:r>
    </w:p>
    <w:p>
      <w:pPr>
        <w:spacing w:before="0" w:after="40" w:line="240" w:lineRule="auto"/>
        <w:ind w:left="259"/>
        <w:jc w:val="both"/>
      </w:pPr>
      <w:r>
        <w:rPr>
          <w:rFonts w:ascii="Times New Roman" w:hAnsi="Times New Roman"/>
          <w:b/>
          <w:sz w:val="19"/>
        </w:rPr>
        <w:t xml:space="preserve">3. </w:t>
      </w:r>
      <w:r>
        <w:rPr>
          <w:rFonts w:ascii="Times New Roman" w:hAnsi="Times New Roman"/>
          <w:sz w:val="19"/>
        </w:rPr>
      </w:r>
      <w:r>
        <w:rPr>
          <w:rFonts w:ascii="Times New Roman" w:hAnsi="Times New Roman"/>
          <w:b/>
          <w:sz w:val="19"/>
        </w:rPr>
        <w:t>Logistic Regression ($f_3$)</w:t>
      </w:r>
      <w:r>
        <w:rPr>
          <w:rFonts w:ascii="Times New Roman" w:hAnsi="Times New Roman"/>
          <w:sz w:val="19"/>
        </w:rPr>
        <w:t>: A linear model with $L_2$ weight regularization operating on standardized features:</w:t>
      </w:r>
    </w:p>
    <w:p>
      <w:pPr>
        <w:spacing w:before="80" w:after="80"/>
        <w:jc w:val="center"/>
      </w:pPr>
      <w:r>
        <w:rPr>
          <w:rFonts w:ascii="Cambria Math" w:hAnsi="Cambria Math"/>
          <w:i/>
          <w:sz w:val="19"/>
        </w:rPr>
        <w:t>P_{\text{LR}}(y=1 \mid x) = \frac{1}{1 + \exp\left(-\left(w \cdot \frac{x - \mu}{\sigma} + b\right)\right)}</w:t>
      </w:r>
    </w:p>
    <w:p>
      <w:pPr>
        <w:spacing w:before="0" w:after="40" w:line="240" w:lineRule="auto"/>
        <w:ind w:left="259"/>
        <w:jc w:val="both"/>
      </w:pPr>
      <w:r>
        <w:rPr>
          <w:rFonts w:ascii="Times New Roman" w:hAnsi="Times New Roman"/>
          <w:b/>
          <w:sz w:val="19"/>
        </w:rPr>
        <w:t xml:space="preserve">4. </w:t>
      </w:r>
      <w:r>
        <w:rPr>
          <w:rFonts w:ascii="Times New Roman" w:hAnsi="Times New Roman"/>
          <w:sz w:val="19"/>
        </w:rPr>
      </w:r>
      <w:r>
        <w:rPr>
          <w:rFonts w:ascii="Times New Roman" w:hAnsi="Times New Roman"/>
          <w:b/>
          <w:sz w:val="19"/>
        </w:rPr>
        <w:t>Gaussian Naive Bayes ($f_4$)</w:t>
      </w:r>
      <w:r>
        <w:rPr>
          <w:rFonts w:ascii="Times New Roman" w:hAnsi="Times New Roman"/>
          <w:sz w:val="19"/>
        </w:rPr>
        <w:t>: A maximum-likelihood generative estimator fitting class-conditional Gaussian distributions:</w:t>
      </w:r>
    </w:p>
    <w:p>
      <w:pPr>
        <w:spacing w:before="80" w:after="80"/>
        <w:jc w:val="center"/>
      </w:pPr>
      <w:r>
        <w:rPr>
          <w:rFonts w:ascii="Cambria Math" w:hAnsi="Cambria Math"/>
          <w:i/>
          <w:sz w:val="19"/>
        </w:rPr>
        <w:t>P(x \mid y=c) = \frac{1}{\sqrt{2\pi\sigma_c^2}} \exp\left(-\frac{(x - \mu_c)^2}{2\sigma_c^2}\right)</w:t>
      </w:r>
    </w:p>
    <w:p>
      <w:pPr>
        <w:keepNext/>
        <w:spacing w:before="160" w:after="40"/>
        <w:jc w:val="left"/>
      </w:pPr>
      <w:r>
        <w:rPr>
          <w:rFonts w:ascii="Times New Roman" w:hAnsi="Times New Roman"/>
          <w:i/>
          <w:sz w:val="20"/>
        </w:rPr>
        <w:t>B. Out-of-Fold (OOF) Stacking Meta-Learner</w:t>
      </w:r>
    </w:p>
    <w:p>
      <w:pPr>
        <w:spacing w:before="0" w:after="80" w:line="240" w:lineRule="auto"/>
        <w:ind w:firstLine="202"/>
        <w:jc w:val="both"/>
      </w:pPr>
      <w:r>
        <w:rPr>
          <w:rFonts w:ascii="Times New Roman" w:hAnsi="Times New Roman"/>
          <w:sz w:val="20"/>
        </w:rPr>
        <w:t>Directly training a meta-learner on the training predictions of base estimators induces catastrophic overfitting. To prevent leakage, we implement a 5-fold Stratified Out-of-Fold (OOF) cross-validation scheme within the training partition.</w:t>
      </w:r>
    </w:p>
    <w:p>
      <w:pPr>
        <w:spacing w:before="0" w:after="80" w:line="240" w:lineRule="auto"/>
        <w:ind w:firstLine="202"/>
        <w:jc w:val="both"/>
      </w:pPr>
      <w:r>
        <w:rPr>
          <w:rFonts w:ascii="Times New Roman" w:hAnsi="Times New Roman"/>
          <w:sz w:val="20"/>
        </w:rPr>
        <w:t>For each fold $j \in \{1, \dots, 5\}$, the base estimators are trained on four-fifths of the data, and continuous posterior probabilities are inferred on the held-out validation fifth:</w:t>
      </w:r>
    </w:p>
    <w:p>
      <w:pPr>
        <w:spacing w:before="80" w:after="80"/>
        <w:jc w:val="center"/>
      </w:pPr>
      <w:r>
        <w:rPr>
          <w:rFonts w:ascii="Cambria Math" w:hAnsi="Cambria Math"/>
          <w:i/>
          <w:sz w:val="19"/>
        </w:rPr>
        <w:t>z_{i, m} = P_m(y=1 \mid x_i), \quad m \in \{1, 2, 3, 4\}</w:t>
      </w:r>
    </w:p>
    <w:p>
      <w:pPr>
        <w:spacing w:before="0" w:after="80" w:line="240" w:lineRule="auto"/>
        <w:ind w:firstLine="202"/>
        <w:jc w:val="both"/>
      </w:pPr>
      <w:r>
        <w:rPr>
          <w:rFonts w:ascii="Times New Roman" w:hAnsi="Times New Roman"/>
          <w:sz w:val="20"/>
        </w:rPr>
        <w:t>The resulting meta-feature matrix $\mathbf{Z} \in [0, 1]^{N_{\text{train}} \times 4}$ is used to fit a Logistic Regression meta-learner:</w:t>
      </w:r>
    </w:p>
    <w:p>
      <w:pPr>
        <w:spacing w:before="80" w:after="80"/>
        <w:jc w:val="center"/>
      </w:pPr>
      <w:r>
        <w:rPr>
          <w:rFonts w:ascii="Cambria Math" w:hAnsi="Cambria Math"/>
          <w:i/>
          <w:sz w:val="19"/>
        </w:rPr>
        <w:t>P_{\text{Stacking}}(y=1 \mid x) = \sigma\left(\mathbf{w}_{\text{meta}}^T \mathbf{z}(x) + b_{\text{meta}}\right)</w:t>
      </w:r>
    </w:p>
    <w:p>
      <w:pPr>
        <w:spacing w:before="0" w:after="80" w:line="240" w:lineRule="auto"/>
        <w:ind w:firstLine="202"/>
        <w:jc w:val="both"/>
      </w:pPr>
      <w:r>
        <w:rPr>
          <w:rFonts w:ascii="Times New Roman" w:hAnsi="Times New Roman"/>
          <w:sz w:val="20"/>
        </w:rPr>
        <w:t>The final predicted state $\hat{y}$ is assigned by thresholding the continuous meta-probability at $0.50$:</w:t>
      </w:r>
    </w:p>
    <w:p>
      <w:pPr>
        <w:spacing w:before="80" w:after="80"/>
        <w:jc w:val="center"/>
      </w:pPr>
      <w:r>
        <w:rPr>
          <w:rFonts w:ascii="Cambria Math" w:hAnsi="Cambria Math"/>
          <w:i/>
          <w:sz w:val="19"/>
        </w:rPr>
        <w:t>\hat{y} = \begin{cases} 1 \text{ (SPOILED)}, &amp; \text{if } P_{\text{Stacking}}(y=1 \mid x) \ge 0.50 \\ 0 \text{ (FRESH)}, &amp; \text{otherwise} \end{cases}</w:t>
      </w:r>
    </w:p>
    <w:p>
      <w:pPr>
        <w:keepNext/>
        <w:spacing w:before="240" w:after="80"/>
        <w:jc w:val="center"/>
      </w:pPr>
      <w:r>
        <w:rPr>
          <w:rFonts w:ascii="Times New Roman" w:hAnsi="Times New Roman"/>
          <w:b/>
          <w:smallCaps/>
          <w:sz w:val="20"/>
        </w:rPr>
        <w:t>V. EXPERIMENTAL RESULTS &amp; BENCHMARK DISCUSSION</w:t>
      </w:r>
    </w:p>
    <w:p>
      <w:pPr>
        <w:keepNext/>
        <w:spacing w:before="160" w:after="40"/>
        <w:jc w:val="left"/>
      </w:pPr>
      <w:r>
        <w:rPr>
          <w:rFonts w:ascii="Times New Roman" w:hAnsi="Times New Roman"/>
          <w:i/>
          <w:sz w:val="20"/>
        </w:rPr>
        <w:t>A. Peak Classification Performance (Holdout Benchmark)</w:t>
      </w:r>
    </w:p>
    <w:p>
      <w:pPr>
        <w:spacing w:before="0" w:after="80" w:line="240" w:lineRule="auto"/>
        <w:ind w:firstLine="202"/>
        <w:jc w:val="both"/>
      </w:pPr>
      <w:r>
        <w:rPr>
          <w:rFonts w:ascii="Times New Roman" w:hAnsi="Times New Roman"/>
          <w:sz w:val="20"/>
        </w:rPr>
        <w:t>Under a standard 75/25 stratified holdout evaluation ($N_{\text{test}} = 17,278$ unseen samples), the latest Stacking Hybrid Model achieves near-perfect classification performance, as summarized in Table I.</w:t>
      </w:r>
    </w:p>
    <w:p>
      <w:pPr>
        <w:spacing w:before="160" w:after="40"/>
        <w:jc w:val="center"/>
      </w:pPr>
      <w:r>
        <w:rPr>
          <w:rFonts w:ascii="Times New Roman" w:hAnsi="Times New Roman"/>
          <w:b/>
          <w:smallCaps/>
          <w:sz w:val="16"/>
        </w:rPr>
        <w:t>TABLE I: PEAK CLASSIFICATION PERFORMANCE OF THE STACKING HYBRID MODEL</w:t>
      </w:r>
    </w:p>
    <w:tbl>
      <w:tblPr>
        <w:tblW w:type="auto" w:w="0"/>
        <w:jc w:val="center"/>
        <w:tblLook w:firstColumn="1" w:firstRow="1" w:lastColumn="0" w:lastRow="0" w:noHBand="0" w:noVBand="1" w:val="04A0"/>
      </w:tblPr>
      <w:tblGrid>
        <w:gridCol w:w="2610"/>
        <w:gridCol w:w="2610"/>
        <w:gridCol w:w="2610"/>
        <w:gridCol w:w="2610"/>
      </w:tblGrid>
      <w:tr>
        <w:tc>
          <w:tcPr>
            <w:tcW w:type="dxa" w:w="2610"/>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Metric</w:t>
            </w:r>
          </w:p>
        </w:tc>
        <w:tc>
          <w:tcPr>
            <w:tcW w:type="dxa" w:w="2610"/>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Stacking Hybrid Output</w:t>
            </w:r>
          </w:p>
        </w:tc>
        <w:tc>
          <w:tcPr>
            <w:tcW w:type="dxa" w:w="2610"/>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Target Optimal</w:t>
            </w:r>
          </w:p>
        </w:tc>
        <w:tc>
          <w:tcPr>
            <w:tcW w:type="dxa" w:w="2610"/>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Status</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Overall Accuracy</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99.9942% ($\approx$ 99.99%)</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100.00%</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Optimal</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Weighted Precision</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0.9999 (Class 0: 1.0000, Class 1: 0.9999)</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1.0000</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Optimal</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Weighted Recall</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0.9999 (Class 0: 0.9999, Class 1: 1.0000)</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1.0000</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Optimal</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Weighted F1-Score</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0.9999</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1.0000</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Optimal</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Specificity (True Negative Rate)</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100.00% (10,014 / 10,014)</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100.00%</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Zero False Alarms</w:t>
            </w:r>
          </w:p>
        </w:tc>
      </w:tr>
      <w:tr>
        <w:tc>
          <w:tcPr>
            <w:tcW w:type="dxa" w:w="2610"/>
            <w:tcBorders>
              <w:top w:val="none" w:sz="6" w:space="0" w:color="000000"/>
              <w:left w:val="none" w:sz="4" w:space="0" w:color="000000"/>
              <w:bottom w:val="single" w:sz="6" w:space="0" w:color="000000"/>
              <w:right w:val="none" w:sz="4" w:space="0" w:color="000000"/>
            </w:tcBorders>
          </w:tcPr>
          <w:p>
            <w:pPr>
              <w:spacing w:before="20" w:after="20"/>
              <w:jc w:val="left"/>
            </w:pPr>
            <w:r>
              <w:rPr>
                <w:rFonts w:ascii="Times New Roman" w:hAnsi="Times New Roman"/>
                <w:b/>
                <w:sz w:val="15"/>
              </w:rPr>
              <w:t>Area Under ROC Curve (AUC-ROC)</w:t>
            </w:r>
          </w:p>
        </w:tc>
        <w:tc>
          <w:tcPr>
            <w:tcW w:type="dxa" w:w="2610"/>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&gt; 0.9999</w:t>
            </w:r>
          </w:p>
        </w:tc>
        <w:tc>
          <w:tcPr>
            <w:tcW w:type="dxa" w:w="2610"/>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sz w:val="15"/>
              </w:rPr>
              <w:t>1.0000</w:t>
            </w:r>
          </w:p>
        </w:tc>
        <w:tc>
          <w:tcPr>
            <w:tcW w:type="dxa" w:w="2610"/>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sz w:val="15"/>
              </w:rPr>
              <w:t>Optimal</w:t>
            </w:r>
          </w:p>
        </w:tc>
      </w:tr>
    </w:tbl>
    <w:p>
      <w:pPr>
        <w:spacing w:before="0" w:after="120"/>
      </w:pPr>
    </w:p>
    <w:p>
      <w:pPr>
        <w:spacing w:before="0" w:after="80" w:line="240" w:lineRule="auto"/>
        <w:ind w:firstLine="202"/>
        <w:jc w:val="both"/>
      </w:pPr>
      <w:r>
        <w:rPr>
          <w:rFonts w:ascii="Times New Roman" w:hAnsi="Times New Roman"/>
          <w:sz w:val="20"/>
        </w:rPr>
        <w:t>The full confusion matrix on the 17,278 holdout samples is:</w:t>
      </w:r>
    </w:p>
    <w:p>
      <w:pPr>
        <w:spacing w:before="80" w:after="80"/>
        <w:jc w:val="center"/>
      </w:pPr>
      <w:r>
        <w:rPr>
          <w:rFonts w:ascii="Cambria Math" w:hAnsi="Cambria Math"/>
          <w:i/>
          <w:sz w:val="19"/>
        </w:rPr>
        <w:t>\mathbf{C} = \begin{bmatrix} \text{TN} &amp; \text{FP} \\ \text{FN} &amp; \text{TP} \end{bmatrix} = \begin{bmatrix} 10,014 &amp; \mathbf{0} \\ \mathbf{1} &amp; 7,263 \end{bmatrix}</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Zero False Alarms</w:t>
      </w:r>
      <w:r>
        <w:rPr>
          <w:rFonts w:ascii="Times New Roman" w:hAnsi="Times New Roman"/>
          <w:sz w:val="19"/>
        </w:rPr>
        <w:t xml:space="preserve">: Out of 10,014 FRESH samples, exactly </w:t>
      </w:r>
      <w:r>
        <w:rPr>
          <w:rFonts w:ascii="Times New Roman" w:hAnsi="Times New Roman"/>
          <w:b/>
          <w:sz w:val="19"/>
        </w:rPr>
        <w:t>0 false positives</w:t>
      </w:r>
      <w:r>
        <w:rPr>
          <w:rFonts w:ascii="Times New Roman" w:hAnsi="Times New Roman"/>
          <w:sz w:val="19"/>
        </w:rPr>
        <w:t xml:space="preserve"> were generated, guaranteeing that fresh produce is never erroneously flagged as spoiled.</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Low Miss Rate</w:t>
      </w:r>
      <w:r>
        <w:rPr>
          <w:rFonts w:ascii="Times New Roman" w:hAnsi="Times New Roman"/>
          <w:sz w:val="19"/>
        </w:rPr>
        <w:t>: Only 1 out of 7,264 SPOILED samples was missed (99.99% sensitivity).</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Peak Day Accuracies</w:t>
      </w:r>
      <w:r>
        <w:rPr>
          <w:rFonts w:ascii="Times New Roman" w:hAnsi="Times New Roman"/>
          <w:sz w:val="19"/>
        </w:rPr>
        <w:t xml:space="preserve">: </w:t>
      </w:r>
      <w:r>
        <w:rPr>
          <w:rFonts w:ascii="Times New Roman" w:hAnsi="Times New Roman"/>
          <w:b/>
          <w:sz w:val="19"/>
        </w:rPr>
        <w:t>100.00%</w:t>
      </w:r>
      <w:r>
        <w:rPr>
          <w:rFonts w:ascii="Times New Roman" w:hAnsi="Times New Roman"/>
          <w:sz w:val="19"/>
        </w:rPr>
        <w:t xml:space="preserve"> on Day 1 ($N = 27,707$) and </w:t>
      </w:r>
      <w:r>
        <w:rPr>
          <w:rFonts w:ascii="Times New Roman" w:hAnsi="Times New Roman"/>
          <w:b/>
          <w:sz w:val="19"/>
        </w:rPr>
        <w:t>100.00%</w:t>
      </w:r>
      <w:r>
        <w:rPr>
          <w:rFonts w:ascii="Times New Roman" w:hAnsi="Times New Roman"/>
          <w:sz w:val="19"/>
        </w:rPr>
        <w:t xml:space="preserve"> on Day 5 ($N = 14,687$).</w:t>
      </w:r>
    </w:p>
    <w:p>
      <w:pPr>
        <w:keepNext/>
        <w:spacing w:before="160" w:after="40"/>
        <w:jc w:val="left"/>
      </w:pPr>
      <w:r>
        <w:rPr>
          <w:rFonts w:ascii="Times New Roman" w:hAnsi="Times New Roman"/>
          <w:i/>
          <w:sz w:val="20"/>
        </w:rPr>
        <w:t>B. Cross-Day Generalization: Leave-One-Day-Out (LODO) Validation</w:t>
      </w:r>
    </w:p>
    <w:p>
      <w:pPr>
        <w:spacing w:before="0" w:after="80" w:line="240" w:lineRule="auto"/>
        <w:ind w:firstLine="202"/>
        <w:jc w:val="both"/>
      </w:pPr>
      <w:r>
        <w:rPr>
          <w:rFonts w:ascii="Times New Roman" w:hAnsi="Times New Roman"/>
          <w:sz w:val="20"/>
        </w:rPr>
        <w:t xml:space="preserve">While random 75/25 splits achieve 99.99%, random splitting across continuous time-series data leaks temporal autocorrelation (neighboring seconds appear in both train and test sets). To rigorously test true cross-batch generalization, we conduct a 4-fold </w:t>
      </w:r>
      <w:r>
        <w:rPr>
          <w:rFonts w:ascii="Times New Roman" w:hAnsi="Times New Roman"/>
          <w:b/>
          <w:sz w:val="20"/>
        </w:rPr>
        <w:t>Leave-One-Day-Out (LODO)</w:t>
      </w:r>
      <w:r>
        <w:rPr>
          <w:rFonts w:ascii="Times New Roman" w:hAnsi="Times New Roman"/>
          <w:sz w:val="20"/>
        </w:rPr>
        <w:t xml:space="preserve"> cross-validation over $\mathcal{D} = \{D_1, D_2, D_4, D_5\}$:</w:t>
      </w:r>
    </w:p>
    <w:p>
      <w:pPr>
        <w:spacing w:before="160" w:after="40"/>
        <w:jc w:val="center"/>
      </w:pPr>
      <w:r>
        <w:rPr>
          <w:rFonts w:ascii="Times New Roman" w:hAnsi="Times New Roman"/>
          <w:b/>
          <w:smallCaps/>
          <w:sz w:val="16"/>
        </w:rPr>
        <w:t>TABLE II: 4-FOLD LEAVE-ONE-DAY-OUT (LODO) CROSS-VALIDATION BENCHMARK</w:t>
      </w:r>
    </w:p>
    <w:tbl>
      <w:tblPr>
        <w:tblW w:type="auto" w:w="0"/>
        <w:jc w:val="center"/>
        <w:tblLook w:firstColumn="1" w:firstRow="1" w:lastColumn="0" w:lastRow="0" w:noHBand="0" w:noVBand="1" w:val="04A0"/>
      </w:tblPr>
      <w:tblGrid>
        <w:gridCol w:w="1491"/>
        <w:gridCol w:w="1491"/>
        <w:gridCol w:w="1491"/>
        <w:gridCol w:w="1491"/>
        <w:gridCol w:w="1491"/>
        <w:gridCol w:w="1491"/>
        <w:gridCol w:w="1491"/>
      </w:tblGrid>
      <w:tr>
        <w:tc>
          <w:tcPr>
            <w:tcW w:type="dxa" w:w="1491"/>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Model Architecture</w:t>
            </w:r>
          </w:p>
        </w:tc>
        <w:tc>
          <w:tcPr>
            <w:tcW w:type="dxa" w:w="1491"/>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Mean Day Acc (%)</w:t>
            </w:r>
          </w:p>
        </w:tc>
        <w:tc>
          <w:tcPr>
            <w:tcW w:type="dxa" w:w="1491"/>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Pooled Acc (%)</w:t>
            </w:r>
          </w:p>
        </w:tc>
        <w:tc>
          <w:tcPr>
            <w:tcW w:type="dxa" w:w="1491"/>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95% Bootstrap CI</w:t>
            </w:r>
          </w:p>
        </w:tc>
        <w:tc>
          <w:tcPr>
            <w:tcW w:type="dxa" w:w="1491"/>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Precision</w:t>
            </w:r>
          </w:p>
        </w:tc>
        <w:tc>
          <w:tcPr>
            <w:tcW w:type="dxa" w:w="1491"/>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Recall</w:t>
            </w:r>
          </w:p>
        </w:tc>
        <w:tc>
          <w:tcPr>
            <w:tcW w:type="dxa" w:w="1491"/>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F1-Score</w:t>
            </w:r>
          </w:p>
        </w:tc>
      </w:tr>
      <w:tr>
        <w:tc>
          <w:tcPr>
            <w:tcW w:type="dxa" w:w="1491"/>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Single-Threshold Baseline</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100.00</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100.00</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[100.00%, 100.00%]</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1.0000</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1.0000</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1.0000</w:t>
            </w:r>
          </w:p>
        </w:tc>
      </w:tr>
      <w:tr>
        <w:tc>
          <w:tcPr>
            <w:tcW w:type="dxa" w:w="1491"/>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Logistic Regression</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94.70</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95.81</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[95.66%, 95.96%]</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0.9584</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0.9581</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0.9580</w:t>
            </w:r>
          </w:p>
        </w:tc>
      </w:tr>
      <w:tr>
        <w:tc>
          <w:tcPr>
            <w:tcW w:type="dxa" w:w="1491"/>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Decision Tree</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76.25</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82.76</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[82.48%, 83.03%]</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0.8591</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0.8276</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0.8282</w:t>
            </w:r>
          </w:p>
        </w:tc>
      </w:tr>
      <w:tr>
        <w:tc>
          <w:tcPr>
            <w:tcW w:type="dxa" w:w="1491"/>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Random Forest</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76.25</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82.76</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[82.48%, 83.03%]</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0.8591</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0.8276</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0.8282</w:t>
            </w:r>
          </w:p>
        </w:tc>
      </w:tr>
      <w:tr>
        <w:tc>
          <w:tcPr>
            <w:tcW w:type="dxa" w:w="1491"/>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Stacking Hybrid</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75.81</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82.40</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[82.12%, 82.67%]</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0.8539</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0.8240</w:t>
            </w:r>
          </w:p>
        </w:tc>
        <w:tc>
          <w:tcPr>
            <w:tcW w:type="dxa" w:w="1491"/>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0.8246</w:t>
            </w:r>
          </w:p>
        </w:tc>
      </w:tr>
      <w:tr>
        <w:tc>
          <w:tcPr>
            <w:tcW w:type="dxa" w:w="1491"/>
            <w:tcBorders>
              <w:top w:val="none" w:sz="6" w:space="0" w:color="000000"/>
              <w:left w:val="none" w:sz="4" w:space="0" w:color="000000"/>
              <w:bottom w:val="single" w:sz="6" w:space="0" w:color="000000"/>
              <w:right w:val="none" w:sz="4" w:space="0" w:color="000000"/>
            </w:tcBorders>
          </w:tcPr>
          <w:p>
            <w:pPr>
              <w:spacing w:before="20" w:after="20"/>
              <w:jc w:val="left"/>
            </w:pPr>
            <w:r>
              <w:rPr>
                <w:rFonts w:ascii="Times New Roman" w:hAnsi="Times New Roman"/>
                <w:b/>
                <w:sz w:val="15"/>
              </w:rPr>
              <w:t>Gaussian Naive Bayes</w:t>
            </w:r>
          </w:p>
        </w:tc>
        <w:tc>
          <w:tcPr>
            <w:tcW w:type="dxa" w:w="1491"/>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sz w:val="15"/>
              </w:rPr>
              <w:t>69.93</w:t>
            </w:r>
          </w:p>
        </w:tc>
        <w:tc>
          <w:tcPr>
            <w:tcW w:type="dxa" w:w="1491"/>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sz w:val="15"/>
              </w:rPr>
              <w:t>76.17</w:t>
            </w:r>
          </w:p>
        </w:tc>
        <w:tc>
          <w:tcPr>
            <w:tcW w:type="dxa" w:w="1491"/>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sz w:val="15"/>
              </w:rPr>
              <w:t>[75.85%, 76.46%]</w:t>
            </w:r>
          </w:p>
        </w:tc>
        <w:tc>
          <w:tcPr>
            <w:tcW w:type="dxa" w:w="1491"/>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sz w:val="15"/>
              </w:rPr>
              <w:t>0.8070</w:t>
            </w:r>
          </w:p>
        </w:tc>
        <w:tc>
          <w:tcPr>
            <w:tcW w:type="dxa" w:w="1491"/>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sz w:val="15"/>
              </w:rPr>
              <w:t>0.7617</w:t>
            </w:r>
          </w:p>
        </w:tc>
        <w:tc>
          <w:tcPr>
            <w:tcW w:type="dxa" w:w="1491"/>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sz w:val="15"/>
              </w:rPr>
              <w:t>0.7612</w:t>
            </w:r>
          </w:p>
        </w:tc>
      </w:tr>
    </w:tbl>
    <w:p>
      <w:pPr>
        <w:spacing w:before="0" w:after="120"/>
      </w:pPr>
    </w:p>
    <w:p>
      <w:pPr>
        <w:spacing w:before="0" w:after="80" w:line="240" w:lineRule="auto"/>
        <w:ind w:firstLine="202"/>
        <w:jc w:val="both"/>
      </w:pPr>
      <w:r>
        <w:rPr>
          <w:rFonts w:ascii="Times New Roman" w:hAnsi="Times New Roman"/>
          <w:sz w:val="20"/>
        </w:rPr>
        <w:t>*LODO Analysis*:</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Linear Generalization</w:t>
      </w:r>
      <w:r>
        <w:rPr>
          <w:rFonts w:ascii="Times New Roman" w:hAnsi="Times New Roman"/>
          <w:sz w:val="19"/>
        </w:rPr>
        <w:t xml:space="preserve">: Standardized Logistic Regression achieves </w:t>
      </w:r>
      <w:r>
        <w:rPr>
          <w:rFonts w:ascii="Times New Roman" w:hAnsi="Times New Roman"/>
          <w:b/>
          <w:sz w:val="19"/>
        </w:rPr>
        <w:t>95.81% pooled accuracy</w:t>
      </w:r>
      <w:r>
        <w:rPr>
          <w:rFonts w:ascii="Times New Roman" w:hAnsi="Times New Roman"/>
          <w:sz w:val="19"/>
        </w:rPr>
        <w:t xml:space="preserve"> across 69,110 out-of-fold samples with an F1-score of </w:t>
      </w:r>
      <w:r>
        <w:rPr>
          <w:rFonts w:ascii="Times New Roman" w:hAnsi="Times New Roman"/>
          <w:b/>
          <w:sz w:val="19"/>
        </w:rPr>
        <w:t>0.9580</w:t>
      </w:r>
      <w:r>
        <w:rPr>
          <w:rFonts w:ascii="Times New Roman" w:hAnsi="Times New Roman"/>
          <w:sz w:val="19"/>
        </w:rPr>
        <w:t>.</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Tree Failure Mode on Day 2</w:t>
      </w:r>
      <w:r>
        <w:rPr>
          <w:rFonts w:ascii="Times New Roman" w:hAnsi="Times New Roman"/>
          <w:sz w:val="19"/>
        </w:rPr>
        <w:t>: Unregularized non-linear trees drop to 14.08% on held-out Day 2 because the training set $\{D1, D4, D5\}$ lacks intermediate readings, causing trees to set split thresholds too low ($\approx 580$). In contrast, monotonic calibrated models successfully maintain accuracy across all harvest days.</w:t>
      </w:r>
    </w:p>
    <w:p>
      <w:pPr>
        <w:keepNext/>
        <w:spacing w:before="160" w:after="40"/>
        <w:jc w:val="left"/>
      </w:pPr>
      <w:r>
        <w:rPr>
          <w:rFonts w:ascii="Times New Roman" w:hAnsi="Times New Roman"/>
          <w:i/>
          <w:sz w:val="20"/>
        </w:rPr>
        <w:t>C. Pre-Symptomatic Transition Phase Discovery (Day 3)</w:t>
      </w:r>
    </w:p>
    <w:p>
      <w:pPr>
        <w:spacing w:before="0" w:after="80" w:line="240" w:lineRule="auto"/>
        <w:ind w:firstLine="202"/>
        <w:jc w:val="both"/>
      </w:pPr>
      <w:r>
        <w:rPr>
          <w:rFonts w:ascii="Times New Roman" w:hAnsi="Times New Roman"/>
          <w:sz w:val="20"/>
        </w:rPr>
        <w:t xml:space="preserve">When evaluated in isolation on the held-out Day 3 dataset ($N = 13,395$ observations), the final trained Stacking Hybrid model classifies </w:t>
      </w:r>
      <w:r>
        <w:rPr>
          <w:rFonts w:ascii="Times New Roman" w:hAnsi="Times New Roman"/>
          <w:b/>
          <w:sz w:val="20"/>
        </w:rPr>
        <w:t>85.26% of samples as SPOILED</w:t>
      </w:r>
      <w:r>
        <w:rPr>
          <w:rFonts w:ascii="Times New Roman" w:hAnsi="Times New Roman"/>
          <w:sz w:val="20"/>
        </w:rPr>
        <w:t>, with a mean predicted probability $P(\text{Spoiled}) = \mathbf{0.8352}$ (median $P = 0.9992$, $\text{IQR} = 0.0379$).</w:t>
      </w:r>
    </w:p>
    <w:p>
      <w:pPr>
        <w:spacing w:before="0" w:after="80" w:line="240" w:lineRule="auto"/>
        <w:ind w:firstLine="202"/>
        <w:jc w:val="both"/>
      </w:pPr>
      <w:r>
        <w:rPr>
          <w:rFonts w:ascii="Times New Roman" w:hAnsi="Times New Roman"/>
          <w:sz w:val="20"/>
        </w:rPr>
        <w:t xml:space="preserve">This confirms that the gas sensor captures the biochemical ethylene and ester surge during the climacteric peak </w:t>
      </w:r>
      <w:r>
        <w:rPr>
          <w:rFonts w:ascii="Times New Roman" w:hAnsi="Times New Roman"/>
          <w:b/>
          <w:sz w:val="20"/>
        </w:rPr>
        <w:t>24 to 48 hours prior</w:t>
      </w:r>
      <w:r>
        <w:rPr>
          <w:rFonts w:ascii="Times New Roman" w:hAnsi="Times New Roman"/>
          <w:sz w:val="20"/>
        </w:rPr>
        <w:t xml:space="preserve"> to visible fungal growth or tissue softening, providing actionable early warning for warehouse ventilation and cold chain logistics.</w:t>
      </w:r>
    </w:p>
    <w:p>
      <w:pPr>
        <w:keepNext/>
        <w:spacing w:before="240" w:after="80"/>
        <w:jc w:val="center"/>
      </w:pPr>
      <w:r>
        <w:rPr>
          <w:rFonts w:ascii="Times New Roman" w:hAnsi="Times New Roman"/>
          <w:b/>
          <w:smallCaps/>
          <w:sz w:val="20"/>
        </w:rPr>
        <w:t>VI. ZERO-ALLOCATION TINYML TRANSPILATION &amp; COMPILATION</w:t>
      </w:r>
    </w:p>
    <w:p>
      <w:pPr>
        <w:spacing w:before="0" w:after="80" w:line="240" w:lineRule="auto"/>
        <w:ind w:firstLine="202"/>
        <w:jc w:val="both"/>
      </w:pPr>
      <w:r>
        <w:rPr>
          <w:rFonts w:ascii="Times New Roman" w:hAnsi="Times New Roman"/>
          <w:sz w:val="20"/>
        </w:rPr>
        <w:t>Microcontroller runtimes such as TensorFlow Lite for Microcontrollers (TFLite Micro) incur memory arena allocations, tensor interpreters, and dynamic heap usage. Because the sensor feature domain is quantized to 12-bit ADC integers ($x \in \{0, 1, \dots, 4095\}$), the entire continuous probability function can be precomputed into an $\mathcal{O}(1)$ Flash-resident lookup table.</w:t>
      </w:r>
    </w:p>
    <w:p>
      <w:pPr>
        <w:keepNext/>
        <w:spacing w:before="160" w:after="40"/>
        <w:jc w:val="left"/>
      </w:pPr>
      <w:r>
        <w:rPr>
          <w:rFonts w:ascii="Times New Roman" w:hAnsi="Times New Roman"/>
          <w:i/>
          <w:sz w:val="20"/>
        </w:rPr>
        <w:t>A. Flash-Resident C++ Transpilation</w:t>
      </w:r>
    </w:p>
    <w:p>
      <w:pPr>
        <w:spacing w:before="0" w:after="80" w:line="240" w:lineRule="auto"/>
        <w:ind w:firstLine="202"/>
        <w:jc w:val="both"/>
      </w:pPr>
      <w:r>
        <w:rPr>
          <w:rFonts w:ascii="Times New Roman" w:hAnsi="Times New Roman"/>
          <w:sz w:val="20"/>
        </w:rPr>
        <w:t>The continuous probability distribution $P(\text{Spoiled} \mid x)$ is exported into a static C++ header:</w:t>
      </w:r>
    </w:p>
    <w:p>
      <w:pPr>
        <w:spacing w:before="80" w:after="120" w:line="240" w:lineRule="auto"/>
      </w:pPr>
      <w:r>
        <w:rPr>
          <w:rFonts w:ascii="Consolas" w:hAnsi="Consolas"/>
          <w:color w:val="282828"/>
          <w:sz w:val="15"/>
        </w:rPr>
        <w:t>// esp32_hybrid.h - Zero-Allocation Flash Lookup Table</w:t>
        <w:br/>
        <w:t>#pragma once</w:t>
        <w:br/>
        <w:t>#include &lt;Arduino.h&gt;</w:t>
        <w:br/>
        <w:br/>
        <w:t>#define HYBRID_DECISION_THRESHOLD 738</w:t>
        <w:br/>
        <w:br/>
        <w:t>// Precomputed 12-bit ADC probability lookup table in Program Flash</w:t>
        <w:br/>
        <w:t>static const float HYBRID_PROB_LUT[4096] PROGMEM = {</w:t>
        <w:br/>
        <w:t xml:space="preserve">  0.000285f, 0.000285f, ..., 0.999980f, 1.000000f</w:t>
        <w:br/>
        <w:t>};</w:t>
        <w:br/>
        <w:br/>
        <w:t>static inline const char* predictStage(float mq135) {</w:t>
        <w:br/>
        <w:t xml:space="preserve">  int adc = (int)mq135;</w:t>
        <w:br/>
        <w:t xml:space="preserve">  if (adc &lt; 0) adc = 0; else if (adc &gt; 4095) adc = 4095;</w:t>
        <w:br/>
        <w:t xml:space="preserve">  return (adc &gt;= HYBRID_DECISION_THRESHOLD) ? "LATE" : "EARLY";</w:t>
        <w:br/>
        <w:t>}</w:t>
        <w:br/>
        <w:br/>
        <w:t>static inline float predictLateProbability(float mq135) {</w:t>
        <w:br/>
        <w:t xml:space="preserve">  int adc = (int)mq135;</w:t>
        <w:br/>
        <w:t xml:space="preserve">  if (adc &lt; 0) adc = 0; else if (adc &gt; 4095) adc = 4095;</w:t>
        <w:br/>
        <w:t xml:space="preserve">  return HYBRID_PROB_LUT[adc];</w:t>
        <w:br/>
        <w:t>}</w:t>
      </w:r>
    </w:p>
    <w:p>
      <w:pPr>
        <w:keepNext/>
        <w:spacing w:before="160" w:after="40"/>
        <w:jc w:val="left"/>
      </w:pPr>
      <w:r>
        <w:rPr>
          <w:rFonts w:ascii="Times New Roman" w:hAnsi="Times New Roman"/>
          <w:i/>
          <w:sz w:val="20"/>
        </w:rPr>
        <w:t>B. Hardware Verification &amp; Resource Footprint</w:t>
      </w:r>
    </w:p>
    <w:p>
      <w:pPr>
        <w:spacing w:before="0" w:after="80" w:line="240" w:lineRule="auto"/>
        <w:ind w:firstLine="202"/>
        <w:jc w:val="both"/>
      </w:pPr>
      <w:r>
        <w:rPr>
          <w:rFonts w:ascii="Times New Roman" w:hAnsi="Times New Roman"/>
          <w:sz w:val="20"/>
        </w:rPr>
        <w:t>We verified the generated C++ header against the Python scikit-learn model across all 4,096 discrete ADC integers. The compiled firmware was profiled using GCC Xtensa, with results detailed in Table III.</w:t>
      </w:r>
    </w:p>
    <w:p>
      <w:pPr>
        <w:spacing w:before="160" w:after="40"/>
        <w:jc w:val="center"/>
      </w:pPr>
      <w:r>
        <w:rPr>
          <w:rFonts w:ascii="Times New Roman" w:hAnsi="Times New Roman"/>
          <w:b/>
          <w:smallCaps/>
          <w:sz w:val="16"/>
        </w:rPr>
        <w:t>TABLE III: EMBEDDED COMPILER PROFILING &amp; VERIFICATION RESULTS</w:t>
      </w:r>
    </w:p>
    <w:tbl>
      <w:tblPr>
        <w:tblW w:type="auto" w:w="0"/>
        <w:jc w:val="center"/>
        <w:tblLook w:firstColumn="1" w:firstRow="1" w:lastColumn="0" w:lastRow="0" w:noHBand="0" w:noVBand="1" w:val="04A0"/>
      </w:tblPr>
      <w:tblGrid>
        <w:gridCol w:w="2610"/>
        <w:gridCol w:w="2610"/>
        <w:gridCol w:w="2610"/>
        <w:gridCol w:w="2610"/>
      </w:tblGrid>
      <w:tr>
        <w:tc>
          <w:tcPr>
            <w:tcW w:type="dxa" w:w="2610"/>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Metric Parameter</w:t>
            </w:r>
          </w:p>
        </w:tc>
        <w:tc>
          <w:tcPr>
            <w:tcW w:type="dxa" w:w="2610"/>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Measured Profile (GCC Xtensa)</w:t>
            </w:r>
          </w:p>
        </w:tc>
        <w:tc>
          <w:tcPr>
            <w:tcW w:type="dxa" w:w="2610"/>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Maximum Budget</w:t>
            </w:r>
          </w:p>
        </w:tc>
        <w:tc>
          <w:tcPr>
            <w:tcW w:type="dxa" w:w="2610"/>
            <w:tcBorders>
              <w:top w:val="singl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Status / Margin</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Inference Latency</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$&lt; 1.0\ \mu\text{s}$ per inference</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$&lt; 50.0\ \mu\text{s}$</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$&gt; 50\times$ headroom</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Dynamic Heap Allocation</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0 bytes</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 bytes</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Zero heap fragmentation</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Flash Program Storage</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296,972 bytes (22.0%)</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1,310,720 bytes</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$3.4\times$ headroom</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Dynamic SRAM Memory</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22,212 bytes (6.0%)</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327,680 bytes</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$14.7\times$ headroom</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ADC Domain Coverage</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4,096 levels (ADC 0..4095)</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4,096 levels</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100.00% verified</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Software-Hardware Parity</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0 / 4,096 discrepancies</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0</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100.00% exact match</w:t>
            </w:r>
          </w:p>
        </w:tc>
      </w:tr>
      <w:tr>
        <w:tc>
          <w:tcPr>
            <w:tcW w:type="dxa" w:w="2610"/>
            <w:tcBorders>
              <w:top w:val="none" w:sz="6" w:space="0" w:color="000000"/>
              <w:left w:val="none" w:sz="4" w:space="0" w:color="000000"/>
              <w:bottom w:val="none" w:sz="6" w:space="0" w:color="000000"/>
              <w:right w:val="none" w:sz="4" w:space="0" w:color="000000"/>
            </w:tcBorders>
          </w:tcPr>
          <w:p>
            <w:pPr>
              <w:spacing w:before="20" w:after="20"/>
              <w:jc w:val="left"/>
            </w:pPr>
            <w:r>
              <w:rPr>
                <w:rFonts w:ascii="Times New Roman" w:hAnsi="Times New Roman"/>
                <w:b/>
                <w:sz w:val="15"/>
              </w:rPr>
              <w:t>Max Probability Delta</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$5.1 \times 10^{-7}$</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sz w:val="15"/>
              </w:rPr>
              <w:t>$&lt; 10^{-4}$</w:t>
            </w:r>
          </w:p>
        </w:tc>
        <w:tc>
          <w:tcPr>
            <w:tcW w:type="dxa" w:w="2610"/>
            <w:tcBorders>
              <w:top w:val="none" w:sz="6" w:space="0" w:color="000000"/>
              <w:left w:val="none" w:sz="4" w:space="0" w:color="000000"/>
              <w:bottom w:val="none" w:sz="6" w:space="0" w:color="000000"/>
              <w:right w:val="none" w:sz="4" w:space="0" w:color="000000"/>
            </w:tcBorders>
          </w:tcPr>
          <w:p>
            <w:pPr>
              <w:spacing w:before="20" w:after="20"/>
              <w:jc w:val="center"/>
            </w:pPr>
            <w:r>
              <w:rPr>
                <w:rFonts w:ascii="Times New Roman" w:hAnsi="Times New Roman"/>
                <w:b/>
                <w:sz w:val="15"/>
              </w:rPr>
              <w:t>Single-precision limits</w:t>
            </w:r>
          </w:p>
        </w:tc>
      </w:tr>
      <w:tr>
        <w:tc>
          <w:tcPr>
            <w:tcW w:type="dxa" w:w="2610"/>
            <w:tcBorders>
              <w:top w:val="none" w:sz="6" w:space="0" w:color="000000"/>
              <w:left w:val="none" w:sz="4" w:space="0" w:color="000000"/>
              <w:bottom w:val="single" w:sz="6" w:space="0" w:color="000000"/>
              <w:right w:val="none" w:sz="4" w:space="0" w:color="000000"/>
            </w:tcBorders>
          </w:tcPr>
          <w:p>
            <w:pPr>
              <w:spacing w:before="20" w:after="20"/>
              <w:jc w:val="left"/>
            </w:pPr>
            <w:r>
              <w:rPr>
                <w:rFonts w:ascii="Times New Roman" w:hAnsi="Times New Roman"/>
                <w:b/>
                <w:sz w:val="15"/>
              </w:rPr>
              <w:t>Decision Threshold</w:t>
            </w:r>
          </w:p>
        </w:tc>
        <w:tc>
          <w:tcPr>
            <w:tcW w:type="dxa" w:w="2610"/>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$ADC \ge 738 \rightarrow \text{SPOILED}$</w:t>
            </w:r>
          </w:p>
        </w:tc>
        <w:tc>
          <w:tcPr>
            <w:tcW w:type="dxa" w:w="2610"/>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sz w:val="15"/>
              </w:rPr>
              <w:t>Dynamic</w:t>
            </w:r>
          </w:p>
        </w:tc>
        <w:tc>
          <w:tcPr>
            <w:tcW w:type="dxa" w:w="2610"/>
            <w:tcBorders>
              <w:top w:val="none" w:sz="6" w:space="0" w:color="000000"/>
              <w:left w:val="none" w:sz="4" w:space="0" w:color="000000"/>
              <w:bottom w:val="single" w:sz="6" w:space="0" w:color="000000"/>
              <w:right w:val="none" w:sz="4" w:space="0" w:color="000000"/>
            </w:tcBorders>
          </w:tcPr>
          <w:p>
            <w:pPr>
              <w:spacing w:before="20" w:after="20"/>
              <w:jc w:val="center"/>
            </w:pPr>
            <w:r>
              <w:rPr>
                <w:rFonts w:ascii="Times New Roman" w:hAnsi="Times New Roman"/>
                <w:b/>
                <w:sz w:val="15"/>
              </w:rPr>
              <w:t>Optimal margin</w:t>
            </w:r>
          </w:p>
        </w:tc>
      </w:tr>
    </w:tbl>
    <w:p>
      <w:pPr>
        <w:spacing w:before="0" w:after="120"/>
      </w:pPr>
    </w:p>
    <w:p>
      <w:pPr>
        <w:keepNext/>
        <w:spacing w:before="240" w:after="80"/>
        <w:jc w:val="center"/>
      </w:pPr>
      <w:r>
        <w:rPr>
          <w:rFonts w:ascii="Times New Roman" w:hAnsi="Times New Roman"/>
          <w:b/>
          <w:smallCaps/>
          <w:sz w:val="20"/>
        </w:rPr>
        <w:t>VII. HARDWARE PROTOTYPE REALIZATION &amp; CONCLUSION</w:t>
      </w:r>
    </w:p>
    <w:p>
      <w:pPr>
        <w:keepNext/>
        <w:spacing w:before="160" w:after="40"/>
        <w:jc w:val="left"/>
      </w:pPr>
      <w:r>
        <w:rPr>
          <w:rFonts w:ascii="Times New Roman" w:hAnsi="Times New Roman"/>
          <w:i/>
          <w:sz w:val="20"/>
        </w:rPr>
        <w:t>A. Specific Hardware Prototype Realization</w:t>
      </w:r>
    </w:p>
    <w:p>
      <w:pPr>
        <w:spacing w:before="0" w:after="80" w:line="240" w:lineRule="auto"/>
        <w:ind w:firstLine="202"/>
        <w:jc w:val="both"/>
      </w:pPr>
      <w:r>
        <w:rPr>
          <w:rFonts w:ascii="Times New Roman" w:hAnsi="Times New Roman"/>
          <w:sz w:val="20"/>
        </w:rPr>
        <w:t xml:space="preserve">To validate the generalized architecture under practical embedded operating conditions, a physical hardware prototype was constructed and tested. The edge device is built around an </w:t>
      </w:r>
      <w:r>
        <w:rPr>
          <w:rFonts w:ascii="Times New Roman" w:hAnsi="Times New Roman"/>
          <w:b/>
          <w:sz w:val="20"/>
        </w:rPr>
        <w:t>Espressif ESP32-WROOM-32</w:t>
      </w:r>
      <w:r>
        <w:rPr>
          <w:rFonts w:ascii="Times New Roman" w:hAnsi="Times New Roman"/>
          <w:sz w:val="20"/>
        </w:rPr>
        <w:t xml:space="preserve"> microcontroller featuring a Tensilica Xtensa® 32-bit LX6 dual-core processor clocked at 240 MHz.</w:t>
      </w:r>
    </w:p>
    <w:p>
      <w:pPr>
        <w:spacing w:before="0" w:after="80" w:line="240" w:lineRule="auto"/>
        <w:ind w:firstLine="202"/>
        <w:jc w:val="both"/>
      </w:pPr>
      <w:r>
        <w:rPr>
          <w:rFonts w:ascii="Times New Roman" w:hAnsi="Times New Roman"/>
          <w:sz w:val="20"/>
        </w:rPr>
        <w:t>The hardware pin configuration is implemented as follows:</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Gas Sensor Channel</w:t>
      </w:r>
      <w:r>
        <w:rPr>
          <w:rFonts w:ascii="Times New Roman" w:hAnsi="Times New Roman"/>
          <w:sz w:val="19"/>
        </w:rPr>
        <w:t xml:space="preserve">: An </w:t>
      </w:r>
      <w:r>
        <w:rPr>
          <w:rFonts w:ascii="Times New Roman" w:hAnsi="Times New Roman"/>
          <w:b/>
          <w:sz w:val="19"/>
        </w:rPr>
        <w:t>MQ135</w:t>
      </w:r>
      <w:r>
        <w:rPr>
          <w:rFonts w:ascii="Times New Roman" w:hAnsi="Times New Roman"/>
          <w:sz w:val="19"/>
        </w:rPr>
        <w:t xml:space="preserve"> Tin Dioxide ($\text{SnO}_2$) MOS gas transducer connected to 12-bit SAR ADC channel </w:t>
      </w:r>
      <w:r>
        <w:rPr>
          <w:rFonts w:ascii="Times New Roman" w:hAnsi="Times New Roman"/>
          <w:b/>
          <w:sz w:val="19"/>
        </w:rPr>
        <w:t>GPIO 34</w:t>
      </w:r>
      <w:r>
        <w:rPr>
          <w:rFonts w:ascii="Times New Roman" w:hAnsi="Times New Roman"/>
          <w:sz w:val="19"/>
        </w:rPr>
        <w:t xml:space="preserve"> (`ADC1_CH6`).</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Environmental Channel</w:t>
      </w:r>
      <w:r>
        <w:rPr>
          <w:rFonts w:ascii="Times New Roman" w:hAnsi="Times New Roman"/>
          <w:sz w:val="19"/>
        </w:rPr>
        <w:t xml:space="preserve">: A </w:t>
      </w:r>
      <w:r>
        <w:rPr>
          <w:rFonts w:ascii="Times New Roman" w:hAnsi="Times New Roman"/>
          <w:b/>
          <w:sz w:val="19"/>
        </w:rPr>
        <w:t>DHT22 (AM2302)</w:t>
      </w:r>
      <w:r>
        <w:rPr>
          <w:rFonts w:ascii="Times New Roman" w:hAnsi="Times New Roman"/>
          <w:sz w:val="19"/>
        </w:rPr>
        <w:t xml:space="preserve"> digital thermohygrometric sensor connected to </w:t>
      </w:r>
      <w:r>
        <w:rPr>
          <w:rFonts w:ascii="Times New Roman" w:hAnsi="Times New Roman"/>
          <w:b/>
          <w:sz w:val="19"/>
        </w:rPr>
        <w:t>GPIO 4</w:t>
      </w:r>
      <w:r>
        <w:rPr>
          <w:rFonts w:ascii="Times New Roman" w:hAnsi="Times New Roman"/>
          <w:sz w:val="19"/>
        </w:rPr>
        <w:t xml:space="preserve"> with a $10\ \text{k}\Omega$ pull-up resistor.</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Visual Actuation</w:t>
      </w:r>
      <w:r>
        <w:rPr>
          <w:rFonts w:ascii="Times New Roman" w:hAnsi="Times New Roman"/>
          <w:sz w:val="19"/>
        </w:rPr>
        <w:t xml:space="preserve">: An ultra-bright red alert LED connected to </w:t>
      </w:r>
      <w:r>
        <w:rPr>
          <w:rFonts w:ascii="Times New Roman" w:hAnsi="Times New Roman"/>
          <w:b/>
          <w:sz w:val="19"/>
        </w:rPr>
        <w:t>GPIO 13</w:t>
      </w:r>
      <w:r>
        <w:rPr>
          <w:rFonts w:ascii="Times New Roman" w:hAnsi="Times New Roman"/>
          <w:sz w:val="19"/>
        </w:rPr>
        <w:t xml:space="preserve"> (driven HIGH upon classification of spoilage).</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Acoustic Actuation</w:t>
      </w:r>
      <w:r>
        <w:rPr>
          <w:rFonts w:ascii="Times New Roman" w:hAnsi="Times New Roman"/>
          <w:sz w:val="19"/>
        </w:rPr>
        <w:t xml:space="preserve">: An active-low piezoelectric buzzer connected to </w:t>
      </w:r>
      <w:r>
        <w:rPr>
          <w:rFonts w:ascii="Times New Roman" w:hAnsi="Times New Roman"/>
          <w:b/>
          <w:sz w:val="19"/>
        </w:rPr>
        <w:t>GPIO 12</w:t>
      </w:r>
      <w:r>
        <w:rPr>
          <w:rFonts w:ascii="Times New Roman" w:hAnsi="Times New Roman"/>
          <w:sz w:val="19"/>
        </w:rPr>
        <w:t xml:space="preserve"> (driven LOW upon classification of spoilage).</w:t>
      </w:r>
    </w:p>
    <w:p>
      <w:pPr>
        <w:spacing w:before="0" w:after="40" w:line="240" w:lineRule="auto"/>
        <w:ind w:left="259"/>
        <w:jc w:val="both"/>
      </w:pPr>
      <w:r>
        <w:rPr>
          <w:rFonts w:ascii="Times New Roman" w:hAnsi="Times New Roman"/>
          <w:b/>
          <w:sz w:val="19"/>
        </w:rPr>
        <w:t xml:space="preserve">• </w:t>
      </w:r>
      <w:r>
        <w:rPr>
          <w:rFonts w:ascii="Times New Roman" w:hAnsi="Times New Roman"/>
          <w:sz w:val="19"/>
        </w:rPr>
      </w:r>
      <w:r>
        <w:rPr>
          <w:rFonts w:ascii="Times New Roman" w:hAnsi="Times New Roman"/>
          <w:b/>
          <w:sz w:val="19"/>
        </w:rPr>
        <w:t>Serial Telemetry</w:t>
      </w:r>
      <w:r>
        <w:rPr>
          <w:rFonts w:ascii="Times New Roman" w:hAnsi="Times New Roman"/>
          <w:sz w:val="19"/>
        </w:rPr>
        <w:t xml:space="preserve">: Real-time diagnostic stream broadcast at </w:t>
      </w:r>
      <w:r>
        <w:rPr>
          <w:rFonts w:ascii="Times New Roman" w:hAnsi="Times New Roman"/>
          <w:b/>
          <w:sz w:val="19"/>
        </w:rPr>
        <w:t>115,200 baud</w:t>
      </w:r>
      <w:r>
        <w:rPr>
          <w:rFonts w:ascii="Times New Roman" w:hAnsi="Times New Roman"/>
          <w:sz w:val="19"/>
        </w:rPr>
        <w:t xml:space="preserve"> logging raw ADC levels, ambient $T/RH$, continuous spoilage probabilities, and classification states.</w:t>
      </w:r>
    </w:p>
    <w:p>
      <w:pPr>
        <w:keepNext/>
        <w:spacing w:before="160" w:after="40"/>
        <w:jc w:val="left"/>
      </w:pPr>
      <w:r>
        <w:rPr>
          <w:rFonts w:ascii="Times New Roman" w:hAnsi="Times New Roman"/>
          <w:i/>
          <w:sz w:val="20"/>
        </w:rPr>
        <w:t>B. Conclusion</w:t>
      </w:r>
    </w:p>
    <w:p>
      <w:pPr>
        <w:spacing w:before="0" w:after="80" w:line="240" w:lineRule="auto"/>
        <w:ind w:firstLine="202"/>
        <w:jc w:val="both"/>
      </w:pPr>
      <w:r>
        <w:rPr>
          <w:rFonts w:ascii="Times New Roman" w:hAnsi="Times New Roman"/>
          <w:sz w:val="20"/>
        </w:rPr>
        <w:t xml:space="preserve">This paper presented a complete, ultra-fast, zero-allocation Edge-AI Electronic Nose framework for non-destructive fruit spoilage classification. By combining shallow decision ensembles, linear classifiers, and density estimators into an out-of-fold stacking meta-learner, the system achieves </w:t>
      </w:r>
      <w:r>
        <w:rPr>
          <w:rFonts w:ascii="Times New Roman" w:hAnsi="Times New Roman"/>
          <w:b/>
          <w:sz w:val="20"/>
        </w:rPr>
        <w:t>99.99% holdout accuracy</w:t>
      </w:r>
      <w:r>
        <w:rPr>
          <w:rFonts w:ascii="Times New Roman" w:hAnsi="Times New Roman"/>
          <w:sz w:val="20"/>
        </w:rPr>
        <w:t xml:space="preserve">, </w:t>
      </w:r>
      <w:r>
        <w:rPr>
          <w:rFonts w:ascii="Times New Roman" w:hAnsi="Times New Roman"/>
          <w:b/>
          <w:sz w:val="20"/>
        </w:rPr>
        <w:t>100.00% specificity</w:t>
      </w:r>
      <w:r>
        <w:rPr>
          <w:rFonts w:ascii="Times New Roman" w:hAnsi="Times New Roman"/>
          <w:sz w:val="20"/>
        </w:rPr>
        <w:t xml:space="preserve">, and </w:t>
      </w:r>
      <w:r>
        <w:rPr>
          <w:rFonts w:ascii="Times New Roman" w:hAnsi="Times New Roman"/>
          <w:b/>
          <w:sz w:val="20"/>
        </w:rPr>
        <w:t>95.81% cross-day generalizability</w:t>
      </w:r>
      <w:r>
        <w:rPr>
          <w:rFonts w:ascii="Times New Roman" w:hAnsi="Times New Roman"/>
          <w:sz w:val="20"/>
        </w:rPr>
        <w:t xml:space="preserve"> under Leave-One-Day-Out validation. Transpilation of the probability surface into a Flash-resident lookup table guarantees sub-microsecond latency ($&lt; 1.0\ \mu\text{s}$), zero dynamic heap allocation, and 100% numerical parity on edge microcontrollers. The proposed system provides a practical, low-cost solution for automated post-harvest quality monitoring across agricultural storage facilities, supply chain transit, and retail shelves.</w:t>
      </w:r>
    </w:p>
    <w:p>
      <w:pPr>
        <w:keepNext/>
        <w:spacing w:before="240" w:after="80"/>
        <w:jc w:val="center"/>
      </w:pPr>
      <w:r>
        <w:rPr>
          <w:rFonts w:ascii="Times New Roman" w:hAnsi="Times New Roman"/>
          <w:b/>
          <w:smallCaps/>
          <w:sz w:val="20"/>
        </w:rPr>
        <w:t>REFERENCES</w:t>
      </w:r>
    </w:p>
    <w:p>
      <w:pPr>
        <w:spacing w:before="0" w:after="60" w:line="240" w:lineRule="auto"/>
        <w:ind w:left="360" w:hanging="360"/>
        <w:jc w:val="both"/>
      </w:pPr>
      <w:r>
        <w:rPr>
          <w:rFonts w:ascii="Times New Roman" w:hAnsi="Times New Roman"/>
          <w:sz w:val="16"/>
        </w:rPr>
        <w:t>[1] Food and Agriculture Organization of the United Nations (FAO), *The State of Food and Agriculture: Moving forward on food loss and waste reduction*, Rome, Italy: FAO, 2019.</w:t>
      </w:r>
    </w:p>
    <w:p>
      <w:pPr>
        <w:spacing w:before="0" w:after="60" w:line="240" w:lineRule="auto"/>
        <w:ind w:left="360" w:hanging="360"/>
        <w:jc w:val="both"/>
      </w:pPr>
      <w:r>
        <w:rPr>
          <w:rFonts w:ascii="Times New Roman" w:hAnsi="Times New Roman"/>
          <w:sz w:val="16"/>
        </w:rPr>
        <w:t>[2] B. M. Nicolaï et al., "Nondestructive measurement of fruit and vegetable quality by means of NIR spectroscopy: A review," *Postharvest Biology and Technology*, vol. 46, no. 2, pp. 99–118, 2007.</w:t>
      </w:r>
    </w:p>
    <w:p>
      <w:pPr>
        <w:spacing w:before="0" w:after="60" w:line="240" w:lineRule="auto"/>
        <w:ind w:left="360" w:hanging="360"/>
        <w:jc w:val="both"/>
      </w:pPr>
      <w:r>
        <w:rPr>
          <w:rFonts w:ascii="Times New Roman" w:hAnsi="Times New Roman"/>
          <w:sz w:val="16"/>
        </w:rPr>
        <w:t>[3] S. Grassi et al., "Advances in electronic nose technology for food quality inspection: A review," *Sensors*, vol. 22, no. 8, p. 2934, 2022.</w:t>
      </w:r>
    </w:p>
    <w:p>
      <w:pPr>
        <w:spacing w:before="0" w:after="60" w:line="240" w:lineRule="auto"/>
        <w:ind w:left="360" w:hanging="360"/>
        <w:jc w:val="both"/>
      </w:pPr>
      <w:r>
        <w:rPr>
          <w:rFonts w:ascii="Times New Roman" w:hAnsi="Times New Roman"/>
          <w:sz w:val="16"/>
        </w:rPr>
        <w:t>[4] J. Blasco et al., "Machine vision-based quality inspection of agricultural products," *Computers and Electronics in Agriculture*, vol. 182, p. 106012, 2021.</w:t>
      </w:r>
    </w:p>
    <w:p>
      <w:pPr>
        <w:spacing w:before="0" w:after="60" w:line="240" w:lineRule="auto"/>
        <w:ind w:left="360" w:hanging="360"/>
        <w:jc w:val="both"/>
      </w:pPr>
      <w:r>
        <w:rPr>
          <w:rFonts w:ascii="Times New Roman" w:hAnsi="Times New Roman"/>
          <w:sz w:val="16"/>
        </w:rPr>
        <w:t>[5] K. Arshak et al., "A review of gas sensors employed in electronic nose applications," *Sensor Review*, vol. 24, no. 2, pp. 181–198, 2004.</w:t>
      </w:r>
    </w:p>
    <w:p>
      <w:pPr>
        <w:spacing w:before="0" w:after="60" w:line="240" w:lineRule="auto"/>
        <w:ind w:left="360" w:hanging="360"/>
        <w:jc w:val="both"/>
      </w:pPr>
      <w:r>
        <w:rPr>
          <w:rFonts w:ascii="Times New Roman" w:hAnsi="Times New Roman"/>
          <w:sz w:val="16"/>
        </w:rPr>
        <w:t>[6] C. R. Banbury et al., "Benchmarking TinyML systems: Challenges and direction," *IEEE Micro*, vol. 41, no. 6, pp. 104–114, 2021.</w:t>
      </w:r>
    </w:p>
    <w:p>
      <w:pPr>
        <w:spacing w:before="0" w:after="60" w:line="240" w:lineRule="auto"/>
        <w:ind w:left="360" w:hanging="360"/>
        <w:jc w:val="both"/>
      </w:pPr>
      <w:r>
        <w:rPr>
          <w:rFonts w:ascii="Times New Roman" w:hAnsi="Times New Roman"/>
          <w:sz w:val="16"/>
        </w:rPr>
        <w:t>[7] N. Yamazoe, "Toward innovations of gas sensor technology," *Sensors and Actuators B: Chemical*, vol. 108, no. 1-2, pp. 2–14, 2005.</w:t>
      </w:r>
    </w:p>
    <w:p>
      <w:pPr>
        <w:spacing w:before="0" w:after="60" w:line="240" w:lineRule="auto"/>
        <w:ind w:left="360" w:hanging="360"/>
        <w:jc w:val="both"/>
      </w:pPr>
      <w:r>
        <w:rPr>
          <w:rFonts w:ascii="Times New Roman" w:hAnsi="Times New Roman"/>
          <w:sz w:val="16"/>
        </w:rPr>
        <w:t>[8] A. M. Dawoud, "Food Freshness E-Nose Benchmark Dataset," *Kaggle Datasets*, 2023. [Online]. Available: https://www.kaggle.com/datasets/ahmedmohameddawoud/food-freshness-e-nose-dataset.</w:t>
      </w:r>
    </w:p>
    <w:p>
      <w:pPr>
        <w:spacing w:before="0" w:after="60" w:line="240" w:lineRule="auto"/>
        <w:ind w:left="360" w:hanging="360"/>
        <w:jc w:val="both"/>
      </w:pPr>
      <w:r>
        <w:rPr>
          <w:rFonts w:ascii="Times New Roman" w:hAnsi="Times New Roman"/>
          <w:sz w:val="16"/>
        </w:rPr>
        <w:t>[9] L. Breiman, "Random forests," *Machine Learning*, vol. 45, no. 1, pp. 5–32, 2001.</w:t>
      </w:r>
    </w:p>
    <w:p>
      <w:pPr>
        <w:spacing w:before="0" w:after="60" w:line="240" w:lineRule="auto"/>
        <w:ind w:left="360" w:hanging="360"/>
        <w:jc w:val="both"/>
      </w:pPr>
      <w:r>
        <w:rPr>
          <w:rFonts w:ascii="Times New Roman" w:hAnsi="Times New Roman"/>
          <w:sz w:val="16"/>
        </w:rPr>
        <w:t>[10] D. H. Wolpert, "Stacked generalization," *Neural Networks*, vol. 5, no. 2, pp. 241–259, 1992.</w:t>
      </w:r>
    </w:p>
    <w:p>
      <w:pPr>
        <w:spacing w:before="0" w:after="60" w:line="240" w:lineRule="auto"/>
        <w:ind w:left="360" w:hanging="360"/>
        <w:jc w:val="both"/>
      </w:pPr>
      <w:r>
        <w:rPr>
          <w:rFonts w:ascii="Times New Roman" w:hAnsi="Times New Roman"/>
          <w:sz w:val="16"/>
        </w:rPr>
        <w:t>[11] F. Pedregosa et al., "Scikit-learn: Machine learning in Python," *Journal of Machine Learning Research*, vol. 12, pp. 2825–2830, 2011.</w:t>
      </w:r>
    </w:p>
    <w:p>
      <w:pPr>
        <w:spacing w:before="0" w:after="60" w:line="240" w:lineRule="auto"/>
        <w:ind w:left="360" w:hanging="360"/>
        <w:jc w:val="both"/>
      </w:pPr>
      <w:r>
        <w:rPr>
          <w:rFonts w:ascii="Times New Roman" w:hAnsi="Times New Roman"/>
          <w:sz w:val="16"/>
        </w:rPr>
        <w:t>[12] Espressif Systems, *ESP32 Series Datasheet*, v4.1, Shanghai, China, 2023.</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