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E4D">
      <w:pPr>
        <w:jc w:val="center"/>
        <w:rPr>
          <w:b/>
          <w:bCs/>
          <w:sz w:val="34"/>
          <w:szCs w:val="34"/>
        </w:rPr>
      </w:pPr>
      <w:r>
        <w:rPr>
          <w:b/>
          <w:bCs/>
          <w:sz w:val="34"/>
          <w:szCs w:val="34"/>
        </w:rPr>
        <w:t xml:space="preserve"> SIMATS ENGINEERING</w:t>
      </w:r>
    </w:p>
    <w:p w14:paraId="14C93ED4">
      <w:pPr>
        <w:jc w:val="center"/>
        <w:rPr>
          <w:rFonts w:hint="default"/>
          <w:b/>
          <w:bCs/>
          <w:sz w:val="28"/>
          <w:szCs w:val="28"/>
          <w:lang w:val="en-US"/>
        </w:rPr>
      </w:pPr>
      <w:r>
        <w:rPr>
          <w:b/>
          <w:bCs/>
          <w:sz w:val="28"/>
          <w:szCs w:val="28"/>
        </w:rPr>
        <w:t xml:space="preserve">ASSESSMENT TOOL </w:t>
      </w:r>
      <w:r>
        <w:rPr>
          <w:rFonts w:hint="default"/>
          <w:b/>
          <w:bCs/>
          <w:sz w:val="28"/>
          <w:szCs w:val="28"/>
          <w:lang w:val="en-US"/>
        </w:rPr>
        <w:t>1</w:t>
      </w:r>
    </w:p>
    <w:p w14:paraId="077C126D">
      <w:pPr>
        <w:jc w:val="center"/>
        <w:rPr>
          <w:b/>
          <w:bCs/>
          <w:sz w:val="34"/>
          <w:szCs w:val="34"/>
        </w:rPr>
      </w:pPr>
    </w:p>
    <w:p w14:paraId="3DDB970C">
      <w:pPr>
        <w:jc w:val="center"/>
        <w:rPr>
          <w:b/>
          <w:bCs/>
          <w:sz w:val="34"/>
          <w:szCs w:val="34"/>
        </w:rPr>
      </w:pPr>
    </w:p>
    <w:p w14:paraId="2C3E6AB9">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pPr>
        <w:rPr>
          <w:rFonts w:ascii="Arial" w:hAnsi="Arial" w:cs="Arial"/>
          <w:b/>
          <w:bCs/>
        </w:rPr>
      </w:pPr>
    </w:p>
    <w:p w14:paraId="61D38DB7">
      <w:pPr>
        <w:rPr>
          <w:rFonts w:ascii="Arial" w:hAnsi="Arial" w:cs="Arial"/>
          <w:b/>
          <w:bCs/>
        </w:rPr>
      </w:pPr>
    </w:p>
    <w:p w14:paraId="0BF09CD8">
      <w:pPr>
        <w:rPr>
          <w:rFonts w:ascii="Arial" w:hAnsi="Arial" w:cs="Arial"/>
          <w:b/>
          <w:bCs/>
        </w:rPr>
      </w:pPr>
      <w:bookmarkStart w:id="0" w:name="_GoBack"/>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bookmarkEnd w:id="0"/>
    </w:p>
    <w:p w14:paraId="28BDCB82">
      <w:pPr>
        <w:rPr>
          <w:rFonts w:ascii="Arial" w:hAnsi="Arial" w:cs="Arial"/>
          <w:b/>
          <w:bCs/>
        </w:rPr>
      </w:pPr>
    </w:p>
    <w:p w14:paraId="1435072E">
      <w:pPr>
        <w:rPr>
          <w:rFonts w:ascii="Arial" w:hAnsi="Arial" w:cs="Arial"/>
          <w:b/>
          <w:bCs/>
        </w:rPr>
      </w:pPr>
      <w:r>
        <w:rPr>
          <w:rFonts w:ascii="Arial" w:hAnsi="Arial" w:cs="Arial"/>
          <w:b/>
          <w:bCs/>
        </w:rPr>
        <w:t>COURSE OUTCOME COVERED</w:t>
      </w:r>
    </w:p>
    <w:p w14:paraId="51613817">
      <w:pPr>
        <w:rPr>
          <w:rFonts w:ascii="Arial" w:hAnsi="Arial" w:cs="Arial"/>
          <w:b/>
          <w:bCs/>
        </w:rPr>
      </w:pPr>
    </w:p>
    <w:p w14:paraId="19B1B608">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pPr>
        <w:jc w:val="both"/>
        <w:rPr>
          <w:rFonts w:ascii="Arial" w:hAnsi="Arial"/>
          <w:i/>
          <w:iCs/>
          <w:color w:val="000000"/>
          <w:lang w:val="en-US"/>
        </w:rPr>
      </w:pPr>
    </w:p>
    <w:p w14:paraId="294BD41C">
      <w:pPr>
        <w:rPr>
          <w:rFonts w:ascii="Arial" w:hAnsi="Arial" w:cs="Arial"/>
          <w:i/>
          <w:iCs/>
        </w:rPr>
      </w:pPr>
      <w:r>
        <w:rPr>
          <w:rFonts w:ascii="Arial" w:hAnsi="Arial" w:cs="Arial"/>
          <w:i/>
          <w:iCs/>
        </w:rPr>
        <w:t xml:space="preserve">Assessment Tool Weightage: </w:t>
      </w:r>
      <w:r>
        <w:rPr>
          <w:rFonts w:hint="default" w:ascii="Arial" w:hAnsi="Arial" w:cs="Arial"/>
          <w:i/>
          <w:iCs/>
          <w:lang w:val="en-US"/>
        </w:rPr>
        <w:t>35</w:t>
      </w:r>
      <w:r>
        <w:rPr>
          <w:rFonts w:ascii="Arial" w:hAnsi="Arial" w:cs="Arial"/>
          <w:i/>
          <w:iCs/>
        </w:rPr>
        <w:t>%</w:t>
      </w:r>
    </w:p>
    <w:p w14:paraId="5D1510D5">
      <w:pPr>
        <w:rPr>
          <w:rFonts w:ascii="Arial" w:hAnsi="Arial" w:cs="Arial"/>
          <w:i/>
          <w:iCs/>
        </w:rPr>
      </w:pPr>
    </w:p>
    <w:p w14:paraId="0C33B358">
      <w:pPr>
        <w:rPr>
          <w:rFonts w:ascii="Arial" w:hAnsi="Arial" w:cs="Arial"/>
          <w:lang w:val="en-US"/>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3673E307">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Total Marks:</w:t>
      </w:r>
      <w:r>
        <w:rPr>
          <w:rFonts w:ascii="Arial" w:hAnsi="Arial" w:cs="Arial"/>
          <w:b/>
          <w:bCs/>
          <w:lang w:val="en-US"/>
        </w:rPr>
        <w:t>50</w:t>
      </w:r>
    </w:p>
    <w:p w14:paraId="2AC0D735">
      <w:pPr>
        <w:rPr>
          <w:rFonts w:ascii="Arial" w:hAnsi="Arial" w:cs="Arial"/>
        </w:rPr>
      </w:pPr>
    </w:p>
    <w:p w14:paraId="430CDBC1">
      <w:pPr>
        <w:ind w:left="2880" w:firstLine="720"/>
        <w:rPr>
          <w:rFonts w:ascii="Arial" w:hAnsi="Arial" w:cs="Arial"/>
        </w:rPr>
      </w:pPr>
      <w:r>
        <w:rPr>
          <w:rFonts w:ascii="Arial" w:hAnsi="Arial" w:cs="Arial"/>
        </w:rPr>
        <w:t>Annexure A</w:t>
      </w:r>
    </w:p>
    <w:p w14:paraId="5F574A3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pPr>
        <w:rPr>
          <w:rFonts w:ascii="Arial" w:hAnsi="Arial" w:cs="Arial"/>
          <w:b/>
          <w:bCs/>
        </w:rPr>
      </w:pPr>
    </w:p>
    <w:p w14:paraId="0ABBB760">
      <w:pPr>
        <w:rPr>
          <w:b/>
          <w:bCs/>
        </w:rPr>
      </w:pPr>
    </w:p>
    <w:p w14:paraId="5E768822">
      <w:pPr>
        <w:rPr>
          <w:b/>
          <w:bCs/>
        </w:rPr>
      </w:pPr>
    </w:p>
    <w:p w14:paraId="04516B47">
      <w:pPr>
        <w:rPr>
          <w:b/>
          <w:bCs/>
        </w:rPr>
      </w:pPr>
    </w:p>
    <w:p w14:paraId="428D3DFD">
      <w:pPr>
        <w:rPr>
          <w:b/>
          <w:bCs/>
        </w:rPr>
      </w:pPr>
    </w:p>
    <w:p w14:paraId="3F8FD96B">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C94B4CB">
      <w:pPr>
        <w:rPr>
          <w:b/>
          <w:bCs/>
        </w:rPr>
      </w:pPr>
    </w:p>
    <w:p w14:paraId="3FE877D5">
      <w:pPr>
        <w:rPr>
          <w:b/>
          <w:bCs/>
          <w:i/>
          <w:iCs/>
        </w:rPr>
      </w:pPr>
      <w:r>
        <w:rPr>
          <w:b/>
          <w:bCs/>
          <w:i/>
          <w:iCs/>
        </w:rPr>
        <w:t>Code of Conduct:</w:t>
      </w:r>
    </w:p>
    <w:p w14:paraId="544A0709">
      <w:pPr>
        <w:rPr>
          <w:i/>
          <w:iCs/>
        </w:rPr>
      </w:pPr>
    </w:p>
    <w:p w14:paraId="36FCCA3F">
      <w:pPr>
        <w:jc w:val="both"/>
        <w:rPr>
          <w:i/>
          <w:iCs/>
        </w:rPr>
      </w:pPr>
      <w:r>
        <w:rPr>
          <w:i/>
          <w:iCs/>
        </w:rPr>
        <w:t>I ____________________ (Name / Reg No) certify that this submission is my original work and that I have adhered to the guidelines specified for this assessment.</w:t>
      </w:r>
    </w:p>
    <w:p w14:paraId="1AE7B4E5">
      <w:pPr>
        <w:jc w:val="both"/>
        <w:rPr>
          <w:i/>
          <w:iCs/>
        </w:rPr>
      </w:pPr>
      <w:r>
        <w:rPr>
          <w:i/>
          <w:iCs/>
        </w:rPr>
        <w:t>I understand that any violation of academic integrity rules will result in disciplinary action.</w:t>
      </w:r>
    </w:p>
    <w:p w14:paraId="46137F25">
      <w:pPr>
        <w:rPr>
          <w:i/>
          <w:iCs/>
        </w:rPr>
      </w:pPr>
    </w:p>
    <w:p w14:paraId="750192FE">
      <w:pPr>
        <w:rPr>
          <w:b/>
          <w:bCs/>
          <w:i/>
          <w:iCs/>
        </w:rPr>
      </w:pPr>
      <w:r>
        <w:rPr>
          <w:b/>
          <w:bCs/>
          <w:i/>
          <w:iCs/>
        </w:rPr>
        <w:t>Signature of the student:</w:t>
      </w:r>
    </w:p>
    <w:p w14:paraId="58711155"/>
    <w:p w14:paraId="04B2DBD9">
      <w:pPr>
        <w:rPr>
          <w:i/>
          <w:iCs/>
        </w:rPr>
      </w:pPr>
    </w:p>
    <w:p w14:paraId="5CA8D1DF">
      <w:pPr>
        <w:rPr>
          <w:i/>
          <w:iCs/>
        </w:rPr>
      </w:pPr>
    </w:p>
    <w:p w14:paraId="53884123">
      <w:pPr>
        <w:rPr>
          <w:i/>
          <w:iCs/>
        </w:rPr>
      </w:pPr>
    </w:p>
    <w:p w14:paraId="2D37AF7C">
      <w:pPr>
        <w:rPr>
          <w:i/>
          <w:iCs/>
        </w:rPr>
      </w:pPr>
    </w:p>
    <w:p w14:paraId="4C5404BC">
      <w:pPr>
        <w:rPr>
          <w:i/>
          <w:iCs/>
        </w:rPr>
      </w:pPr>
    </w:p>
    <w:p w14:paraId="4E466E39">
      <w:pPr>
        <w:rPr>
          <w:i/>
          <w:iCs/>
        </w:rPr>
      </w:pPr>
    </w:p>
    <w:p w14:paraId="7EFF56F2">
      <w:pPr>
        <w:rPr>
          <w:i/>
          <w:iCs/>
        </w:rPr>
      </w:pPr>
    </w:p>
    <w:p w14:paraId="24B784BE">
      <w:pPr>
        <w:rPr>
          <w:i/>
          <w:iCs/>
        </w:rPr>
      </w:pPr>
    </w:p>
    <w:p w14:paraId="2F6C2632">
      <w:pPr>
        <w:rPr>
          <w:i/>
          <w:iCs/>
        </w:rPr>
      </w:pPr>
    </w:p>
    <w:p w14:paraId="63021657">
      <w:pPr>
        <w:ind w:left="3600"/>
        <w:jc w:val="both"/>
        <w:rPr>
          <w:rFonts w:ascii="Arial" w:hAnsi="Arial" w:cs="Arial"/>
        </w:rPr>
      </w:pPr>
      <w:r>
        <w:rPr>
          <w:rFonts w:ascii="Arial" w:hAnsi="Arial" w:cs="Arial"/>
          <w:lang w:val="en-US"/>
        </w:rPr>
        <w:t>A</w:t>
      </w:r>
      <w:r>
        <w:rPr>
          <w:rFonts w:ascii="Arial" w:hAnsi="Arial" w:cs="Arial"/>
        </w:rPr>
        <w:t>nnexure A</w:t>
      </w:r>
    </w:p>
    <w:p w14:paraId="62200110">
      <w:pPr>
        <w:ind w:left="1440" w:firstLine="720"/>
        <w:jc w:val="both"/>
        <w:rPr>
          <w:rFonts w:ascii="Arial" w:hAnsi="Arial" w:cs="Arial"/>
        </w:rPr>
      </w:pPr>
    </w:p>
    <w:p w14:paraId="24BEF198">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pPr>
        <w:ind w:left="2160" w:firstLine="720"/>
        <w:rPr>
          <w:rFonts w:ascii="Arial" w:hAnsi="Arial" w:cs="Arial"/>
          <w:b/>
          <w:bCs/>
          <w:lang w:val="en-US"/>
        </w:rPr>
      </w:pPr>
    </w:p>
    <w:p w14:paraId="0B9D3187">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pPr>
        <w:spacing w:after="160" w:line="256" w:lineRule="auto"/>
        <w:jc w:val="both"/>
        <w:rPr>
          <w:rFonts w:eastAsia="Calibri"/>
          <w:kern w:val="2"/>
          <w:lang w:eastAsia="zh-CN" w:bidi="ar"/>
        </w:rPr>
      </w:pPr>
      <w:r>
        <w:rPr>
          <w:rFonts w:eastAsia="Calibri"/>
          <w:kern w:val="2"/>
          <w:lang w:eastAsia="zh-CN" w:bidi="ar"/>
        </w:rPr>
        <w:t>Tasks:</w:t>
      </w:r>
    </w:p>
    <w:p w14:paraId="140C4E9A">
      <w:pPr>
        <w:pStyle w:val="18"/>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pPr>
        <w:pStyle w:val="18"/>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pPr>
        <w:spacing w:after="160" w:line="256" w:lineRule="auto"/>
        <w:jc w:val="both"/>
        <w:rPr>
          <w:rFonts w:eastAsia="Calibri"/>
          <w:kern w:val="2"/>
          <w:lang w:eastAsia="zh-CN" w:bidi="ar"/>
        </w:rPr>
      </w:pPr>
      <w:r>
        <w:rPr>
          <w:rFonts w:eastAsia="Calibri"/>
          <w:kern w:val="2"/>
          <w:lang w:eastAsia="zh-CN" w:bidi="ar"/>
        </w:rPr>
        <w:t>Tasks:</w:t>
      </w:r>
    </w:p>
    <w:p w14:paraId="580E6E39">
      <w:pPr>
        <w:pStyle w:val="18"/>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pPr>
        <w:pStyle w:val="18"/>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pPr>
        <w:spacing w:after="160" w:line="256" w:lineRule="auto"/>
        <w:ind w:left="7560" w:firstLine="360"/>
        <w:jc w:val="both"/>
        <w:rPr>
          <w:rFonts w:eastAsia="Calibri"/>
          <w:b/>
          <w:bCs/>
          <w:kern w:val="2"/>
          <w:lang w:eastAsia="zh-CN" w:bidi="ar"/>
        </w:rPr>
      </w:pPr>
    </w:p>
    <w:p w14:paraId="34159486">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pPr>
        <w:spacing w:after="160" w:line="256" w:lineRule="auto"/>
        <w:jc w:val="both"/>
        <w:rPr>
          <w:rFonts w:eastAsia="Calibri"/>
          <w:kern w:val="2"/>
          <w:lang w:eastAsia="zh-CN" w:bidi="ar"/>
        </w:rPr>
      </w:pPr>
      <w:r>
        <w:rPr>
          <w:rFonts w:eastAsia="Calibri"/>
          <w:kern w:val="2"/>
          <w:lang w:eastAsia="zh-CN" w:bidi="ar"/>
        </w:rPr>
        <w:t>Tasks:</w:t>
      </w:r>
    </w:p>
    <w:p w14:paraId="154D9046">
      <w:pPr>
        <w:pStyle w:val="18"/>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pPr>
        <w:pStyle w:val="18"/>
        <w:spacing w:after="160" w:line="256" w:lineRule="auto"/>
        <w:ind w:left="7200" w:firstLine="720"/>
        <w:jc w:val="both"/>
        <w:rPr>
          <w:rFonts w:eastAsia="Calibri"/>
          <w:b/>
          <w:bCs/>
          <w:kern w:val="2"/>
          <w:lang w:eastAsia="zh-CN" w:bidi="ar"/>
        </w:rPr>
      </w:pPr>
    </w:p>
    <w:p w14:paraId="64D1D9D7">
      <w:pPr>
        <w:pStyle w:val="16"/>
        <w:ind w:left="7200"/>
        <w:jc w:val="both"/>
        <w:rPr>
          <w:rFonts w:ascii="Arial" w:hAnsi="Arial" w:cs="Arial"/>
          <w:sz w:val="24"/>
          <w:szCs w:val="24"/>
          <w:lang w:val="en-US"/>
        </w:rPr>
      </w:pPr>
    </w:p>
    <w:p w14:paraId="415894AF">
      <w:pPr>
        <w:pStyle w:val="16"/>
        <w:jc w:val="both"/>
        <w:rPr>
          <w:rFonts w:ascii="Arial" w:hAnsi="Arial" w:cs="Arial"/>
          <w:sz w:val="24"/>
          <w:szCs w:val="24"/>
          <w:lang w:val="en-US"/>
        </w:rPr>
      </w:pPr>
    </w:p>
    <w:p w14:paraId="659A678C">
      <w:pPr>
        <w:pStyle w:val="16"/>
        <w:ind w:left="5040"/>
        <w:jc w:val="both"/>
        <w:rPr>
          <w:rFonts w:ascii="Arial" w:hAnsi="Arial" w:cs="Arial"/>
          <w:sz w:val="24"/>
          <w:szCs w:val="24"/>
          <w:lang w:val="en-US"/>
        </w:rPr>
      </w:pPr>
    </w:p>
    <w:p w14:paraId="1CEF9C82">
      <w:pPr>
        <w:pStyle w:val="16"/>
        <w:jc w:val="both"/>
        <w:rPr>
          <w:rFonts w:ascii="Arial" w:hAnsi="Arial" w:cs="Arial"/>
          <w:sz w:val="24"/>
          <w:szCs w:val="24"/>
          <w:lang w:val="en-US"/>
        </w:rPr>
      </w:pPr>
    </w:p>
    <w:p w14:paraId="3F9AF5D2">
      <w:pPr>
        <w:pStyle w:val="16"/>
        <w:jc w:val="both"/>
        <w:rPr>
          <w:rFonts w:ascii="Arial" w:hAnsi="Arial" w:cs="Arial"/>
          <w:sz w:val="24"/>
          <w:szCs w:val="24"/>
          <w:lang w:val="en-US"/>
        </w:rPr>
      </w:pPr>
    </w:p>
    <w:p w14:paraId="30BAAC79">
      <w:pPr>
        <w:pStyle w:val="16"/>
        <w:jc w:val="both"/>
        <w:rPr>
          <w:rFonts w:ascii="Arial" w:hAnsi="Arial" w:cs="Arial"/>
          <w:sz w:val="24"/>
          <w:szCs w:val="24"/>
          <w:lang w:val="en-US"/>
        </w:rPr>
      </w:pPr>
    </w:p>
    <w:p w14:paraId="73504067">
      <w:pPr>
        <w:pStyle w:val="16"/>
        <w:jc w:val="both"/>
        <w:rPr>
          <w:rFonts w:ascii="Arial" w:hAnsi="Arial" w:cs="Arial"/>
          <w:sz w:val="24"/>
          <w:szCs w:val="24"/>
          <w:lang w:val="en-US"/>
        </w:rPr>
      </w:pPr>
    </w:p>
    <w:p w14:paraId="35BC7DF1">
      <w:pPr>
        <w:pStyle w:val="16"/>
        <w:jc w:val="both"/>
        <w:rPr>
          <w:rFonts w:ascii="Arial" w:hAnsi="Arial" w:cs="Arial"/>
          <w:sz w:val="24"/>
          <w:szCs w:val="24"/>
          <w:lang w:val="en-US"/>
        </w:rPr>
      </w:pPr>
    </w:p>
    <w:p w14:paraId="5B022314">
      <w:pPr>
        <w:pStyle w:val="16"/>
        <w:jc w:val="both"/>
        <w:rPr>
          <w:rFonts w:ascii="Arial" w:hAnsi="Arial" w:cs="Arial"/>
          <w:sz w:val="24"/>
          <w:szCs w:val="24"/>
          <w:lang w:val="en-US"/>
        </w:rPr>
      </w:pPr>
    </w:p>
    <w:p w14:paraId="619F0729">
      <w:pPr>
        <w:pStyle w:val="16"/>
        <w:jc w:val="both"/>
        <w:rPr>
          <w:rFonts w:ascii="Arial" w:hAnsi="Arial" w:cs="Arial"/>
          <w:b/>
          <w:bCs/>
          <w:sz w:val="24"/>
          <w:szCs w:val="24"/>
          <w:lang w:val="en-US"/>
        </w:rPr>
      </w:pPr>
    </w:p>
    <w:p w14:paraId="2CE2ABFA">
      <w:pPr>
        <w:pStyle w:val="16"/>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pPr>
        <w:pStyle w:val="16"/>
        <w:jc w:val="both"/>
        <w:rPr>
          <w:rFonts w:ascii="Arial" w:hAnsi="Arial" w:cs="Arial"/>
          <w:sz w:val="24"/>
          <w:szCs w:val="24"/>
        </w:rPr>
      </w:pPr>
    </w:p>
    <w:p w14:paraId="1E598585">
      <w:pPr>
        <w:pStyle w:val="16"/>
        <w:jc w:val="both"/>
        <w:rPr>
          <w:rFonts w:ascii="Arial" w:hAnsi="Arial" w:cs="Arial"/>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3543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6B63F8EF">
            <w:pPr>
              <w:jc w:val="center"/>
              <w:rPr>
                <w:b/>
                <w:bCs/>
                <w:lang w:eastAsia="en-IN"/>
              </w:rPr>
            </w:pPr>
            <w:r>
              <w:rPr>
                <w:rFonts w:ascii="Arial" w:hAnsi="Arial" w:cs="Arial"/>
                <w:b/>
                <w:bCs/>
                <w:color w:val="000000"/>
                <w:sz w:val="20"/>
                <w:szCs w:val="20"/>
              </w:rPr>
              <w:t>Criteria</w:t>
            </w:r>
          </w:p>
        </w:tc>
        <w:tc>
          <w:tcPr>
            <w:tcW w:w="1650" w:type="dxa"/>
            <w:vAlign w:val="center"/>
          </w:tcPr>
          <w:p w14:paraId="7551DCCF">
            <w:pPr>
              <w:jc w:val="center"/>
              <w:rPr>
                <w:b/>
                <w:bCs/>
                <w:lang w:eastAsia="en-IN"/>
              </w:rPr>
            </w:pPr>
            <w:r>
              <w:rPr>
                <w:rFonts w:ascii="Arial" w:hAnsi="Arial" w:cs="Arial"/>
                <w:b/>
                <w:bCs/>
                <w:color w:val="000000"/>
                <w:sz w:val="20"/>
                <w:szCs w:val="20"/>
              </w:rPr>
              <w:t>Weightage (%)</w:t>
            </w:r>
          </w:p>
        </w:tc>
        <w:tc>
          <w:tcPr>
            <w:tcW w:w="1266" w:type="dxa"/>
            <w:vAlign w:val="center"/>
          </w:tcPr>
          <w:p w14:paraId="6090F84B">
            <w:pPr>
              <w:jc w:val="center"/>
              <w:rPr>
                <w:b/>
                <w:bCs/>
                <w:lang w:eastAsia="en-IN"/>
              </w:rPr>
            </w:pPr>
            <w:r>
              <w:rPr>
                <w:rFonts w:ascii="Arial" w:hAnsi="Arial" w:cs="Arial"/>
                <w:b/>
                <w:bCs/>
                <w:color w:val="000000"/>
                <w:sz w:val="20"/>
                <w:szCs w:val="20"/>
              </w:rPr>
              <w:t>Level 4 (Exemplary)</w:t>
            </w:r>
          </w:p>
        </w:tc>
        <w:tc>
          <w:tcPr>
            <w:tcW w:w="1482" w:type="dxa"/>
            <w:vAlign w:val="center"/>
          </w:tcPr>
          <w:p w14:paraId="34924245">
            <w:pPr>
              <w:jc w:val="center"/>
              <w:rPr>
                <w:b/>
                <w:bCs/>
                <w:lang w:eastAsia="en-IN"/>
              </w:rPr>
            </w:pPr>
            <w:r>
              <w:rPr>
                <w:rFonts w:ascii="Arial" w:hAnsi="Arial" w:cs="Arial"/>
                <w:b/>
                <w:bCs/>
                <w:color w:val="000000"/>
                <w:sz w:val="20"/>
                <w:szCs w:val="20"/>
              </w:rPr>
              <w:t>Level 3 (Proficient)</w:t>
            </w:r>
          </w:p>
        </w:tc>
        <w:tc>
          <w:tcPr>
            <w:tcW w:w="1719" w:type="dxa"/>
            <w:vAlign w:val="center"/>
          </w:tcPr>
          <w:p w14:paraId="6A050F8E">
            <w:pPr>
              <w:jc w:val="center"/>
              <w:rPr>
                <w:b/>
                <w:bCs/>
                <w:lang w:eastAsia="en-IN"/>
              </w:rPr>
            </w:pPr>
            <w:r>
              <w:rPr>
                <w:rFonts w:ascii="Arial" w:hAnsi="Arial" w:cs="Arial"/>
                <w:b/>
                <w:bCs/>
                <w:color w:val="000000"/>
                <w:sz w:val="20"/>
                <w:szCs w:val="20"/>
              </w:rPr>
              <w:t>Level 2 (Developing)</w:t>
            </w:r>
          </w:p>
        </w:tc>
        <w:tc>
          <w:tcPr>
            <w:tcW w:w="1372" w:type="dxa"/>
            <w:vAlign w:val="center"/>
          </w:tcPr>
          <w:p w14:paraId="5F32A728">
            <w:pPr>
              <w:jc w:val="center"/>
              <w:rPr>
                <w:b/>
                <w:bCs/>
                <w:lang w:eastAsia="en-IN"/>
              </w:rPr>
            </w:pPr>
            <w:r>
              <w:rPr>
                <w:rFonts w:ascii="Arial" w:hAnsi="Arial" w:cs="Arial"/>
                <w:b/>
                <w:bCs/>
                <w:color w:val="000000"/>
                <w:sz w:val="20"/>
                <w:szCs w:val="20"/>
              </w:rPr>
              <w:t>Level 1 (Beginning)</w:t>
            </w:r>
          </w:p>
        </w:tc>
      </w:tr>
      <w:tr w14:paraId="1EF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B35F81E">
            <w:pPr>
              <w:rPr>
                <w:lang w:eastAsia="en-IN"/>
              </w:rPr>
            </w:pPr>
            <w:r>
              <w:rPr>
                <w:rFonts w:ascii="Arial" w:hAnsi="Arial" w:cs="Arial"/>
                <w:color w:val="000000"/>
                <w:sz w:val="20"/>
                <w:szCs w:val="20"/>
              </w:rPr>
              <w:t>Understanding of Scenario</w:t>
            </w:r>
          </w:p>
        </w:tc>
        <w:tc>
          <w:tcPr>
            <w:tcW w:w="1650" w:type="dxa"/>
            <w:vAlign w:val="center"/>
          </w:tcPr>
          <w:p w14:paraId="607C9C6B">
            <w:pPr>
              <w:jc w:val="center"/>
              <w:rPr>
                <w:b/>
                <w:bCs/>
                <w:lang w:eastAsia="en-IN"/>
              </w:rPr>
            </w:pPr>
            <w:r>
              <w:rPr>
                <w:rFonts w:ascii="Arial" w:hAnsi="Arial" w:cs="Arial"/>
                <w:color w:val="000000"/>
                <w:sz w:val="20"/>
                <w:szCs w:val="20"/>
              </w:rPr>
              <w:t>20%</w:t>
            </w:r>
          </w:p>
        </w:tc>
        <w:tc>
          <w:tcPr>
            <w:tcW w:w="1266" w:type="dxa"/>
            <w:vAlign w:val="center"/>
          </w:tcPr>
          <w:p w14:paraId="2789A916">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pPr>
              <w:rPr>
                <w:lang w:eastAsia="en-IN"/>
              </w:rPr>
            </w:pPr>
            <w:r>
              <w:rPr>
                <w:rFonts w:ascii="Arial" w:hAnsi="Arial" w:cs="Arial"/>
                <w:color w:val="000000"/>
                <w:sz w:val="20"/>
                <w:szCs w:val="20"/>
              </w:rPr>
              <w:t>Shows good understanding with minor gaps</w:t>
            </w:r>
          </w:p>
        </w:tc>
        <w:tc>
          <w:tcPr>
            <w:tcW w:w="1719" w:type="dxa"/>
            <w:vAlign w:val="center"/>
          </w:tcPr>
          <w:p w14:paraId="17CD914A">
            <w:pPr>
              <w:rPr>
                <w:lang w:eastAsia="en-IN"/>
              </w:rPr>
            </w:pPr>
            <w:r>
              <w:rPr>
                <w:rFonts w:ascii="Arial" w:hAnsi="Arial" w:cs="Arial"/>
                <w:color w:val="000000"/>
                <w:sz w:val="20"/>
                <w:szCs w:val="20"/>
              </w:rPr>
              <w:t>Partial understanding; misses key aspects</w:t>
            </w:r>
          </w:p>
        </w:tc>
        <w:tc>
          <w:tcPr>
            <w:tcW w:w="1372" w:type="dxa"/>
            <w:vAlign w:val="center"/>
          </w:tcPr>
          <w:p w14:paraId="444B7C87">
            <w:pPr>
              <w:jc w:val="center"/>
              <w:rPr>
                <w:lang w:eastAsia="en-IN"/>
              </w:rPr>
            </w:pPr>
            <w:r>
              <w:rPr>
                <w:rFonts w:ascii="Arial" w:hAnsi="Arial" w:cs="Arial"/>
                <w:color w:val="000000"/>
                <w:sz w:val="20"/>
                <w:szCs w:val="20"/>
              </w:rPr>
              <w:t>Misinterprets or fails to understand the scenario</w:t>
            </w:r>
          </w:p>
        </w:tc>
      </w:tr>
      <w:tr w14:paraId="423C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ED2BA90">
            <w:pPr>
              <w:rPr>
                <w:lang w:eastAsia="en-IN"/>
              </w:rPr>
            </w:pPr>
            <w:r>
              <w:rPr>
                <w:rFonts w:ascii="Arial" w:hAnsi="Arial" w:cs="Arial"/>
                <w:color w:val="000000"/>
                <w:sz w:val="20"/>
                <w:szCs w:val="20"/>
              </w:rPr>
              <w:t>Identification of Key Issues</w:t>
            </w:r>
          </w:p>
        </w:tc>
        <w:tc>
          <w:tcPr>
            <w:tcW w:w="1650" w:type="dxa"/>
            <w:vAlign w:val="center"/>
          </w:tcPr>
          <w:p w14:paraId="354C0E64">
            <w:pPr>
              <w:jc w:val="center"/>
              <w:rPr>
                <w:b/>
                <w:bCs/>
                <w:lang w:eastAsia="en-IN"/>
              </w:rPr>
            </w:pPr>
            <w:r>
              <w:rPr>
                <w:rFonts w:ascii="Arial" w:hAnsi="Arial" w:cs="Arial"/>
                <w:color w:val="000000"/>
                <w:sz w:val="20"/>
                <w:szCs w:val="20"/>
              </w:rPr>
              <w:t>20%</w:t>
            </w:r>
          </w:p>
        </w:tc>
        <w:tc>
          <w:tcPr>
            <w:tcW w:w="1266" w:type="dxa"/>
            <w:vAlign w:val="center"/>
          </w:tcPr>
          <w:p w14:paraId="41D0D145">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pPr>
              <w:rPr>
                <w:lang w:eastAsia="en-IN"/>
              </w:rPr>
            </w:pPr>
            <w:r>
              <w:rPr>
                <w:rFonts w:ascii="Arial" w:hAnsi="Arial" w:cs="Arial"/>
                <w:color w:val="000000"/>
                <w:sz w:val="20"/>
                <w:szCs w:val="20"/>
              </w:rPr>
              <w:t>Identifies most key issues with minor omissions</w:t>
            </w:r>
          </w:p>
        </w:tc>
        <w:tc>
          <w:tcPr>
            <w:tcW w:w="1719" w:type="dxa"/>
            <w:vAlign w:val="center"/>
          </w:tcPr>
          <w:p w14:paraId="27903AE4">
            <w:pPr>
              <w:rPr>
                <w:lang w:eastAsia="en-IN"/>
              </w:rPr>
            </w:pPr>
            <w:r>
              <w:rPr>
                <w:rFonts w:ascii="Arial" w:hAnsi="Arial" w:cs="Arial"/>
                <w:color w:val="000000"/>
                <w:sz w:val="20"/>
                <w:szCs w:val="20"/>
              </w:rPr>
              <w:t>Identifies limited issues; some irrelevant points</w:t>
            </w:r>
          </w:p>
        </w:tc>
        <w:tc>
          <w:tcPr>
            <w:tcW w:w="1372" w:type="dxa"/>
            <w:vAlign w:val="center"/>
          </w:tcPr>
          <w:p w14:paraId="632FF7A6">
            <w:pPr>
              <w:jc w:val="center"/>
              <w:rPr>
                <w:lang w:eastAsia="en-IN"/>
              </w:rPr>
            </w:pPr>
            <w:r>
              <w:rPr>
                <w:rFonts w:ascii="Arial" w:hAnsi="Arial" w:cs="Arial"/>
                <w:color w:val="000000"/>
                <w:sz w:val="20"/>
                <w:szCs w:val="20"/>
              </w:rPr>
              <w:t>Unable to identify key issues</w:t>
            </w:r>
          </w:p>
        </w:tc>
      </w:tr>
      <w:tr w14:paraId="166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AD1B3">
            <w:pPr>
              <w:rPr>
                <w:lang w:eastAsia="en-IN"/>
              </w:rPr>
            </w:pPr>
            <w:r>
              <w:rPr>
                <w:rFonts w:ascii="Arial" w:hAnsi="Arial" w:cs="Arial"/>
                <w:color w:val="000000"/>
                <w:sz w:val="20"/>
                <w:szCs w:val="20"/>
              </w:rPr>
              <w:t>Application of Concepts</w:t>
            </w:r>
          </w:p>
        </w:tc>
        <w:tc>
          <w:tcPr>
            <w:tcW w:w="1650" w:type="dxa"/>
            <w:vAlign w:val="center"/>
          </w:tcPr>
          <w:p w14:paraId="73CB8D6D">
            <w:pPr>
              <w:jc w:val="center"/>
              <w:rPr>
                <w:b/>
                <w:bCs/>
                <w:lang w:eastAsia="en-IN"/>
              </w:rPr>
            </w:pPr>
            <w:r>
              <w:rPr>
                <w:rFonts w:ascii="Arial" w:hAnsi="Arial" w:cs="Arial"/>
                <w:color w:val="000000"/>
                <w:sz w:val="20"/>
                <w:szCs w:val="20"/>
              </w:rPr>
              <w:t>25%</w:t>
            </w:r>
          </w:p>
        </w:tc>
        <w:tc>
          <w:tcPr>
            <w:tcW w:w="1266" w:type="dxa"/>
            <w:vAlign w:val="center"/>
          </w:tcPr>
          <w:p w14:paraId="62FD80C9">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pPr>
              <w:rPr>
                <w:lang w:eastAsia="en-IN"/>
              </w:rPr>
            </w:pPr>
            <w:r>
              <w:rPr>
                <w:rFonts w:ascii="Arial" w:hAnsi="Arial" w:cs="Arial"/>
                <w:color w:val="000000"/>
                <w:sz w:val="20"/>
                <w:szCs w:val="20"/>
              </w:rPr>
              <w:t>Applies concepts with minor errors</w:t>
            </w:r>
          </w:p>
        </w:tc>
        <w:tc>
          <w:tcPr>
            <w:tcW w:w="1719" w:type="dxa"/>
            <w:vAlign w:val="center"/>
          </w:tcPr>
          <w:p w14:paraId="3FDAAB47">
            <w:pPr>
              <w:rPr>
                <w:lang w:eastAsia="en-IN"/>
              </w:rPr>
            </w:pPr>
            <w:r>
              <w:rPr>
                <w:rFonts w:ascii="Arial" w:hAnsi="Arial" w:cs="Arial"/>
                <w:color w:val="000000"/>
                <w:sz w:val="20"/>
                <w:szCs w:val="20"/>
              </w:rPr>
              <w:t>Limited or partially correct application</w:t>
            </w:r>
          </w:p>
        </w:tc>
        <w:tc>
          <w:tcPr>
            <w:tcW w:w="1372" w:type="dxa"/>
            <w:vAlign w:val="center"/>
          </w:tcPr>
          <w:p w14:paraId="42E997B0">
            <w:pPr>
              <w:jc w:val="center"/>
              <w:rPr>
                <w:lang w:eastAsia="en-IN"/>
              </w:rPr>
            </w:pPr>
            <w:r>
              <w:rPr>
                <w:rFonts w:ascii="Arial" w:hAnsi="Arial" w:cs="Arial"/>
                <w:color w:val="000000"/>
                <w:sz w:val="20"/>
                <w:szCs w:val="20"/>
              </w:rPr>
              <w:t>Unable to apply relevant concepts</w:t>
            </w:r>
          </w:p>
        </w:tc>
      </w:tr>
      <w:tr w14:paraId="7A0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09AD548">
            <w:pPr>
              <w:rPr>
                <w:lang w:eastAsia="en-IN"/>
              </w:rPr>
            </w:pPr>
            <w:r>
              <w:rPr>
                <w:rFonts w:ascii="Arial" w:hAnsi="Arial" w:cs="Arial"/>
                <w:color w:val="000000"/>
                <w:sz w:val="20"/>
                <w:szCs w:val="20"/>
              </w:rPr>
              <w:t>Decision Making</w:t>
            </w:r>
          </w:p>
        </w:tc>
        <w:tc>
          <w:tcPr>
            <w:tcW w:w="1650" w:type="dxa"/>
            <w:vAlign w:val="center"/>
          </w:tcPr>
          <w:p w14:paraId="7EF52D61">
            <w:pPr>
              <w:jc w:val="center"/>
              <w:rPr>
                <w:b/>
                <w:bCs/>
                <w:lang w:eastAsia="en-IN"/>
              </w:rPr>
            </w:pPr>
            <w:r>
              <w:rPr>
                <w:rFonts w:ascii="Arial" w:hAnsi="Arial" w:cs="Arial"/>
                <w:color w:val="000000"/>
                <w:sz w:val="20"/>
                <w:szCs w:val="20"/>
              </w:rPr>
              <w:t>20%</w:t>
            </w:r>
          </w:p>
        </w:tc>
        <w:tc>
          <w:tcPr>
            <w:tcW w:w="1266" w:type="dxa"/>
            <w:vAlign w:val="center"/>
          </w:tcPr>
          <w:p w14:paraId="1EDAD6C1">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pPr>
              <w:rPr>
                <w:lang w:eastAsia="en-IN"/>
              </w:rPr>
            </w:pPr>
            <w:r>
              <w:rPr>
                <w:rFonts w:ascii="Arial" w:hAnsi="Arial" w:cs="Arial"/>
                <w:color w:val="000000"/>
                <w:sz w:val="20"/>
                <w:szCs w:val="20"/>
              </w:rPr>
              <w:t>Makes weak decisions with limited justification</w:t>
            </w:r>
          </w:p>
        </w:tc>
        <w:tc>
          <w:tcPr>
            <w:tcW w:w="1372" w:type="dxa"/>
            <w:vAlign w:val="center"/>
          </w:tcPr>
          <w:p w14:paraId="4C447A11">
            <w:pPr>
              <w:jc w:val="center"/>
              <w:rPr>
                <w:lang w:eastAsia="en-IN"/>
              </w:rPr>
            </w:pPr>
            <w:r>
              <w:rPr>
                <w:rFonts w:ascii="Arial" w:hAnsi="Arial" w:cs="Arial"/>
                <w:color w:val="000000"/>
                <w:sz w:val="20"/>
                <w:szCs w:val="20"/>
              </w:rPr>
              <w:t>No clear decisions made or rationale provided</w:t>
            </w:r>
          </w:p>
        </w:tc>
      </w:tr>
      <w:tr w14:paraId="4BCA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E68A595">
            <w:pPr>
              <w:rPr>
                <w:lang w:eastAsia="en-IN"/>
              </w:rPr>
            </w:pPr>
            <w:r>
              <w:rPr>
                <w:rFonts w:ascii="Arial" w:hAnsi="Arial" w:cs="Arial"/>
                <w:color w:val="000000"/>
                <w:sz w:val="20"/>
                <w:szCs w:val="20"/>
              </w:rPr>
              <w:t>Clarity of Response</w:t>
            </w:r>
          </w:p>
        </w:tc>
        <w:tc>
          <w:tcPr>
            <w:tcW w:w="1650" w:type="dxa"/>
            <w:vAlign w:val="center"/>
          </w:tcPr>
          <w:p w14:paraId="7FA5202A">
            <w:pPr>
              <w:jc w:val="center"/>
              <w:rPr>
                <w:b/>
                <w:bCs/>
                <w:lang w:eastAsia="en-IN"/>
              </w:rPr>
            </w:pPr>
            <w:r>
              <w:rPr>
                <w:rFonts w:ascii="Arial" w:hAnsi="Arial" w:cs="Arial"/>
                <w:color w:val="000000"/>
                <w:sz w:val="20"/>
                <w:szCs w:val="20"/>
              </w:rPr>
              <w:t>15%</w:t>
            </w:r>
          </w:p>
        </w:tc>
        <w:tc>
          <w:tcPr>
            <w:tcW w:w="1266" w:type="dxa"/>
            <w:vAlign w:val="center"/>
          </w:tcPr>
          <w:p w14:paraId="7CCFDFB1">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pPr>
              <w:rPr>
                <w:lang w:eastAsia="en-IN"/>
              </w:rPr>
            </w:pPr>
            <w:r>
              <w:rPr>
                <w:rFonts w:ascii="Arial" w:hAnsi="Arial" w:cs="Arial"/>
                <w:color w:val="000000"/>
                <w:sz w:val="20"/>
                <w:szCs w:val="20"/>
              </w:rPr>
              <w:t>Generally clear with minor issues</w:t>
            </w:r>
          </w:p>
        </w:tc>
        <w:tc>
          <w:tcPr>
            <w:tcW w:w="1719" w:type="dxa"/>
            <w:vAlign w:val="center"/>
          </w:tcPr>
          <w:p w14:paraId="2FCB5981">
            <w:pPr>
              <w:rPr>
                <w:lang w:eastAsia="en-IN"/>
              </w:rPr>
            </w:pPr>
            <w:r>
              <w:rPr>
                <w:rFonts w:ascii="Arial" w:hAnsi="Arial" w:cs="Arial"/>
                <w:color w:val="000000"/>
                <w:sz w:val="20"/>
                <w:szCs w:val="20"/>
              </w:rPr>
              <w:t>Somewhat unclear or poorly structured</w:t>
            </w:r>
          </w:p>
        </w:tc>
        <w:tc>
          <w:tcPr>
            <w:tcW w:w="1372" w:type="dxa"/>
            <w:vAlign w:val="center"/>
          </w:tcPr>
          <w:p w14:paraId="273588B9">
            <w:pPr>
              <w:jc w:val="center"/>
              <w:rPr>
                <w:lang w:eastAsia="en-IN"/>
              </w:rPr>
            </w:pPr>
            <w:r>
              <w:rPr>
                <w:rFonts w:ascii="Arial" w:hAnsi="Arial" w:cs="Arial"/>
                <w:color w:val="000000"/>
                <w:sz w:val="20"/>
                <w:szCs w:val="20"/>
              </w:rPr>
              <w:t>Disorganized and difficult to understand</w:t>
            </w:r>
          </w:p>
        </w:tc>
      </w:tr>
    </w:tbl>
    <w:p w14:paraId="44CE8FE0">
      <w:pPr>
        <w:pStyle w:val="16"/>
        <w:jc w:val="both"/>
        <w:rPr>
          <w:rFonts w:ascii="Arial" w:hAnsi="Arial" w:cs="Arial"/>
          <w:sz w:val="24"/>
          <w:szCs w:val="24"/>
        </w:rPr>
      </w:pPr>
    </w:p>
    <w:p w14:paraId="43726BB4">
      <w:pPr>
        <w:pStyle w:val="16"/>
        <w:jc w:val="both"/>
        <w:rPr>
          <w:rFonts w:ascii="Arial" w:hAnsi="Arial" w:cs="Arial"/>
          <w:sz w:val="24"/>
          <w:szCs w:val="24"/>
        </w:rPr>
      </w:pPr>
    </w:p>
    <w:p w14:paraId="179A9E60">
      <w:pPr>
        <w:ind w:left="1440" w:firstLine="720"/>
      </w:pPr>
    </w:p>
    <w:p w14:paraId="21BA9561">
      <w:pPr>
        <w:rPr>
          <w:color w:val="000000"/>
        </w:rPr>
      </w:pPr>
    </w:p>
    <w:p w14:paraId="0E016F2D">
      <w:pPr>
        <w:jc w:val="center"/>
        <w:rPr>
          <w:b/>
          <w:bCs/>
          <w:sz w:val="34"/>
          <w:szCs w:val="34"/>
        </w:rPr>
      </w:pPr>
    </w:p>
    <w:p w14:paraId="6812C904">
      <w:pPr>
        <w:jc w:val="center"/>
        <w:rPr>
          <w:b/>
          <w:bCs/>
          <w:sz w:val="34"/>
          <w:szCs w:val="34"/>
        </w:rPr>
      </w:pPr>
    </w:p>
    <w:p w14:paraId="33B69D15">
      <w:pPr>
        <w:jc w:val="center"/>
        <w:rPr>
          <w:b/>
          <w:bCs/>
          <w:sz w:val="34"/>
          <w:szCs w:val="34"/>
        </w:rPr>
      </w:pPr>
    </w:p>
    <w:p w14:paraId="7FB5076A">
      <w:pPr>
        <w:jc w:val="center"/>
        <w:rPr>
          <w:b/>
          <w:bCs/>
          <w:sz w:val="34"/>
          <w:szCs w:val="34"/>
        </w:rPr>
      </w:pPr>
    </w:p>
    <w:p w14:paraId="5EEA7713">
      <w:pPr>
        <w:jc w:val="center"/>
        <w:rPr>
          <w:b/>
          <w:bCs/>
          <w:sz w:val="34"/>
          <w:szCs w:val="34"/>
        </w:rPr>
      </w:pPr>
    </w:p>
    <w:p w14:paraId="63E7009F">
      <w:pPr>
        <w:jc w:val="center"/>
        <w:rPr>
          <w:b/>
          <w:bCs/>
          <w:sz w:val="34"/>
          <w:szCs w:val="34"/>
        </w:rPr>
      </w:pPr>
    </w:p>
    <w:p w14:paraId="300FC31B">
      <w:pPr>
        <w:jc w:val="center"/>
        <w:rPr>
          <w:b/>
          <w:bCs/>
          <w:sz w:val="34"/>
          <w:szCs w:val="34"/>
        </w:rPr>
      </w:pPr>
    </w:p>
    <w:p w14:paraId="67BCB980">
      <w:pPr>
        <w:jc w:val="center"/>
        <w:rPr>
          <w:b/>
          <w:bCs/>
          <w:sz w:val="34"/>
          <w:szCs w:val="34"/>
        </w:rPr>
      </w:pPr>
    </w:p>
    <w:p>
      <w:r>
        <w:br w:type="page"/>
      </w:r>
    </w:p>
    <w:p>
      <w:pPr>
        <w:jc w:val="center"/>
      </w:pPr>
      <w:r>
        <w:rPr>
          <w:b/>
          <w:sz w:val="32"/>
        </w:rPr>
        <w:t>ASSESSMENT TOOL 1 – ANSWERS</w:t>
      </w:r>
    </w:p>
    <w:p>
      <w:pPr>
        <w:spacing w:before="160" w:after="80"/>
      </w:pPr>
      <w:r>
        <w:rPr>
          <w:b/>
          <w:sz w:val="24"/>
        </w:rPr>
        <w:t>1. AI-Powered Drone for Emergency Medicine Delivery</w:t>
      </w:r>
    </w:p>
    <w:p>
      <w:pPr>
        <w:spacing w:before="160" w:after="80"/>
      </w:pPr>
      <w:r>
        <w:rPr>
          <w:b/>
          <w:sz w:val="24"/>
        </w:rPr>
        <w:t>i. Greedy Best-First Search</w:t>
      </w:r>
    </w:p>
    <w:p>
      <w:pPr>
        <w:spacing w:after="100" w:line="259" w:lineRule="auto"/>
      </w:pPr>
      <w:r>
        <w:rPr>
          <w:sz w:val="21"/>
        </w:rPr>
        <w:t>Greedy Best-First Search selects the next location using the heuristic value h(n), which estimates the straight-line distance from the current location to the medicine delivery point. It prioritizes the location that appears closest to the goal. This can produce a quick route when the environment is stable. However, it ignores the actual cost already travelled and may choose a short-looking route that contains flooded roads, dangerous weather, or difficult terrain. Under uncertainty, its route may be fast to calculate but not necessarily safe or optimal.</w:t>
      </w:r>
    </w:p>
    <w:p>
      <w:pPr>
        <w:spacing w:before="160" w:after="80"/>
      </w:pPr>
      <w:r>
        <w:rPr>
          <w:b/>
          <w:sz w:val="24"/>
        </w:rPr>
        <w:t>ii. A* Search</w:t>
      </w:r>
    </w:p>
    <w:p>
      <w:pPr>
        <w:spacing w:after="100" w:line="259" w:lineRule="auto"/>
      </w:pPr>
      <w:r>
        <w:rPr>
          <w:sz w:val="21"/>
        </w:rPr>
        <w:t>A* evaluates each location using f(n) = g(n) + h(n), where g(n) is the actual travel cost from the starting point and h(n) is the estimated remaining cost to the goal. The actual cost can include distance, weather, terrain, delay, and risk. By considering both past cost and estimated future cost, A* can avoid routes that look close but are expensive or dangerous. If the heuristic is admissible and costs are represented correctly, A* can find an optimal route in a static search graph.</w:t>
      </w:r>
    </w:p>
    <w:p>
      <w:pPr>
        <w:spacing w:before="160" w:after="80"/>
      </w:pPr>
      <w:r>
        <w:rPr>
          <w:b/>
          <w:sz w:val="24"/>
        </w:rPr>
        <w:t>iii. Impact of heuristic accuracy</w:t>
      </w:r>
    </w:p>
    <w:p>
      <w:pPr>
        <w:spacing w:after="100" w:line="259" w:lineRule="auto"/>
      </w:pPr>
      <w:r>
        <w:rPr>
          <w:sz w:val="21"/>
        </w:rPr>
        <w:t>A more accurate heuristic guides both algorithms toward promising routes and can reduce unnecessary exploration. If the straight-line estimate is misleading, Greedy Best-First Search may quickly choose a poor route because it relies heavily on h(n). A* is less dependent on the heuristic because it also considers g(n), although a poor heuristic can still increase the number of nodes explored. An overestimated heuristic may cause A* to lose its optimality guarantee.</w:t>
      </w:r>
    </w:p>
    <w:p>
      <w:pPr>
        <w:spacing w:before="160" w:after="80"/>
      </w:pPr>
      <w:r>
        <w:rPr>
          <w:b/>
          <w:sz w:val="24"/>
        </w:rPr>
        <w:t>iv. Dynamic blocked paths</w:t>
      </w:r>
    </w:p>
    <w:p>
      <w:pPr>
        <w:spacing w:after="100" w:line="259" w:lineRule="auto"/>
      </w:pPr>
      <w:r>
        <w:rPr>
          <w:sz w:val="21"/>
        </w:rPr>
        <w:t>When a road becomes blocked, the drone's current route may no longer be valid. It must receive updates, mark the path as unavailable, and search for an alternative. Repeated changes can increase computation and delay delivery. A practical system should re-plan whenever important new information arrives and should include safety margins for weather and uncertain travel costs.</w:t>
      </w:r>
    </w:p>
    <w:p>
      <w:pPr>
        <w:spacing w:before="160" w:after="80"/>
      </w:pPr>
      <w:r>
        <w:rPr>
          <w:b/>
          <w:sz w:val="24"/>
        </w:rPr>
        <w:t>v. Recommended algorithm</w:t>
      </w:r>
    </w:p>
    <w:p>
      <w:pPr>
        <w:spacing w:after="100" w:line="259" w:lineRule="auto"/>
      </w:pPr>
      <w:r>
        <w:rPr>
          <w:sz w:val="21"/>
        </w:rPr>
        <w:t>A* with frequent re-planning is the most suitable starting choice because it considers both the cost already incurred and the estimated remaining cost. The cost function should include delay and risk, not distance alone. For strict real-time operation, the system can use a time-limited search and a safe fallback route. If the heuristic is reliable and the graph is stable during each planning step, A* provides a useful balance between route quality and efficiency. Safety checks and live updates remain essential.</w:t>
      </w:r>
    </w:p>
    <w:p>
      <w:pPr>
        <w:spacing w:before="160" w:after="80"/>
      </w:pPr>
      <w:r>
        <w:rPr>
          <w:b/>
          <w:sz w:val="24"/>
        </w:rPr>
        <w:t>2. Smart-City Traffic Signal Optimization</w:t>
      </w:r>
    </w:p>
    <w:p>
      <w:pPr>
        <w:spacing w:before="160" w:after="80"/>
      </w:pPr>
      <w:r>
        <w:rPr>
          <w:b/>
          <w:sz w:val="24"/>
        </w:rPr>
        <w:t>Formulation as an optimization problem</w:t>
      </w:r>
    </w:p>
    <w:p>
      <w:pPr>
        <w:spacing w:after="100" w:line="259" w:lineRule="auto"/>
      </w:pPr>
      <w:r>
        <w:rPr>
          <w:sz w:val="21"/>
        </w:rPr>
        <w:t>The decision variables are the green-light durations and signal phases at each intersection. The objective is to minimize a combined cost such as total vehicle waiting time, fuel consumption, and congestion, subject to constraints on minimum and maximum green times, safe phase sequences, pedestrian crossing time, and coordination between nearby intersections. Traffic measurements are updated continuously, so the optimization must be repeated as conditions change.</w:t>
      </w:r>
    </w:p>
    <w:p>
      <w:pPr>
        <w:spacing w:before="160" w:after="80"/>
      </w:pPr>
      <w:r>
        <w:rPr>
          <w:b/>
          <w:sz w:val="24"/>
        </w:rPr>
        <w:t>i. Hill Climbing</w:t>
      </w:r>
    </w:p>
    <w:p>
      <w:pPr>
        <w:spacing w:after="100" w:line="259" w:lineRule="auto"/>
      </w:pPr>
      <w:r>
        <w:rPr>
          <w:sz w:val="21"/>
        </w:rPr>
        <w:t>Hill Climbing begins with a set of signal timings and makes a small change, such as increasing green time on a busy road. It evaluates whether the change reduces the objective cost and keeps changes that improve the solution. It is simple and can improve a timing plan quickly. However, it may stop at a locally good solution even when a better overall plan exists, and its result depends on the initial timings and the chosen neighboring changes.</w:t>
      </w:r>
    </w:p>
    <w:p>
      <w:pPr>
        <w:spacing w:before="160" w:after="80"/>
      </w:pPr>
      <w:r>
        <w:rPr>
          <w:b/>
          <w:sz w:val="24"/>
        </w:rPr>
        <w:t>ii. Local maxima, plateaus, and ridges</w:t>
      </w:r>
    </w:p>
    <w:p>
      <w:pPr>
        <w:spacing w:after="100" w:line="259" w:lineRule="auto"/>
      </w:pPr>
      <w:r>
        <w:rPr>
          <w:sz w:val="21"/>
        </w:rPr>
        <w:t>A local optimum occurs when nearby timing changes do not improve traffic flow, although a different combination of timings could work better. A plateau occurs when several timing plans have nearly equal performance, making it difficult to identify a direction for improvement. A ridge occurs when improvement requires coordinated changes across multiple intersections; changing only one signal may appear ineffective or may worsen congestion temporarily. These situations can trap basic Hill Climbing.</w:t>
      </w:r>
    </w:p>
    <w:p>
      <w:pPr>
        <w:spacing w:before="160" w:after="80"/>
      </w:pPr>
      <w:r>
        <w:rPr>
          <w:b/>
          <w:sz w:val="24"/>
        </w:rPr>
        <w:t>iii. Simulated Annealing and Genetic Algorithms</w:t>
      </w:r>
    </w:p>
    <w:p>
      <w:pPr>
        <w:spacing w:after="100" w:line="259" w:lineRule="auto"/>
      </w:pPr>
      <w:r>
        <w:rPr>
          <w:sz w:val="21"/>
        </w:rPr>
        <w:t>Simulated Annealing sometimes accepts a worse solution early in the search, allowing it to escape local optima. The probability of accepting worse moves decreases over time, so the search gradually becomes more selective. A Genetic Algorithm maintains a population of timing plans and uses selection, crossover, and mutation to explore different combinations. Both methods can explore beyond immediate neighbors, though they require careful parameter tuning and more computation.</w:t>
      </w:r>
    </w:p>
    <w:p>
      <w:pPr>
        <w:spacing w:before="160" w:after="80"/>
      </w:pPr>
      <w:r>
        <w:rPr>
          <w:b/>
          <w:sz w:val="24"/>
        </w:rPr>
        <w:t>iv. Recommended approach</w:t>
      </w:r>
    </w:p>
    <w:p>
      <w:pPr>
        <w:spacing w:after="100" w:line="259" w:lineRule="auto"/>
      </w:pPr>
      <w:r>
        <w:rPr>
          <w:sz w:val="21"/>
        </w:rPr>
        <w:t>A Genetic Algorithm is suitable for optimizing coordinated timings across many intersections because it can search a large space of combinations. For real-time operation, it should run with a fixed computation budget and use current traffic data. A practical design can combine offline or periodic Genetic Algorithm optimization with a fast local adjustment method during sudden traffic changes. Safety constraints must be enforced for every candidate plan.</w:t>
      </w:r>
    </w:p>
    <w:p>
      <w:pPr>
        <w:spacing w:before="160" w:after="80"/>
      </w:pPr>
      <w:r>
        <w:rPr>
          <w:b/>
          <w:sz w:val="24"/>
        </w:rPr>
        <w:t>3. Autonomous Mars Rover and Online Search</w:t>
      </w:r>
    </w:p>
    <w:p>
      <w:pPr>
        <w:spacing w:before="160" w:after="80"/>
      </w:pPr>
      <w:r>
        <w:rPr>
          <w:b/>
          <w:sz w:val="24"/>
        </w:rPr>
        <w:t>i. Why online search is required</w:t>
      </w:r>
    </w:p>
    <w:p>
      <w:pPr>
        <w:spacing w:after="100" w:line="259" w:lineRule="auto"/>
      </w:pPr>
      <w:r>
        <w:rPr>
          <w:sz w:val="21"/>
        </w:rPr>
        <w:t>Offline search assumes the environment and its map are known before planning. The Mars rover has an incomplete map and discovers obstacles as it moves, so it must alternate between sensing, acting, and planning. Online search allows it to choose an action using current knowledge, observe the result, update its model, and plan again.</w:t>
      </w:r>
    </w:p>
    <w:p>
      <w:pPr>
        <w:spacing w:before="160" w:after="80"/>
      </w:pPr>
      <w:r>
        <w:rPr>
          <w:b/>
          <w:sz w:val="24"/>
        </w:rPr>
        <w:t>ii. Partial observability and dynamic conditions</w:t>
      </w:r>
    </w:p>
    <w:p>
      <w:pPr>
        <w:spacing w:after="100" w:line="259" w:lineRule="auto"/>
      </w:pPr>
      <w:r>
        <w:rPr>
          <w:sz w:val="21"/>
        </w:rPr>
        <w:t>The rover's sensors may detect only nearby terrain, and rocks or craters may be hidden by the landscape. Sensor noise and communication delays can make observations uncertain. Terrain may also be difficult to cross or unsafe for the rover. These factors mean that the rover cannot rely on a complete and perfectly accurate map. It should move cautiously, maintain uncertainty estimates, and re-plan when new hazards are detected.</w:t>
      </w:r>
    </w:p>
    <w:p>
      <w:pPr>
        <w:spacing w:before="160" w:after="80"/>
      </w:pPr>
      <w:r>
        <w:rPr>
          <w:b/>
          <w:sz w:val="24"/>
        </w:rPr>
        <w:t>iii. Internal model updates</w:t>
      </w:r>
    </w:p>
    <w:p>
      <w:pPr>
        <w:spacing w:after="100" w:line="259" w:lineRule="auto"/>
      </w:pPr>
      <w:r>
        <w:rPr>
          <w:sz w:val="21"/>
        </w:rPr>
        <w:t>The rover combines sensor readings, images, wheel movement estimates, and previous observations to maintain a local map. It labels known free areas, obstacles, and unexplored regions, and updates the map when observations disagree with earlier estimates. It can assign travel costs based on slope, surface roughness, energy use, and hazard risk. The planner then uses the updated map and cost estimates to select the next safe action.</w:t>
      </w:r>
    </w:p>
    <w:p>
      <w:pPr>
        <w:spacing w:before="160" w:after="80"/>
      </w:pPr>
      <w:r>
        <w:rPr>
          <w:b/>
          <w:sz w:val="24"/>
        </w:rPr>
        <w:t>iv. Online, uninformed, and informed search</w:t>
      </w:r>
    </w:p>
    <w:p>
      <w:pPr>
        <w:spacing w:after="100" w:line="259" w:lineRule="auto"/>
      </w:pPr>
      <w:r>
        <w:rPr>
          <w:sz w:val="21"/>
        </w:rPr>
        <w:t>Uninformed methods such as Breadth-First Search do not use estimates of distance to the goal and can explore many unnecessary states. Informed methods such as A* use a heuristic to guide the search and can be more efficient when a useful map and cost estimate are available. Online search focuses on acting while learning about an initially unknown environment. An online rover can use an informed method on its current local map and re-plan as it learns more.</w:t>
      </w:r>
    </w:p>
    <w:p>
      <w:pPr>
        <w:spacing w:before="160" w:after="80"/>
      </w:pPr>
      <w:r>
        <w:rPr>
          <w:b/>
          <w:sz w:val="24"/>
        </w:rPr>
        <w:t>v. Recommended approach</w:t>
      </w:r>
    </w:p>
    <w:p>
      <w:pPr>
        <w:spacing w:after="100" w:line="259" w:lineRule="auto"/>
      </w:pPr>
      <w:r>
        <w:rPr>
          <w:sz w:val="21"/>
        </w:rPr>
        <w:t>A risk-aware online search approach with repeated local planning is most suitable. The rover should combine sensor-based mapping with an informed planner such as A* for known portions of the terrain, while treating unknown areas cautiously. It should prioritize hazard avoidance, energy limits, and a safe return option over speed. Frequent updates help it adapt to new observations without assuming that the entire environment is known.</w:t>
      </w:r>
    </w:p>
    <w:p>
      <w:pPr>
        <w:spacing w:before="160" w:after="80"/>
      </w:pPr>
      <w:r>
        <w:rPr>
          <w:b/>
          <w:sz w:val="24"/>
        </w:rPr>
        <w:t>4. University Examination Timetabling as a CSP</w:t>
      </w:r>
    </w:p>
    <w:p>
      <w:pPr>
        <w:spacing w:before="160" w:after="80"/>
      </w:pPr>
      <w:r>
        <w:rPr>
          <w:b/>
          <w:sz w:val="24"/>
        </w:rPr>
        <w:t>Formulation: variables, domains, and constraints</w:t>
      </w:r>
    </w:p>
    <w:p>
      <w:pPr>
        <w:spacing w:after="100" w:line="259" w:lineRule="auto"/>
      </w:pPr>
      <w:r>
        <w:rPr>
          <w:sz w:val="21"/>
        </w:rPr>
        <w:t>A Constraint Satisfaction Problem consists of variables, domains, and constraints. Variables can represent the time slot and exam hall assigned to each course. The domain for a course contains the available time slots and halls that can accommodate it. Constraints include: a student must not have two exams at the same time; a hall cannot host more than one exam in a slot; the hall capacity must be sufficient; prerequisite ordering rules must be respected; faculty must be available; and approved special accommodations must be provided.</w:t>
      </w:r>
    </w:p>
    <w:p>
      <w:pPr>
        <w:spacing w:before="160" w:after="80"/>
      </w:pPr>
      <w:r>
        <w:rPr>
          <w:b/>
          <w:sz w:val="24"/>
        </w:rPr>
        <w:t>ii. Backtracking search</w:t>
      </w:r>
    </w:p>
    <w:p>
      <w:pPr>
        <w:spacing w:after="100" w:line="259" w:lineRule="auto"/>
      </w:pPr>
      <w:r>
        <w:rPr>
          <w:sz w:val="21"/>
        </w:rPr>
        <w:t>Backtracking assigns a time and hall to one course at a time. After each assignment, it checks whether the constraints are still satisfied. If a conflict occurs, it reverses the most recent assignment and tries another value. For example, if two courses share students and are assigned to the same time slot, the algorithm changes one course's slot. It continues until it finds a complete valid timetable or determines that the current choices cannot work.</w:t>
      </w:r>
    </w:p>
    <w:p>
      <w:pPr>
        <w:spacing w:before="160" w:after="80"/>
      </w:pPr>
      <w:r>
        <w:rPr>
          <w:b/>
          <w:sz w:val="24"/>
        </w:rPr>
        <w:t>iii. Constraint propagation</w:t>
      </w:r>
    </w:p>
    <w:p>
      <w:pPr>
        <w:spacing w:after="100" w:line="259" w:lineRule="auto"/>
      </w:pPr>
      <w:r>
        <w:rPr>
          <w:sz w:val="21"/>
        </w:rPr>
        <w:t>Forward checking removes values from the domains of unassigned courses that have become impossible because of a new assignment. If a course has no remaining valid time slot, the algorithm can backtrack immediately rather than continue toward a failure. Constraint propagation can reduce the search space significantly. Variable-ordering methods, such as choosing the course with the fewest available slots first, can further improve efficiency.</w:t>
      </w:r>
    </w:p>
    <w:p>
      <w:pPr>
        <w:spacing w:before="160" w:after="80"/>
      </w:pPr>
      <w:r>
        <w:rPr>
          <w:b/>
          <w:sz w:val="24"/>
        </w:rPr>
        <w:t>iv. Real-world challenges and scalable strategy</w:t>
      </w:r>
    </w:p>
    <w:p>
      <w:pPr>
        <w:spacing w:after="100" w:line="259" w:lineRule="auto"/>
      </w:pPr>
      <w:r>
        <w:rPr>
          <w:sz w:val="21"/>
        </w:rPr>
        <w:t>Large universities may have thousands of students, many courses, limited halls, accessibility needs, and changing faculty availability. Some requirements may conflict, and timetable quality may also depend on minimizing long gaps between exams. A scalable strategy is backtracking with forward checking, constraint propagation, and heuristics such as minimum remaining values and degree-based variable ordering. For very large instances, the university can also use an optimization solver and separate hard constraints, which must never be broken, from soft preferences, which should be improved where possible.</w:t>
      </w:r>
    </w:p>
    <w:p>
      <w:pPr>
        <w:spacing w:before="160" w:after="80"/>
      </w:pPr>
      <w:r>
        <w:rPr>
          <w:b/>
          <w:sz w:val="24"/>
        </w:rPr>
        <w:t>5. Strategic Game AI: Minimax and Alpha-Beta Pruning</w:t>
      </w:r>
    </w:p>
    <w:p>
      <w:pPr>
        <w:spacing w:before="160" w:after="80"/>
      </w:pPr>
      <w:r>
        <w:rPr>
          <w:b/>
          <w:sz w:val="24"/>
        </w:rPr>
        <w:t>i. Minimax</w:t>
      </w:r>
    </w:p>
    <w:p>
      <w:pPr>
        <w:spacing w:after="100" w:line="259" w:lineRule="auto"/>
      </w:pPr>
      <w:r>
        <w:rPr>
          <w:sz w:val="21"/>
        </w:rPr>
        <w:t>Minimax models a competitive game as a tree of possible moves. The AI is the maximizing player and tries to obtain the highest evaluation score, while the human opponent is treated as the minimizing player. The algorithm evaluates leaf states and propagates scores upward: maximizing levels choose the highest child score and minimizing levels choose the lowest. The AI selects the move with the best guaranteed outcome under the assumed opponent model.</w:t>
      </w:r>
    </w:p>
    <w:p>
      <w:pPr>
        <w:spacing w:before="160" w:after="80"/>
      </w:pPr>
      <w:r>
        <w:rPr>
          <w:b/>
          <w:sz w:val="24"/>
        </w:rPr>
        <w:t>ii. Computational challenges</w:t>
      </w:r>
    </w:p>
    <w:p>
      <w:pPr>
        <w:spacing w:after="100" w:line="259" w:lineRule="auto"/>
      </w:pPr>
      <w:r>
        <w:rPr>
          <w:sz w:val="21"/>
        </w:rPr>
        <w:t>If each state has b possible moves and the search depth is d, a basic Minimax search may examine approximately O(b^d) nodes. The number grows rapidly in games with many possible actions. Evaluating every branch may exceed the available time, especially in real-time strategy games where the state changes continuously. A limited search depth and a useful evaluation function are therefore necessary.</w:t>
      </w:r>
    </w:p>
    <w:p>
      <w:pPr>
        <w:spacing w:before="160" w:after="80"/>
      </w:pPr>
      <w:r>
        <w:rPr>
          <w:b/>
          <w:sz w:val="24"/>
        </w:rPr>
        <w:t>iii. Alpha-Beta pruning</w:t>
      </w:r>
    </w:p>
    <w:p>
      <w:pPr>
        <w:spacing w:after="100" w:line="259" w:lineRule="auto"/>
      </w:pPr>
      <w:r>
        <w:rPr>
          <w:sz w:val="21"/>
        </w:rPr>
        <w:t>Alpha-Beta pruning reduces the number of nodes examined without changing the Minimax result for the same search depth. Alpha is the best value found so far for the maximizing player; beta is the best value found so far for the minimizing player. At a node, if alpha becomes greater than or equal to beta, the remaining branches cannot affect the final choice and can be skipped. For example, if the minimizing player already has an option that guarantees a value of 3, a further branch that can only give the maximizing player a value no better than 2 need not be explored. Good move ordering makes pruning more effective.</w:t>
      </w:r>
    </w:p>
    <w:p>
      <w:pPr>
        <w:spacing w:before="160" w:after="80"/>
      </w:pPr>
      <w:r>
        <w:rPr>
          <w:b/>
          <w:sz w:val="24"/>
        </w:rPr>
        <w:t>iv. Evaluation function</w:t>
      </w:r>
    </w:p>
    <w:p>
      <w:pPr>
        <w:spacing w:after="100" w:line="259" w:lineRule="auto"/>
      </w:pPr>
      <w:r>
        <w:rPr>
          <w:sz w:val="21"/>
        </w:rPr>
        <w:t>A possible evaluation function is: Score = 3 × resource advantage + 4 × unit advantage + 5 × objective control + 2 × map control − 4 × losses − 3 × threat to the player's base. Each factor is measured relative to the opponent, and the weights reflect the game's strategic priorities. Objective control and base safety receive high weights because they can determine victory. The function should be tested and adjusted so that it rewards useful strategy rather than easily exploited behavior.</w:t>
      </w:r>
    </w:p>
    <w:p>
      <w:pPr>
        <w:spacing w:before="160" w:after="80"/>
      </w:pPr>
      <w:r>
        <w:rPr>
          <w:b/>
          <w:sz w:val="24"/>
        </w:rPr>
        <w:t>v. Balancing optimality and real-time performance</w:t>
      </w:r>
    </w:p>
    <w:p>
      <w:pPr>
        <w:spacing w:after="100" w:line="259" w:lineRule="auto"/>
      </w:pPr>
      <w:r>
        <w:rPr>
          <w:sz w:val="21"/>
        </w:rPr>
        <w:t>The AI should use Minimax with Alpha-Beta pruning, good move ordering, and a fixed search-depth or time limit. Iterative deepening allows it to keep the best move found so far if time expires. A heuristic evaluation function estimates non-terminal states, while selective search can focus computation on promising moves. This approach improves decision quality while respecting real-time constraints, although a depth-limited result is not guaranteed to be globally optimal.</w:t>
      </w: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0682CFC-26B1-47A3-998F-4265606A8EB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9F1FDA0-48B9-4B92-9858-AC6D6A3A2DCA}"/>
  </w:font>
  <w:font w:name="Wingdings">
    <w:panose1 w:val="05000000000000000000"/>
    <w:charset w:val="02"/>
    <w:family w:val="auto"/>
    <w:pitch w:val="default"/>
    <w:sig w:usb0="00000000" w:usb1="00000000" w:usb2="00000000" w:usb3="00000000" w:csb0="80000000" w:csb1="00000000"/>
    <w:embedRegular r:id="rId3" w:fontKey="{5B17CC46-064C-42F3-ADCA-598F3C7A2B8D}"/>
  </w:font>
  <w:font w:name="Calibri">
    <w:panose1 w:val="020F0502020204030204"/>
    <w:charset w:val="00"/>
    <w:family w:val="swiss"/>
    <w:pitch w:val="default"/>
    <w:sig w:usb0="E4002EFF" w:usb1="C200247B" w:usb2="00000009" w:usb3="00000000" w:csb0="200001FF" w:csb1="00000000"/>
    <w:embedRegular r:id="rId4" w:fontKey="{E90BBB6D-24F1-474F-8B01-5CF086B63E35}"/>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5" w:fontKey="{1C69BA82-FDA4-46F7-AA77-05E8C849B4E7}"/>
  </w:font>
  <w:font w:name="Helvetica">
    <w:altName w:val="Arial"/>
    <w:panose1 w:val="020B0604020202020204"/>
    <w:charset w:val="00"/>
    <w:family w:val="swiss"/>
    <w:pitch w:val="default"/>
    <w:sig w:usb0="00000000" w:usb1="00000000" w:usb2="00000009" w:usb3="00000000" w:csb0="000001FF" w:csb1="00000000"/>
    <w:embedRegular r:id="rId6" w:fontKey="{27C6ACC2-6821-44F2-A7E1-08C363E78355}"/>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715B5"/>
    <w:multiLevelType w:val="multilevel"/>
    <w:tmpl w:val="16B715B5"/>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61627D"/>
    <w:multiLevelType w:val="multilevel"/>
    <w:tmpl w:val="1961627D"/>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0D62E8"/>
    <w:multiLevelType w:val="multilevel"/>
    <w:tmpl w:val="230D62E8"/>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5FE127B"/>
    <w:multiLevelType w:val="multilevel"/>
    <w:tmpl w:val="35FE127B"/>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B2112A"/>
    <w:multiLevelType w:val="multilevel"/>
    <w:tmpl w:val="71B2112A"/>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TrueTypeFonts/>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839</Words>
  <Characters>5154</Characters>
  <Lines>44</Lines>
  <Paragraphs>12</Paragraphs>
  <TotalTime>6</TotalTime>
  <ScaleCrop>false</ScaleCrop>
  <LinksUpToDate>false</LinksUpToDate>
  <CharactersWithSpaces>6065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2026-04-10T07:55:00Z</dcterms:created>
  <dc:creator>A. Jaya Mabel Rani</dc:creator>
  <cp:lastModifiedBy>Krishnakumar Kathiresan</cp:lastModifiedBy>
  <dcterms:modified xsi:type="dcterms:W3CDTF">2026-09-02T04:55:12Z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