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B3E72" w14:textId="36D951D6" w:rsidR="00B21961" w:rsidRPr="006861B0" w:rsidRDefault="00B21961" w:rsidP="00974CC8">
      <w:pPr>
        <w:jc w:val="center"/>
        <w:rPr>
          <w:b/>
          <w:bCs/>
          <w:sz w:val="32"/>
          <w:szCs w:val="32"/>
        </w:rPr>
      </w:pPr>
      <w:r w:rsidRPr="006861B0">
        <w:rPr>
          <w:sz w:val="32"/>
          <w:szCs w:val="32"/>
        </w:rPr>
        <w:fldChar w:fldCharType="begin"/>
      </w:r>
      <w:r w:rsidRPr="006861B0">
        <w:rPr>
          <w:sz w:val="32"/>
          <w:szCs w:val="32"/>
        </w:rPr>
        <w:instrText>HYPERLINK "https://colorstech.net/excel/excel-dashboard-tutorial-patient-treatment-data-recovery-analysis/"</w:instrText>
      </w:r>
      <w:r w:rsidRPr="006861B0">
        <w:rPr>
          <w:sz w:val="32"/>
          <w:szCs w:val="32"/>
        </w:rPr>
      </w:r>
      <w:r w:rsidRPr="006861B0">
        <w:rPr>
          <w:sz w:val="32"/>
          <w:szCs w:val="32"/>
        </w:rPr>
        <w:fldChar w:fldCharType="separate"/>
      </w:r>
      <w:r w:rsidRPr="006861B0">
        <w:rPr>
          <w:rStyle w:val="Hyperlink"/>
          <w:b/>
          <w:bCs/>
          <w:sz w:val="32"/>
          <w:szCs w:val="32"/>
        </w:rPr>
        <w:t> Patient Treatment Data &amp; Recovery Analysis</w:t>
      </w:r>
      <w:r w:rsidRPr="006861B0">
        <w:rPr>
          <w:sz w:val="32"/>
          <w:szCs w:val="32"/>
        </w:rPr>
        <w:fldChar w:fldCharType="end"/>
      </w:r>
    </w:p>
    <w:p w14:paraId="0976EC34" w14:textId="77777777" w:rsidR="00B21961" w:rsidRPr="00666946" w:rsidRDefault="00B21961" w:rsidP="00B21961">
      <w:pPr>
        <w:rPr>
          <w:sz w:val="28"/>
          <w:szCs w:val="28"/>
        </w:rPr>
      </w:pPr>
      <w:r w:rsidRPr="00666946">
        <w:rPr>
          <w:b/>
          <w:bCs/>
          <w:sz w:val="28"/>
          <w:szCs w:val="28"/>
        </w:rPr>
        <w:t>Overview</w:t>
      </w:r>
    </w:p>
    <w:p w14:paraId="7B89539B" w14:textId="77777777" w:rsidR="00B21961" w:rsidRPr="00666946" w:rsidRDefault="00B21961" w:rsidP="00B2196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66946">
        <w:rPr>
          <w:sz w:val="28"/>
          <w:szCs w:val="28"/>
        </w:rPr>
        <w:t>This dashboard gives a clear overview of patient treatments, costs, outcomes, and operations across departments, doctors, treatment types, and demographics.</w:t>
      </w:r>
    </w:p>
    <w:p w14:paraId="335FC09E" w14:textId="23332118" w:rsidR="00B21961" w:rsidRPr="00666946" w:rsidRDefault="00B21961" w:rsidP="00B2196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66946">
        <w:rPr>
          <w:sz w:val="28"/>
          <w:szCs w:val="28"/>
        </w:rPr>
        <w:t>It shows treatment volume, cost, length of stay, and recovery results, helping identify high-cost areas, performance differences, and outliers.</w:t>
      </w:r>
    </w:p>
    <w:p w14:paraId="7B6D2D4F" w14:textId="77777777" w:rsidR="00B21961" w:rsidRPr="00666946" w:rsidRDefault="00B21961" w:rsidP="00B2196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66946">
        <w:rPr>
          <w:sz w:val="28"/>
          <w:szCs w:val="28"/>
        </w:rPr>
        <w:t>Stakeholders can compare departments and doctors, understand patient patterns, and find ways to improve care and reduce costs.</w:t>
      </w:r>
    </w:p>
    <w:p w14:paraId="0C4250EA" w14:textId="77777777" w:rsidR="00B21961" w:rsidRPr="00666946" w:rsidRDefault="00B21961" w:rsidP="00B21961">
      <w:pPr>
        <w:tabs>
          <w:tab w:val="num" w:pos="720"/>
        </w:tabs>
        <w:rPr>
          <w:b/>
          <w:bCs/>
          <w:sz w:val="28"/>
          <w:szCs w:val="28"/>
        </w:rPr>
      </w:pPr>
      <w:r w:rsidRPr="00666946">
        <w:rPr>
          <w:b/>
          <w:bCs/>
          <w:sz w:val="28"/>
          <w:szCs w:val="28"/>
        </w:rPr>
        <w:t xml:space="preserve">Overall Insights </w:t>
      </w:r>
    </w:p>
    <w:p w14:paraId="4E1CB0C5" w14:textId="1E39035A" w:rsidR="00B21961" w:rsidRPr="00666946" w:rsidRDefault="00B21961" w:rsidP="00B21961">
      <w:pPr>
        <w:pStyle w:val="ListParagraph"/>
        <w:numPr>
          <w:ilvl w:val="0"/>
          <w:numId w:val="5"/>
        </w:numPr>
        <w:tabs>
          <w:tab w:val="num" w:pos="720"/>
        </w:tabs>
        <w:rPr>
          <w:sz w:val="28"/>
          <w:szCs w:val="28"/>
        </w:rPr>
      </w:pPr>
      <w:r w:rsidRPr="00666946">
        <w:rPr>
          <w:b/>
          <w:bCs/>
          <w:sz w:val="28"/>
          <w:szCs w:val="28"/>
          <w:u w:val="single"/>
        </w:rPr>
        <w:t>Doctor workload</w:t>
      </w:r>
      <w:r w:rsidRPr="00666946">
        <w:rPr>
          <w:b/>
          <w:bCs/>
          <w:sz w:val="28"/>
          <w:szCs w:val="28"/>
        </w:rPr>
        <w:t>:</w:t>
      </w:r>
      <w:r w:rsidRPr="00666946">
        <w:rPr>
          <w:sz w:val="28"/>
          <w:szCs w:val="28"/>
        </w:rPr>
        <w:t xml:space="preserve"> Dr. L Khan and Dr. R Singh handle the most patients (45 each), followed by Dr. M Patel (41). Dr. A Sharma has the least (30), showing an uneven workload distribution.</w:t>
      </w:r>
    </w:p>
    <w:p w14:paraId="3DB66390" w14:textId="77777777" w:rsidR="00B21961" w:rsidRPr="00666946" w:rsidRDefault="00B21961" w:rsidP="00B2196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66946">
        <w:rPr>
          <w:b/>
          <w:bCs/>
          <w:sz w:val="28"/>
          <w:szCs w:val="28"/>
          <w:u w:val="single"/>
        </w:rPr>
        <w:t>Department performance:</w:t>
      </w:r>
      <w:r w:rsidRPr="00666946">
        <w:rPr>
          <w:sz w:val="28"/>
          <w:szCs w:val="28"/>
        </w:rPr>
        <w:t xml:space="preserve"> Pediatrics (~73.1) and Oncology (~72.4) have the best recovery scores but also the longest stays (~16.8–16.9 days).</w:t>
      </w:r>
    </w:p>
    <w:p w14:paraId="191657AB" w14:textId="61B0D1C4" w:rsidR="00B21961" w:rsidRPr="00666946" w:rsidRDefault="00B21961" w:rsidP="00B2196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66946">
        <w:rPr>
          <w:b/>
          <w:bCs/>
          <w:sz w:val="28"/>
          <w:szCs w:val="28"/>
          <w:u w:val="single"/>
        </w:rPr>
        <w:t>Low-performing areas:</w:t>
      </w:r>
      <w:r w:rsidRPr="00666946">
        <w:rPr>
          <w:sz w:val="28"/>
          <w:szCs w:val="28"/>
        </w:rPr>
        <w:t xml:space="preserve"> Neurology (~66.4) and Orthopedics (~67.3) have the lowest recovery scores; Orthopedics also have </w:t>
      </w:r>
      <w:r w:rsidR="00E14C64" w:rsidRPr="00666946">
        <w:rPr>
          <w:sz w:val="28"/>
          <w:szCs w:val="28"/>
        </w:rPr>
        <w:t>s</w:t>
      </w:r>
      <w:r w:rsidRPr="00666946">
        <w:rPr>
          <w:sz w:val="28"/>
          <w:szCs w:val="28"/>
        </w:rPr>
        <w:t>a long stay (~15.6 days), indicating possible issues.</w:t>
      </w:r>
    </w:p>
    <w:p w14:paraId="092DF21F" w14:textId="39316615" w:rsidR="00B21961" w:rsidRPr="00666946" w:rsidRDefault="00B21961" w:rsidP="00B2196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66946">
        <w:rPr>
          <w:b/>
          <w:bCs/>
          <w:sz w:val="28"/>
          <w:szCs w:val="28"/>
          <w:u w:val="single"/>
        </w:rPr>
        <w:t>Treatment distribution:</w:t>
      </w:r>
      <w:r w:rsidRPr="00666946">
        <w:rPr>
          <w:sz w:val="28"/>
          <w:szCs w:val="28"/>
        </w:rPr>
        <w:t xml:space="preserve"> Balanced — Medication (27.6%), Therapy (24.6%), Surgery (24.1%), Observation (23.6%).</w:t>
      </w:r>
    </w:p>
    <w:p w14:paraId="42AE4F2D" w14:textId="77777777" w:rsidR="00B21961" w:rsidRPr="00666946" w:rsidRDefault="00B21961" w:rsidP="00B2196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66946">
        <w:rPr>
          <w:b/>
          <w:bCs/>
          <w:sz w:val="28"/>
          <w:szCs w:val="28"/>
          <w:u w:val="single"/>
        </w:rPr>
        <w:t>Age-wise recovery:</w:t>
      </w:r>
      <w:r w:rsidRPr="00666946">
        <w:rPr>
          <w:sz w:val="28"/>
          <w:szCs w:val="28"/>
        </w:rPr>
        <w:t xml:space="preserve"> Highest in Elderly (~73.0) and Seniors (~72.3), lowest in Teenagers (~67.2). Young Adults are relatively high (~71.3), while Adults and Middle-aged are around ~68.0, showing a non-linear trend.</w:t>
      </w:r>
    </w:p>
    <w:p w14:paraId="342048DD" w14:textId="77777777" w:rsidR="00B21961" w:rsidRPr="00666946" w:rsidRDefault="00B21961" w:rsidP="00B2196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66946">
        <w:rPr>
          <w:b/>
          <w:bCs/>
          <w:sz w:val="28"/>
          <w:szCs w:val="28"/>
          <w:u w:val="single"/>
        </w:rPr>
        <w:t>Cost vs outcome:</w:t>
      </w:r>
      <w:r w:rsidRPr="00666946">
        <w:rPr>
          <w:sz w:val="28"/>
          <w:szCs w:val="28"/>
        </w:rPr>
        <w:t xml:space="preserve"> Surgery is the most expensive (~$83.7K) but gives the best recovery (~73.7).</w:t>
      </w:r>
    </w:p>
    <w:p w14:paraId="5598261E" w14:textId="77777777" w:rsidR="00B21961" w:rsidRPr="00666946" w:rsidRDefault="00B21961" w:rsidP="00B2196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66946">
        <w:rPr>
          <w:b/>
          <w:bCs/>
          <w:sz w:val="28"/>
          <w:szCs w:val="28"/>
          <w:u w:val="single"/>
        </w:rPr>
        <w:t>Best value treatment:</w:t>
      </w:r>
      <w:r w:rsidRPr="00666946">
        <w:rPr>
          <w:sz w:val="28"/>
          <w:szCs w:val="28"/>
        </w:rPr>
        <w:t xml:space="preserve"> Therapy is the least costly (~$75.8K) with good recovery (~70.7), making it cost-effective.</w:t>
      </w:r>
    </w:p>
    <w:p w14:paraId="48FB32F3" w14:textId="77777777" w:rsidR="00B21961" w:rsidRPr="00666946" w:rsidRDefault="00B21961" w:rsidP="00B2196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66946">
        <w:rPr>
          <w:b/>
          <w:bCs/>
          <w:sz w:val="28"/>
          <w:szCs w:val="28"/>
          <w:u w:val="single"/>
        </w:rPr>
        <w:t>High-volume departments:</w:t>
      </w:r>
      <w:r w:rsidRPr="00666946">
        <w:rPr>
          <w:sz w:val="28"/>
          <w:szCs w:val="28"/>
        </w:rPr>
        <w:t xml:space="preserve"> Gastroenterology and Pediatrics have the most treatments; Gastroenterology leads in Medication (13 cases).</w:t>
      </w:r>
    </w:p>
    <w:p w14:paraId="67DE7D40" w14:textId="77777777" w:rsidR="00B21961" w:rsidRPr="00666946" w:rsidRDefault="00B21961" w:rsidP="00B2196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66946">
        <w:rPr>
          <w:b/>
          <w:bCs/>
          <w:sz w:val="28"/>
          <w:szCs w:val="28"/>
          <w:u w:val="single"/>
        </w:rPr>
        <w:t>Oncology profile:</w:t>
      </w:r>
      <w:r w:rsidRPr="00666946">
        <w:rPr>
          <w:sz w:val="28"/>
          <w:szCs w:val="28"/>
        </w:rPr>
        <w:t xml:space="preserve"> Higher use of Surgery and Observation, matching its clinical needs.</w:t>
      </w:r>
    </w:p>
    <w:p w14:paraId="5D77EC72" w14:textId="77777777" w:rsidR="00B21961" w:rsidRPr="00666946" w:rsidRDefault="00B21961" w:rsidP="00B2196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66946">
        <w:rPr>
          <w:b/>
          <w:bCs/>
          <w:sz w:val="28"/>
          <w:szCs w:val="28"/>
          <w:u w:val="single"/>
        </w:rPr>
        <w:t>High-cost departments:</w:t>
      </w:r>
      <w:r w:rsidRPr="00666946">
        <w:rPr>
          <w:sz w:val="28"/>
          <w:szCs w:val="28"/>
        </w:rPr>
        <w:t xml:space="preserve"> Oncology and Orthopedics have the highest costs (~$89.6K) and longest stays (~16.9 and 15.6 days).</w:t>
      </w:r>
    </w:p>
    <w:p w14:paraId="3765C450" w14:textId="1E8E5F38" w:rsidR="002076B0" w:rsidRPr="00666946" w:rsidRDefault="00B21961" w:rsidP="00B2196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66946">
        <w:rPr>
          <w:b/>
          <w:bCs/>
          <w:sz w:val="28"/>
          <w:szCs w:val="28"/>
          <w:u w:val="single"/>
        </w:rPr>
        <w:t>Efficiency contrast:</w:t>
      </w:r>
      <w:r w:rsidRPr="00666946">
        <w:rPr>
          <w:sz w:val="28"/>
          <w:szCs w:val="28"/>
        </w:rPr>
        <w:t xml:space="preserve"> Pediatrics show high recovery despite long stays, while Neurology has low recovery with moderate stays, highlighting performance gaps.</w:t>
      </w:r>
    </w:p>
    <w:p w14:paraId="687611AF" w14:textId="77777777" w:rsidR="002076B0" w:rsidRDefault="002076B0" w:rsidP="002076B0">
      <w:pPr>
        <w:rPr>
          <w:b/>
          <w:bCs/>
          <w:noProof/>
        </w:rPr>
        <w:sectPr w:rsidR="002076B0" w:rsidSect="00B21961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481A9CF" w14:textId="77777777" w:rsidR="002076B0" w:rsidRDefault="002076B0" w:rsidP="002076B0">
      <w:pPr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40B25239" wp14:editId="1A410541">
            <wp:extent cx="3362325" cy="3190875"/>
            <wp:effectExtent l="0" t="0" r="9525" b="9525"/>
            <wp:docPr id="137057039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B516031-0131-B390-2B4B-363A86720FA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 w:rsidRPr="002076B0">
        <w:rPr>
          <w:b/>
          <w:bCs/>
          <w:noProof/>
        </w:rPr>
        <w:t xml:space="preserve"> </w:t>
      </w:r>
    </w:p>
    <w:p w14:paraId="3A5EC701" w14:textId="39D110E3" w:rsidR="002076B0" w:rsidRPr="005B5D94" w:rsidRDefault="002076B0" w:rsidP="002076B0">
      <w:pPr>
        <w:rPr>
          <w:noProof/>
          <w:sz w:val="28"/>
          <w:szCs w:val="28"/>
        </w:rPr>
      </w:pPr>
      <w:r w:rsidRPr="005B5D94">
        <w:rPr>
          <w:b/>
          <w:bCs/>
          <w:noProof/>
          <w:sz w:val="28"/>
          <w:szCs w:val="28"/>
        </w:rPr>
        <w:t>Key Insights</w:t>
      </w:r>
    </w:p>
    <w:p w14:paraId="6105382B" w14:textId="77777777" w:rsidR="002076B0" w:rsidRPr="005B5D94" w:rsidRDefault="002076B0" w:rsidP="002076B0">
      <w:pPr>
        <w:numPr>
          <w:ilvl w:val="0"/>
          <w:numId w:val="6"/>
        </w:numPr>
        <w:rPr>
          <w:noProof/>
          <w:sz w:val="28"/>
          <w:szCs w:val="28"/>
        </w:rPr>
      </w:pPr>
      <w:r w:rsidRPr="005B5D94">
        <w:rPr>
          <w:noProof/>
          <w:sz w:val="28"/>
          <w:szCs w:val="28"/>
        </w:rPr>
        <w:t>Two doctors (Dr. L Khan and Dr. R Singh) carry the heaviest load with 45 patients each, substantially more than the next busiest (Dr. M Patel with 41)</w:t>
      </w:r>
    </w:p>
    <w:p w14:paraId="2048BC6A" w14:textId="77777777" w:rsidR="002076B0" w:rsidRPr="005B5D94" w:rsidRDefault="002076B0" w:rsidP="002076B0">
      <w:pPr>
        <w:numPr>
          <w:ilvl w:val="0"/>
          <w:numId w:val="6"/>
        </w:numPr>
        <w:rPr>
          <w:noProof/>
          <w:sz w:val="28"/>
          <w:szCs w:val="28"/>
        </w:rPr>
      </w:pPr>
      <w:r w:rsidRPr="005B5D94">
        <w:rPr>
          <w:noProof/>
          <w:sz w:val="28"/>
          <w:szCs w:val="28"/>
        </w:rPr>
        <w:t>Patient load drops steadily after the top two, with Dr. A Sharma carrying the lightest load (30), suggesting uneven distribution of caseload across providers</w:t>
      </w:r>
    </w:p>
    <w:p w14:paraId="14914B35" w14:textId="2170EC7A" w:rsidR="002076B0" w:rsidRDefault="002076B0" w:rsidP="002076B0">
      <w:pPr>
        <w:rPr>
          <w:b/>
          <w:bCs/>
          <w:noProof/>
        </w:rPr>
        <w:sectPr w:rsidR="002076B0" w:rsidSect="002076B0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14EA1A1" w14:textId="77777777" w:rsidR="005B5D94" w:rsidRDefault="005B5D94" w:rsidP="00B21961"/>
    <w:p w14:paraId="08567EB5" w14:textId="3C37EFCC" w:rsidR="004F30B9" w:rsidRDefault="004F30B9" w:rsidP="00B21961">
      <w:r>
        <w:t>------------------------------------------------------------------------------------------------------------------------------------</w:t>
      </w:r>
    </w:p>
    <w:p w14:paraId="0BDE6B52" w14:textId="77777777" w:rsidR="005B5D94" w:rsidRDefault="005B5D94" w:rsidP="00B21961"/>
    <w:p w14:paraId="41263D6A" w14:textId="22DE58CF" w:rsidR="00FF3104" w:rsidRDefault="00FF3104" w:rsidP="00B21961">
      <w:r>
        <w:rPr>
          <w:noProof/>
        </w:rPr>
        <w:drawing>
          <wp:inline distT="0" distB="0" distL="0" distR="0" wp14:anchorId="4701B612" wp14:editId="6E2F064C">
            <wp:extent cx="7048500" cy="2524125"/>
            <wp:effectExtent l="0" t="0" r="0" b="0"/>
            <wp:docPr id="52485917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47E7D75-A8C9-12F7-B140-E05F6DE619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BA8FAB1" w14:textId="77777777" w:rsidR="001B6F74" w:rsidRPr="002076B0" w:rsidRDefault="001B6F74" w:rsidP="001B6F74">
      <w:pPr>
        <w:rPr>
          <w:noProof/>
        </w:rPr>
      </w:pPr>
      <w:r w:rsidRPr="002076B0">
        <w:rPr>
          <w:b/>
          <w:bCs/>
          <w:noProof/>
        </w:rPr>
        <w:t>Key Insights</w:t>
      </w:r>
    </w:p>
    <w:p w14:paraId="4ABA8604" w14:textId="00DF5265" w:rsidR="001B6F74" w:rsidRPr="002E6028" w:rsidRDefault="001B6F74" w:rsidP="001B6F7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E6028">
        <w:rPr>
          <w:sz w:val="28"/>
          <w:szCs w:val="28"/>
        </w:rPr>
        <w:t>Pediatrics (~73.1) and Oncology (~72.4) have the best recovery rates but also the longest hospital stays (~16.8–16.9 days), meaning better outcomes come with longer treatment time.</w:t>
      </w:r>
    </w:p>
    <w:p w14:paraId="70B42C27" w14:textId="7830BD69" w:rsidR="001B6F74" w:rsidRPr="002E6028" w:rsidRDefault="001B6F74" w:rsidP="001B6F7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E6028">
        <w:rPr>
          <w:sz w:val="28"/>
          <w:szCs w:val="28"/>
        </w:rPr>
        <w:t>Neurology (~66.4) and Orthopedics (~67.3) have the lowest recovery rates; Orthopedics also has a longer stay (~15.6 days), suggesting possible issues in care or treatment processes.</w:t>
      </w:r>
    </w:p>
    <w:p w14:paraId="4BE4F5C0" w14:textId="77777777" w:rsidR="005B5D94" w:rsidRPr="005B5D94" w:rsidRDefault="005B5D94" w:rsidP="005B5D94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A43B4D0" wp14:editId="6C917B29">
            <wp:simplePos x="0" y="0"/>
            <wp:positionH relativeFrom="page">
              <wp:align>right</wp:align>
            </wp:positionH>
            <wp:positionV relativeFrom="paragraph">
              <wp:posOffset>218440</wp:posOffset>
            </wp:positionV>
            <wp:extent cx="4572000" cy="3806190"/>
            <wp:effectExtent l="0" t="0" r="0" b="3810"/>
            <wp:wrapSquare wrapText="bothSides"/>
            <wp:docPr id="189828174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3BA857A-3263-860D-FCE1-E2E519A35F7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</w:rPr>
        <w:br w:type="textWrapping" w:clear="all"/>
      </w:r>
      <w:r w:rsidRPr="005B5D94">
        <w:rPr>
          <w:b/>
          <w:bCs/>
          <w:sz w:val="28"/>
          <w:szCs w:val="28"/>
        </w:rPr>
        <w:t>Key Insights</w:t>
      </w:r>
    </w:p>
    <w:p w14:paraId="29B4A383" w14:textId="77777777" w:rsidR="005B5D94" w:rsidRPr="005B5D94" w:rsidRDefault="005B5D94" w:rsidP="005B5D94">
      <w:pPr>
        <w:numPr>
          <w:ilvl w:val="0"/>
          <w:numId w:val="9"/>
        </w:numPr>
        <w:rPr>
          <w:sz w:val="28"/>
          <w:szCs w:val="28"/>
        </w:rPr>
      </w:pPr>
      <w:r w:rsidRPr="005B5D94">
        <w:rPr>
          <w:sz w:val="28"/>
          <w:szCs w:val="28"/>
        </w:rPr>
        <w:t xml:space="preserve">Medication is the single largest treatment type (~27.6%), but the mix is </w:t>
      </w:r>
      <w:proofErr w:type="gramStart"/>
      <w:r w:rsidRPr="005B5D94">
        <w:rPr>
          <w:sz w:val="28"/>
          <w:szCs w:val="28"/>
        </w:rPr>
        <w:t>fairly balanced</w:t>
      </w:r>
      <w:proofErr w:type="gramEnd"/>
      <w:r w:rsidRPr="005B5D94">
        <w:rPr>
          <w:sz w:val="28"/>
          <w:szCs w:val="28"/>
        </w:rPr>
        <w:t xml:space="preserve"> across the four categories (Medication ~27.6%, Therapy ~24.6%, Surgery ~24.1%, Observation ~23.6%)</w:t>
      </w:r>
    </w:p>
    <w:p w14:paraId="11F1AD7D" w14:textId="77777777" w:rsidR="005B5D94" w:rsidRPr="005B5D94" w:rsidRDefault="005B5D94" w:rsidP="005B5D94">
      <w:pPr>
        <w:numPr>
          <w:ilvl w:val="0"/>
          <w:numId w:val="9"/>
        </w:numPr>
        <w:rPr>
          <w:sz w:val="28"/>
          <w:szCs w:val="28"/>
        </w:rPr>
      </w:pPr>
      <w:r w:rsidRPr="005B5D94">
        <w:rPr>
          <w:sz w:val="28"/>
          <w:szCs w:val="28"/>
        </w:rPr>
        <w:t>No single treatment type dominates, suggesting resource planning should account for relatively even demand across modes of care</w:t>
      </w:r>
    </w:p>
    <w:p w14:paraId="0DFF3F13" w14:textId="7F99402A" w:rsidR="005B5D94" w:rsidRDefault="005B5D94" w:rsidP="005B5D94">
      <w:pPr>
        <w:rPr>
          <w:b/>
          <w:bCs/>
        </w:rPr>
        <w:sectPr w:rsidR="005B5D94" w:rsidSect="002076B0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8A2A8D7" w14:textId="06E25D67" w:rsidR="005B5D94" w:rsidRDefault="004F30B9" w:rsidP="005B5D94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</w:t>
      </w:r>
    </w:p>
    <w:p w14:paraId="4DA2ED5C" w14:textId="77777777" w:rsidR="004F30B9" w:rsidRDefault="004F30B9" w:rsidP="005B5D94">
      <w:pPr>
        <w:rPr>
          <w:b/>
          <w:bCs/>
          <w:sz w:val="28"/>
          <w:szCs w:val="28"/>
        </w:rPr>
        <w:sectPr w:rsidR="004F30B9" w:rsidSect="004F30B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BBD693B" w14:textId="77777777" w:rsidR="00FC72A7" w:rsidRPr="001C087C" w:rsidRDefault="00FC72A7" w:rsidP="005B5D94">
      <w:pPr>
        <w:rPr>
          <w:b/>
          <w:bCs/>
          <w:sz w:val="28"/>
          <w:szCs w:val="28"/>
        </w:rPr>
      </w:pPr>
    </w:p>
    <w:p w14:paraId="34B6B837" w14:textId="2C99D164" w:rsidR="005B5D94" w:rsidRPr="005B5D94" w:rsidRDefault="005B5D94" w:rsidP="005B5D94">
      <w:pPr>
        <w:rPr>
          <w:b/>
          <w:bCs/>
          <w:sz w:val="28"/>
          <w:szCs w:val="28"/>
        </w:rPr>
      </w:pPr>
      <w:r w:rsidRPr="005B5D94">
        <w:rPr>
          <w:b/>
          <w:bCs/>
          <w:sz w:val="28"/>
          <w:szCs w:val="28"/>
        </w:rPr>
        <w:t>Key Insights</w:t>
      </w:r>
    </w:p>
    <w:p w14:paraId="60C5EF38" w14:textId="5BDDC665" w:rsidR="005B5D94" w:rsidRPr="005B5D94" w:rsidRDefault="005B5D94" w:rsidP="005B5D94">
      <w:pPr>
        <w:numPr>
          <w:ilvl w:val="0"/>
          <w:numId w:val="12"/>
        </w:numPr>
        <w:rPr>
          <w:sz w:val="28"/>
          <w:szCs w:val="28"/>
        </w:rPr>
      </w:pPr>
      <w:r w:rsidRPr="005B5D94">
        <w:rPr>
          <w:sz w:val="28"/>
          <w:szCs w:val="28"/>
        </w:rPr>
        <w:t>Recovery scores are highest for Elderly and Senior groups (~72.96 and 72.34) and lowest for Teenagers (~67.23), indicating age segments with distinctly different outcomes</w:t>
      </w:r>
    </w:p>
    <w:p w14:paraId="24771DFF" w14:textId="4E1DF198" w:rsidR="005B5D94" w:rsidRPr="005B5D94" w:rsidRDefault="005B5D94" w:rsidP="005B5D94">
      <w:pPr>
        <w:numPr>
          <w:ilvl w:val="0"/>
          <w:numId w:val="12"/>
        </w:numPr>
        <w:rPr>
          <w:sz w:val="28"/>
          <w:szCs w:val="28"/>
        </w:rPr>
      </w:pPr>
      <w:r w:rsidRPr="005B5D94">
        <w:rPr>
          <w:sz w:val="28"/>
          <w:szCs w:val="28"/>
        </w:rPr>
        <w:t>Middle-aged and Adult groups cluster around ~68–68.3, while Young Adults rebound to ~71.33, suggesting non-linear relationship between age and recovery that may reflect differing case mixes</w:t>
      </w:r>
      <w:r w:rsidR="002A7AE7">
        <w:rPr>
          <w:sz w:val="28"/>
          <w:szCs w:val="28"/>
        </w:rPr>
        <w:t>.</w:t>
      </w:r>
    </w:p>
    <w:p w14:paraId="304E0BF7" w14:textId="0CB0F896" w:rsidR="005B5D94" w:rsidRDefault="005B5D94" w:rsidP="005B5D94"/>
    <w:p w14:paraId="5E6589FD" w14:textId="47E30BF3" w:rsidR="00FC72A7" w:rsidRDefault="00FC72A7" w:rsidP="005B5D94">
      <w:r>
        <w:rPr>
          <w:noProof/>
        </w:rPr>
        <w:drawing>
          <wp:inline distT="0" distB="0" distL="0" distR="0" wp14:anchorId="4B2B4DEF" wp14:editId="61617A64">
            <wp:extent cx="3583172" cy="3190240"/>
            <wp:effectExtent l="0" t="0" r="0" b="0"/>
            <wp:docPr id="145403727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954814B-15E7-49EC-9D01-C2296600824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17910CF" w14:textId="104D86FD" w:rsidR="006861B0" w:rsidRPr="006861B0" w:rsidRDefault="00FC72A7" w:rsidP="006861B0">
      <w:pPr>
        <w:sectPr w:rsidR="006861B0" w:rsidRPr="006861B0" w:rsidSect="005B5D94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br w:type="page"/>
      </w:r>
      <w:r w:rsidR="006F6918">
        <w:rPr>
          <w:noProof/>
        </w:rPr>
        <w:lastRenderedPageBreak/>
        <w:drawing>
          <wp:inline distT="0" distB="0" distL="0" distR="0" wp14:anchorId="1545160F" wp14:editId="0748C00C">
            <wp:extent cx="6910705" cy="5571460"/>
            <wp:effectExtent l="0" t="0" r="4445" b="0"/>
            <wp:docPr id="106559568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930F429-D7E3-FAF1-3B8F-FC74F94856A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r w:rsidR="006F6918">
        <w:t xml:space="preserve"> </w:t>
      </w:r>
    </w:p>
    <w:p w14:paraId="004C3D3D" w14:textId="77777777" w:rsidR="006861B0" w:rsidRDefault="006861B0" w:rsidP="006861B0">
      <w:pPr>
        <w:rPr>
          <w:b/>
          <w:bCs/>
        </w:rPr>
      </w:pPr>
    </w:p>
    <w:p w14:paraId="6FD0C7FB" w14:textId="77777777" w:rsidR="002E6028" w:rsidRDefault="002E6028" w:rsidP="006861B0">
      <w:pPr>
        <w:rPr>
          <w:b/>
          <w:bCs/>
        </w:rPr>
        <w:sectPr w:rsidR="002E6028" w:rsidSect="005B5D94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A25B98F" w14:textId="77777777" w:rsidR="006861B0" w:rsidRPr="006861B0" w:rsidRDefault="006861B0" w:rsidP="006861B0">
      <w:pPr>
        <w:rPr>
          <w:sz w:val="28"/>
          <w:szCs w:val="28"/>
        </w:rPr>
      </w:pPr>
      <w:r w:rsidRPr="006861B0">
        <w:rPr>
          <w:b/>
          <w:bCs/>
          <w:sz w:val="28"/>
          <w:szCs w:val="28"/>
        </w:rPr>
        <w:t>Key Insights</w:t>
      </w:r>
    </w:p>
    <w:p w14:paraId="344C7359" w14:textId="77777777" w:rsidR="006861B0" w:rsidRPr="006861B0" w:rsidRDefault="006861B0" w:rsidP="006861B0">
      <w:pPr>
        <w:numPr>
          <w:ilvl w:val="0"/>
          <w:numId w:val="13"/>
        </w:numPr>
        <w:rPr>
          <w:sz w:val="28"/>
          <w:szCs w:val="28"/>
        </w:rPr>
      </w:pPr>
      <w:r w:rsidRPr="006861B0">
        <w:rPr>
          <w:sz w:val="28"/>
          <w:szCs w:val="28"/>
        </w:rPr>
        <w:t>Surgery has the highest average treatment cost (~$83.7K) and the highest average recovery score (~73.7), indicating high-cost interventions are associated with better outcomes here</w:t>
      </w:r>
    </w:p>
    <w:p w14:paraId="496B46CB" w14:textId="73F1F359" w:rsidR="006861B0" w:rsidRPr="006861B0" w:rsidRDefault="006861B0" w:rsidP="006861B0">
      <w:pPr>
        <w:pStyle w:val="ListParagraph"/>
        <w:numPr>
          <w:ilvl w:val="0"/>
          <w:numId w:val="13"/>
        </w:numPr>
        <w:rPr>
          <w:b/>
          <w:bCs/>
        </w:rPr>
      </w:pPr>
      <w:r w:rsidRPr="006861B0">
        <w:rPr>
          <w:sz w:val="28"/>
          <w:szCs w:val="28"/>
        </w:rPr>
        <w:t>Therapy is the least costly (~$75.8K) with a relatively high recovery score (~70.7), suggesting good value for that treatment type compared with Medication and Observation</w:t>
      </w:r>
    </w:p>
    <w:p w14:paraId="3794C851" w14:textId="77777777" w:rsidR="002E6028" w:rsidRDefault="002E6028">
      <w:pPr>
        <w:rPr>
          <w:b/>
          <w:bCs/>
        </w:rPr>
        <w:sectPr w:rsidR="002E6028" w:rsidSect="002E6028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5AB6E10" w14:textId="77777777" w:rsidR="006861B0" w:rsidRDefault="006861B0">
      <w:pPr>
        <w:rPr>
          <w:b/>
          <w:bCs/>
        </w:rPr>
      </w:pPr>
      <w:r>
        <w:rPr>
          <w:b/>
          <w:bCs/>
        </w:rPr>
        <w:br w:type="page"/>
      </w:r>
    </w:p>
    <w:p w14:paraId="6AD867B6" w14:textId="77777777" w:rsidR="002E6028" w:rsidRDefault="002E6028" w:rsidP="006861B0">
      <w:pPr>
        <w:rPr>
          <w:b/>
          <w:bCs/>
        </w:rPr>
        <w:sectPr w:rsidR="002E6028" w:rsidSect="005B5D94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B0F9261" w14:textId="77777777" w:rsidR="002E6028" w:rsidRDefault="002E6028" w:rsidP="006861B0">
      <w:pPr>
        <w:rPr>
          <w:b/>
          <w:bCs/>
        </w:rPr>
        <w:sectPr w:rsidR="002E6028" w:rsidSect="002E6028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04814337" wp14:editId="495A518A">
            <wp:extent cx="7027545" cy="5890437"/>
            <wp:effectExtent l="0" t="0" r="1905" b="0"/>
            <wp:docPr id="212669796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EE4FA9A-44E3-27EE-CF28-90E170C8C71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AC1C36E" w14:textId="0FE5F8AA" w:rsidR="006861B0" w:rsidRDefault="006861B0" w:rsidP="006861B0">
      <w:pPr>
        <w:rPr>
          <w:b/>
          <w:bCs/>
        </w:rPr>
      </w:pPr>
    </w:p>
    <w:p w14:paraId="0B0B16AE" w14:textId="77777777" w:rsidR="002E6028" w:rsidRDefault="002E6028" w:rsidP="006861B0">
      <w:pPr>
        <w:rPr>
          <w:b/>
          <w:bCs/>
        </w:rPr>
      </w:pPr>
    </w:p>
    <w:p w14:paraId="2BBFFF37" w14:textId="77777777" w:rsidR="002E6028" w:rsidRDefault="002E6028" w:rsidP="002E6028">
      <w:pPr>
        <w:rPr>
          <w:b/>
          <w:bCs/>
        </w:rPr>
        <w:sectPr w:rsidR="002E6028" w:rsidSect="005B5D94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9116F6B" w14:textId="2BA022A3" w:rsidR="002E6028" w:rsidRPr="002E6028" w:rsidRDefault="002E6028" w:rsidP="002E6028">
      <w:pPr>
        <w:rPr>
          <w:b/>
          <w:bCs/>
          <w:sz w:val="28"/>
          <w:szCs w:val="28"/>
        </w:rPr>
      </w:pPr>
      <w:r w:rsidRPr="002E6028">
        <w:rPr>
          <w:b/>
          <w:bCs/>
          <w:sz w:val="28"/>
          <w:szCs w:val="28"/>
        </w:rPr>
        <w:t>Key Insights</w:t>
      </w:r>
    </w:p>
    <w:p w14:paraId="4CEC144B" w14:textId="77777777" w:rsidR="002E6028" w:rsidRPr="002E6028" w:rsidRDefault="002E6028" w:rsidP="002E6028">
      <w:pPr>
        <w:numPr>
          <w:ilvl w:val="0"/>
          <w:numId w:val="14"/>
        </w:numPr>
        <w:rPr>
          <w:sz w:val="28"/>
          <w:szCs w:val="28"/>
        </w:rPr>
      </w:pPr>
      <w:r w:rsidRPr="002E6028">
        <w:rPr>
          <w:sz w:val="28"/>
          <w:szCs w:val="28"/>
        </w:rPr>
        <w:t>Gastroenterology and Pediatrics have the largest total treatment counts, with Gastroenterology showing the highest single-category count for Medication (13) and substantial counts across all treatment types</w:t>
      </w:r>
    </w:p>
    <w:p w14:paraId="17D35279" w14:textId="77777777" w:rsidR="002E6028" w:rsidRPr="002E6028" w:rsidRDefault="002E6028" w:rsidP="002E6028">
      <w:pPr>
        <w:numPr>
          <w:ilvl w:val="0"/>
          <w:numId w:val="14"/>
        </w:numPr>
        <w:rPr>
          <w:sz w:val="28"/>
          <w:szCs w:val="28"/>
        </w:rPr>
      </w:pPr>
      <w:r w:rsidRPr="002E6028">
        <w:rPr>
          <w:sz w:val="28"/>
          <w:szCs w:val="28"/>
        </w:rPr>
        <w:t>Oncology has a high share of Surgery and Observation relative to Medication and Therapy, consistent with its clinical profile and implying departmental resource needs skewed toward surgical/observation capacity</w:t>
      </w:r>
    </w:p>
    <w:p w14:paraId="7FAEADC7" w14:textId="77777777" w:rsidR="002E6028" w:rsidRDefault="002E6028" w:rsidP="006861B0">
      <w:pPr>
        <w:rPr>
          <w:b/>
          <w:bCs/>
        </w:rPr>
        <w:sectPr w:rsidR="002E6028" w:rsidSect="002E6028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29144F3" w14:textId="69B485F3" w:rsidR="002E6028" w:rsidRDefault="002E6028" w:rsidP="002E6028"/>
    <w:tbl>
      <w:tblPr>
        <w:tblpPr w:leftFromText="180" w:rightFromText="180" w:vertAnchor="text" w:horzAnchor="margin" w:tblpXSpec="center" w:tblpY="-334"/>
        <w:tblW w:w="12249" w:type="dxa"/>
        <w:tblLook w:val="04A0" w:firstRow="1" w:lastRow="0" w:firstColumn="1" w:lastColumn="0" w:noHBand="0" w:noVBand="1"/>
      </w:tblPr>
      <w:tblGrid>
        <w:gridCol w:w="1869"/>
        <w:gridCol w:w="1940"/>
        <w:gridCol w:w="2660"/>
        <w:gridCol w:w="3120"/>
        <w:gridCol w:w="2660"/>
      </w:tblGrid>
      <w:tr w:rsidR="002E6028" w:rsidRPr="002E6028" w14:paraId="01A1C355" w14:textId="77777777" w:rsidTr="0065070F">
        <w:trPr>
          <w:trHeight w:val="300"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3A0EE649" w14:textId="77377D2F" w:rsidR="002E6028" w:rsidRPr="002E6028" w:rsidRDefault="002E6028" w:rsidP="002E60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Department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68A55E5A" w14:textId="6AFA93DE" w:rsidR="002E6028" w:rsidRPr="002E6028" w:rsidRDefault="002E6028" w:rsidP="002E60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Patient</w:t>
            </w:r>
            <w:r w:rsidRPr="006507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2B2188C0" w14:textId="523E95CC" w:rsidR="002E6028" w:rsidRPr="002E6028" w:rsidRDefault="002E6028" w:rsidP="002E60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Average Treatment Cost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4087F05D" w14:textId="665B55C0" w:rsidR="002E6028" w:rsidRPr="002E6028" w:rsidRDefault="002E6028" w:rsidP="002E60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Average Hospital Stay (Days)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3A1CE59E" w14:textId="5C080B11" w:rsidR="002E6028" w:rsidRPr="002E6028" w:rsidRDefault="002E6028" w:rsidP="002E60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Average Recovery Score</w:t>
            </w:r>
          </w:p>
        </w:tc>
      </w:tr>
      <w:tr w:rsidR="0065070F" w:rsidRPr="002E6028" w14:paraId="2E9B9C16" w14:textId="77777777" w:rsidTr="0065070F">
        <w:trPr>
          <w:trHeight w:val="300"/>
        </w:trPr>
        <w:tc>
          <w:tcPr>
            <w:tcW w:w="1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F3AB1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Cardiology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B7596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AAE644" w14:textId="36343DF5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75,039.26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09253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15.8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A48E8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70.50</w:t>
            </w:r>
          </w:p>
        </w:tc>
      </w:tr>
      <w:tr w:rsidR="0065070F" w:rsidRPr="002E6028" w14:paraId="33AA3A5D" w14:textId="77777777" w:rsidTr="0065070F">
        <w:trPr>
          <w:trHeight w:val="300"/>
        </w:trPr>
        <w:tc>
          <w:tcPr>
            <w:tcW w:w="1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FCD7D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Gastroenterology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AF18E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</w:t>
            </w:r>
          </w:p>
        </w:tc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519073" w14:textId="0D39B9C5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72,489.53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F9101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A8557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71.80</w:t>
            </w:r>
          </w:p>
        </w:tc>
      </w:tr>
      <w:tr w:rsidR="0065070F" w:rsidRPr="002E6028" w14:paraId="02F67D7A" w14:textId="77777777" w:rsidTr="0065070F">
        <w:trPr>
          <w:trHeight w:val="300"/>
        </w:trPr>
        <w:tc>
          <w:tcPr>
            <w:tcW w:w="1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DE0DF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Neurology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891BE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FC11D8" w14:textId="7A988544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75,960.44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573FE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15.2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FC007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66.39</w:t>
            </w:r>
          </w:p>
        </w:tc>
      </w:tr>
      <w:tr w:rsidR="0065070F" w:rsidRPr="002E6028" w14:paraId="584541BB" w14:textId="77777777" w:rsidTr="0065070F">
        <w:trPr>
          <w:trHeight w:val="300"/>
        </w:trPr>
        <w:tc>
          <w:tcPr>
            <w:tcW w:w="1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855E3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Oncology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3B186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FE13CE" w14:textId="483D8594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89,613.51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AB388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16.9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63F40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72.42</w:t>
            </w:r>
          </w:p>
        </w:tc>
      </w:tr>
      <w:tr w:rsidR="0065070F" w:rsidRPr="002E6028" w14:paraId="464B527C" w14:textId="77777777" w:rsidTr="0065070F">
        <w:trPr>
          <w:trHeight w:val="300"/>
        </w:trPr>
        <w:tc>
          <w:tcPr>
            <w:tcW w:w="1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787B6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Orthopedics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E36B7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26165E" w14:textId="7B3A4C9D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89,613.62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51925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28A2B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67.26</w:t>
            </w:r>
          </w:p>
        </w:tc>
      </w:tr>
      <w:tr w:rsidR="0065070F" w:rsidRPr="002E6028" w14:paraId="2340612B" w14:textId="77777777" w:rsidTr="0065070F">
        <w:trPr>
          <w:trHeight w:val="300"/>
        </w:trPr>
        <w:tc>
          <w:tcPr>
            <w:tcW w:w="18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84818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Pediatrics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2B3E3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1BC5E9" w14:textId="069A18AD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75,170.03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44933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16.8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8DCED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73.13</w:t>
            </w:r>
          </w:p>
        </w:tc>
      </w:tr>
      <w:tr w:rsidR="0065070F" w:rsidRPr="002E6028" w14:paraId="11500084" w14:textId="77777777" w:rsidTr="0065070F">
        <w:trPr>
          <w:trHeight w:val="300"/>
        </w:trPr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77DC65C4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Grand Total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5D39046A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200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</w:tcPr>
          <w:p w14:paraId="6F6B4C38" w14:textId="713AF92F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79,698.51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0257E7E6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16.0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0168173C" w14:textId="77777777" w:rsidR="0065070F" w:rsidRPr="002E6028" w:rsidRDefault="0065070F" w:rsidP="006507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2E60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70.38</w:t>
            </w:r>
          </w:p>
        </w:tc>
      </w:tr>
    </w:tbl>
    <w:p w14:paraId="6DE44ED6" w14:textId="01AB4561" w:rsidR="00D835E7" w:rsidRDefault="002E6028" w:rsidP="002E6028">
      <w:r>
        <w:t xml:space="preserve"> </w:t>
      </w:r>
    </w:p>
    <w:p w14:paraId="5E8535F3" w14:textId="77777777" w:rsidR="002E6028" w:rsidRDefault="002E6028" w:rsidP="002E6028">
      <w:pPr>
        <w:rPr>
          <w:b/>
          <w:bCs/>
        </w:rPr>
        <w:sectPr w:rsidR="002E6028" w:rsidSect="005B5D94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549134F" w14:textId="77777777" w:rsidR="002E6028" w:rsidRPr="002E6028" w:rsidRDefault="002E6028" w:rsidP="002E6028">
      <w:r w:rsidRPr="002E6028">
        <w:rPr>
          <w:b/>
          <w:bCs/>
        </w:rPr>
        <w:t>K</w:t>
      </w:r>
      <w:r w:rsidRPr="002E6028">
        <w:rPr>
          <w:b/>
          <w:bCs/>
          <w:sz w:val="28"/>
          <w:szCs w:val="28"/>
        </w:rPr>
        <w:t>ey Insights</w:t>
      </w:r>
    </w:p>
    <w:p w14:paraId="6F769A3C" w14:textId="77777777" w:rsidR="002E6028" w:rsidRPr="002E6028" w:rsidRDefault="002E6028" w:rsidP="002E6028">
      <w:pPr>
        <w:numPr>
          <w:ilvl w:val="0"/>
          <w:numId w:val="15"/>
        </w:numPr>
        <w:rPr>
          <w:sz w:val="28"/>
          <w:szCs w:val="28"/>
        </w:rPr>
      </w:pPr>
      <w:r w:rsidRPr="002E6028">
        <w:rPr>
          <w:sz w:val="28"/>
          <w:szCs w:val="28"/>
        </w:rPr>
        <w:t xml:space="preserve">Oncology and Orthopedics tie for highest average treatment cost (~$89.6K) </w:t>
      </w:r>
      <w:proofErr w:type="gramStart"/>
      <w:r w:rsidRPr="002E6028">
        <w:rPr>
          <w:sz w:val="28"/>
          <w:szCs w:val="28"/>
        </w:rPr>
        <w:t>and also</w:t>
      </w:r>
      <w:proofErr w:type="gramEnd"/>
      <w:r w:rsidRPr="002E6028">
        <w:rPr>
          <w:sz w:val="28"/>
          <w:szCs w:val="28"/>
        </w:rPr>
        <w:t xml:space="preserve"> have the longest average hospital stays (~16.9 and 15.6 days respectively), indicating high-cost, high-utilization services</w:t>
      </w:r>
    </w:p>
    <w:p w14:paraId="63AB3636" w14:textId="77D6BF48" w:rsidR="002E6028" w:rsidRDefault="002E6028" w:rsidP="005B5D94">
      <w:pPr>
        <w:numPr>
          <w:ilvl w:val="0"/>
          <w:numId w:val="15"/>
        </w:numPr>
        <w:pBdr>
          <w:bottom w:val="single" w:sz="6" w:space="1" w:color="auto"/>
        </w:pBdr>
        <w:rPr>
          <w:sz w:val="28"/>
          <w:szCs w:val="28"/>
        </w:rPr>
      </w:pPr>
      <w:r w:rsidRPr="002E6028">
        <w:rPr>
          <w:sz w:val="28"/>
          <w:szCs w:val="28"/>
        </w:rPr>
        <w:t>Pediatrics achieves the highest average recovery score (73.1) despite one of the longer average stays (16.8 days), while Neurology has the lowest recovery score (66.4) with a moderate stay length (15.2 days), highlighting departments with differing outcome-efficiency profiles</w:t>
      </w:r>
      <w:r w:rsidR="004F30B9">
        <w:rPr>
          <w:sz w:val="28"/>
          <w:szCs w:val="28"/>
        </w:rPr>
        <w:t>.</w:t>
      </w:r>
    </w:p>
    <w:tbl>
      <w:tblPr>
        <w:tblpPr w:leftFromText="180" w:rightFromText="180" w:vertAnchor="text" w:horzAnchor="margin" w:tblpXSpec="center" w:tblpY="355"/>
        <w:tblW w:w="11698" w:type="dxa"/>
        <w:tblLook w:val="04A0" w:firstRow="1" w:lastRow="0" w:firstColumn="1" w:lastColumn="0" w:noHBand="0" w:noVBand="1"/>
      </w:tblPr>
      <w:tblGrid>
        <w:gridCol w:w="1606"/>
        <w:gridCol w:w="1128"/>
        <w:gridCol w:w="2817"/>
        <w:gridCol w:w="3330"/>
        <w:gridCol w:w="2817"/>
      </w:tblGrid>
      <w:tr w:rsidR="00ED3B97" w:rsidRPr="0065070F" w14:paraId="27955612" w14:textId="77777777" w:rsidTr="00D35F9B">
        <w:trPr>
          <w:trHeight w:val="515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0514196E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Doctor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6F203BE4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Patients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42A69D1A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Average Recovery Score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0CE5D147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Average Hospital Stay (Days)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679A5AAC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Average Treatment Cost</w:t>
            </w:r>
          </w:p>
        </w:tc>
      </w:tr>
      <w:tr w:rsidR="00ED3B97" w:rsidRPr="0065070F" w14:paraId="4F780A13" w14:textId="77777777" w:rsidTr="00D35F9B">
        <w:trPr>
          <w:trHeight w:val="515"/>
        </w:trPr>
        <w:tc>
          <w:tcPr>
            <w:tcW w:w="1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3C55C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Dr. A. Sharma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72593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9595D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70.20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5F9EA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15.2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1312A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76,987.61</w:t>
            </w:r>
          </w:p>
        </w:tc>
      </w:tr>
      <w:tr w:rsidR="00ED3B97" w:rsidRPr="0065070F" w14:paraId="702E0DFB" w14:textId="77777777" w:rsidTr="00D35F9B">
        <w:trPr>
          <w:trHeight w:val="515"/>
        </w:trPr>
        <w:tc>
          <w:tcPr>
            <w:tcW w:w="1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7515F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Dr. L. Khan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97484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7BEF9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72.52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63A30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18.5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31448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82,422.09</w:t>
            </w:r>
          </w:p>
        </w:tc>
      </w:tr>
      <w:tr w:rsidR="00ED3B97" w:rsidRPr="0065070F" w14:paraId="01D1AB84" w14:textId="77777777" w:rsidTr="00D35F9B">
        <w:trPr>
          <w:trHeight w:val="515"/>
        </w:trPr>
        <w:tc>
          <w:tcPr>
            <w:tcW w:w="1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B51E4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Dr. M. Patel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16D79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18608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73.24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FE143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14.8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180A9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70,756.39</w:t>
            </w:r>
          </w:p>
        </w:tc>
      </w:tr>
      <w:tr w:rsidR="00ED3B97" w:rsidRPr="0065070F" w14:paraId="6BE37DAC" w14:textId="77777777" w:rsidTr="00D35F9B">
        <w:trPr>
          <w:trHeight w:val="515"/>
        </w:trPr>
        <w:tc>
          <w:tcPr>
            <w:tcW w:w="1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D8B71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Dr. R. Singh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B5981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5601C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67.76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4FF7E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14.0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A5F36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74,882.18</w:t>
            </w:r>
          </w:p>
        </w:tc>
      </w:tr>
      <w:tr w:rsidR="00ED3B97" w:rsidRPr="0065070F" w14:paraId="6A0AA209" w14:textId="77777777" w:rsidTr="00D35F9B">
        <w:trPr>
          <w:trHeight w:val="515"/>
        </w:trPr>
        <w:tc>
          <w:tcPr>
            <w:tcW w:w="1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90E46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Dr. T. Mehta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53E5E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652B3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67.92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F597F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17.4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92703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93,893.37</w:t>
            </w:r>
          </w:p>
        </w:tc>
      </w:tr>
      <w:tr w:rsidR="00ED3B97" w:rsidRPr="0065070F" w14:paraId="7AE43832" w14:textId="77777777" w:rsidTr="00D35F9B">
        <w:trPr>
          <w:trHeight w:val="515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34F72E87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Grand Total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09C0C32B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200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430BFF18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70.38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3E461795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16.0</w:t>
            </w:r>
          </w:p>
        </w:tc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22037D22" w14:textId="77777777" w:rsidR="00ED3B97" w:rsidRPr="0065070F" w:rsidRDefault="00ED3B97" w:rsidP="00D35F9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507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79,698.51</w:t>
            </w:r>
          </w:p>
        </w:tc>
      </w:tr>
    </w:tbl>
    <w:p w14:paraId="6CAEB2F4" w14:textId="77777777" w:rsidR="00ED3B97" w:rsidRDefault="00ED3B97" w:rsidP="005B5D94"/>
    <w:p w14:paraId="3773996C" w14:textId="77777777" w:rsidR="0065070F" w:rsidRPr="00A91108" w:rsidRDefault="0065070F" w:rsidP="005B5D94">
      <w:pPr>
        <w:rPr>
          <w:sz w:val="22"/>
          <w:szCs w:val="22"/>
        </w:rPr>
        <w:sectPr w:rsidR="0065070F" w:rsidRPr="00A91108" w:rsidSect="002E6028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435D55B" w14:textId="77777777" w:rsidR="00ED3B97" w:rsidRPr="00ED3B97" w:rsidRDefault="00ED3B97" w:rsidP="00ED3B97">
      <w:pPr>
        <w:rPr>
          <w:sz w:val="25"/>
          <w:szCs w:val="25"/>
        </w:rPr>
      </w:pPr>
    </w:p>
    <w:p w14:paraId="4EB1AAC7" w14:textId="54860334" w:rsidR="00A91108" w:rsidRPr="00FB5888" w:rsidRDefault="00A91108" w:rsidP="00A91108">
      <w:pPr>
        <w:pStyle w:val="ListParagraph"/>
        <w:numPr>
          <w:ilvl w:val="0"/>
          <w:numId w:val="16"/>
        </w:numPr>
        <w:rPr>
          <w:sz w:val="25"/>
          <w:szCs w:val="25"/>
        </w:rPr>
      </w:pPr>
      <w:r w:rsidRPr="00FB5888">
        <w:rPr>
          <w:sz w:val="25"/>
          <w:szCs w:val="25"/>
        </w:rPr>
        <w:t>Across 200 patients, the hospital maintains a strong recovery rate with an average score of 70.38.</w:t>
      </w:r>
    </w:p>
    <w:p w14:paraId="10F17B8C" w14:textId="77777777" w:rsidR="00A91108" w:rsidRPr="00FB5888" w:rsidRDefault="00A91108" w:rsidP="00A91108">
      <w:pPr>
        <w:pStyle w:val="ListParagraph"/>
        <w:numPr>
          <w:ilvl w:val="0"/>
          <w:numId w:val="16"/>
        </w:numPr>
        <w:rPr>
          <w:sz w:val="25"/>
          <w:szCs w:val="25"/>
        </w:rPr>
      </w:pPr>
      <w:r w:rsidRPr="00FB5888">
        <w:rPr>
          <w:sz w:val="25"/>
          <w:szCs w:val="25"/>
        </w:rPr>
        <w:t>Dr. M. Patel stands out as the most efficient doctor, delivering the highest recovery outcomes at lower costs and shorter hospital stays.</w:t>
      </w:r>
    </w:p>
    <w:p w14:paraId="1B1D68E0" w14:textId="77777777" w:rsidR="00A91108" w:rsidRPr="00FB5888" w:rsidRDefault="00A91108" w:rsidP="00A91108">
      <w:pPr>
        <w:pStyle w:val="ListParagraph"/>
        <w:numPr>
          <w:ilvl w:val="0"/>
          <w:numId w:val="16"/>
        </w:numPr>
        <w:rPr>
          <w:sz w:val="25"/>
          <w:szCs w:val="25"/>
        </w:rPr>
      </w:pPr>
      <w:r w:rsidRPr="00FB5888">
        <w:rPr>
          <w:sz w:val="25"/>
          <w:szCs w:val="25"/>
        </w:rPr>
        <w:t>Dr. L. Khan manages the highest patient workload, contributing significantly to hospital capacity.</w:t>
      </w:r>
    </w:p>
    <w:p w14:paraId="524D29FF" w14:textId="77777777" w:rsidR="00A91108" w:rsidRPr="00FB5888" w:rsidRDefault="00A91108" w:rsidP="00A91108">
      <w:pPr>
        <w:pStyle w:val="ListParagraph"/>
        <w:numPr>
          <w:ilvl w:val="0"/>
          <w:numId w:val="16"/>
        </w:numPr>
        <w:rPr>
          <w:sz w:val="25"/>
          <w:szCs w:val="25"/>
        </w:rPr>
      </w:pPr>
      <w:r w:rsidRPr="00FB5888">
        <w:rPr>
          <w:sz w:val="25"/>
          <w:szCs w:val="25"/>
        </w:rPr>
        <w:t>Opportunities for improvement include reducing treatment costs under Dr. T. Mehta and improving recovery outcomes for Dr. R. Singh.</w:t>
      </w:r>
    </w:p>
    <w:p w14:paraId="69A423E1" w14:textId="18116A81" w:rsidR="00A91108" w:rsidRPr="00FB5888" w:rsidRDefault="00A91108" w:rsidP="00FB5888">
      <w:pPr>
        <w:pStyle w:val="ListParagraph"/>
        <w:numPr>
          <w:ilvl w:val="0"/>
          <w:numId w:val="16"/>
        </w:numPr>
        <w:rPr>
          <w:sz w:val="25"/>
          <w:szCs w:val="25"/>
        </w:rPr>
      </w:pPr>
      <w:r w:rsidRPr="00FB5888">
        <w:rPr>
          <w:sz w:val="25"/>
          <w:szCs w:val="25"/>
        </w:rPr>
        <w:t>Overall, the hospital demonstrates stable performance with clear opportunities for efficiency improvements and clinical benchmarking.</w:t>
      </w:r>
    </w:p>
    <w:tbl>
      <w:tblPr>
        <w:tblW w:w="11983" w:type="dxa"/>
        <w:tblInd w:w="-600" w:type="dxa"/>
        <w:tblLook w:val="04A0" w:firstRow="1" w:lastRow="0" w:firstColumn="1" w:lastColumn="0" w:noHBand="0" w:noVBand="1"/>
      </w:tblPr>
      <w:tblGrid>
        <w:gridCol w:w="2127"/>
        <w:gridCol w:w="1175"/>
        <w:gridCol w:w="2639"/>
        <w:gridCol w:w="2639"/>
        <w:gridCol w:w="3403"/>
      </w:tblGrid>
      <w:tr w:rsidR="00A91108" w:rsidRPr="00A91108" w14:paraId="21438EAB" w14:textId="77777777" w:rsidTr="00FB5888">
        <w:trPr>
          <w:trHeight w:val="366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6F217EDC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Age Group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730CAA6A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Patients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47F2A54F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Average Treatment Cost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42BCAAD4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Average Recovery Score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5AF26CC4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Average Hospital Stay (Days)</w:t>
            </w:r>
          </w:p>
        </w:tc>
      </w:tr>
      <w:tr w:rsidR="00A91108" w:rsidRPr="00A91108" w14:paraId="3AF21B25" w14:textId="77777777" w:rsidTr="00FB5888">
        <w:trPr>
          <w:trHeight w:val="366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50C70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Adult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B081F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3422A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84,149.07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E01DF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68.3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AC631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16.9</w:t>
            </w:r>
          </w:p>
        </w:tc>
      </w:tr>
      <w:tr w:rsidR="00A91108" w:rsidRPr="00A91108" w14:paraId="71D0A632" w14:textId="77777777" w:rsidTr="00FB5888">
        <w:trPr>
          <w:trHeight w:val="366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83002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Child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6A733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92DB7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66,804.13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B8552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70.4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66B56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16.9</w:t>
            </w:r>
          </w:p>
        </w:tc>
      </w:tr>
      <w:tr w:rsidR="00A91108" w:rsidRPr="00A91108" w14:paraId="0CCAD2CC" w14:textId="77777777" w:rsidTr="00FB5888">
        <w:trPr>
          <w:trHeight w:val="366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4B1D7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Elderly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771AD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0DB54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76,586.29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B0B6A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73.0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1E2E8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15.5</w:t>
            </w:r>
          </w:p>
        </w:tc>
      </w:tr>
      <w:tr w:rsidR="00A91108" w:rsidRPr="00A91108" w14:paraId="6E94AD2A" w14:textId="77777777" w:rsidTr="00FB5888">
        <w:trPr>
          <w:trHeight w:val="366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5A0F8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Infant / Toddler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D2129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DFE48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71,067.87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0E892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72.2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70FC4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15.0</w:t>
            </w:r>
          </w:p>
        </w:tc>
      </w:tr>
      <w:tr w:rsidR="00A91108" w:rsidRPr="00A91108" w14:paraId="26AFDF02" w14:textId="77777777" w:rsidTr="00FB5888">
        <w:trPr>
          <w:trHeight w:val="366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411BA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Middle-aged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8F4F1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9C2BB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93,617.63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0391B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68.2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B8AFC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14.3</w:t>
            </w:r>
          </w:p>
        </w:tc>
      </w:tr>
      <w:tr w:rsidR="00A91108" w:rsidRPr="00A91108" w14:paraId="51ADBDE0" w14:textId="77777777" w:rsidTr="00FB5888">
        <w:trPr>
          <w:trHeight w:val="366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B1410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Senior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D7676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6861A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69,600.66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36963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72.3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EE1EA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14.4</w:t>
            </w:r>
          </w:p>
        </w:tc>
      </w:tr>
      <w:tr w:rsidR="00A91108" w:rsidRPr="00A91108" w14:paraId="37BA69D9" w14:textId="77777777" w:rsidTr="00FB5888">
        <w:trPr>
          <w:trHeight w:val="366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A1B7C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Teenager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D271C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22673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76,922.68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9FC59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67.2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28B64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19.2</w:t>
            </w:r>
          </w:p>
        </w:tc>
      </w:tr>
      <w:tr w:rsidR="00A91108" w:rsidRPr="00A91108" w14:paraId="37EE7414" w14:textId="77777777" w:rsidTr="00FB5888">
        <w:trPr>
          <w:trHeight w:val="366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B809A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Young Adult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15475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1F567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94,124.42</w:t>
            </w: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055A6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71.3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283FE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19.0</w:t>
            </w:r>
          </w:p>
        </w:tc>
      </w:tr>
      <w:tr w:rsidR="00A91108" w:rsidRPr="00A91108" w14:paraId="7C7BAFFC" w14:textId="77777777" w:rsidTr="00FB5888">
        <w:trPr>
          <w:trHeight w:val="366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51E7EB7F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Grand Total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494244DF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200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0E5901C5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79,698.51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07A5A57B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70.4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78CA1B06" w14:textId="77777777" w:rsidR="00A91108" w:rsidRPr="00A91108" w:rsidRDefault="00A91108" w:rsidP="00A9110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9110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16.0</w:t>
            </w:r>
          </w:p>
        </w:tc>
      </w:tr>
    </w:tbl>
    <w:p w14:paraId="4480D26D" w14:textId="77777777" w:rsidR="00A91108" w:rsidRDefault="00A91108" w:rsidP="005B5D94"/>
    <w:p w14:paraId="093CF47A" w14:textId="77777777" w:rsidR="00A91108" w:rsidRPr="00A91108" w:rsidRDefault="00A91108" w:rsidP="00A91108">
      <w:pPr>
        <w:ind w:left="360"/>
        <w:rPr>
          <w:sz w:val="28"/>
          <w:szCs w:val="28"/>
        </w:rPr>
      </w:pPr>
      <w:r w:rsidRPr="00A91108">
        <w:rPr>
          <w:b/>
          <w:bCs/>
          <w:sz w:val="28"/>
          <w:szCs w:val="28"/>
        </w:rPr>
        <w:t>Key Insights</w:t>
      </w:r>
    </w:p>
    <w:p w14:paraId="68DE36CB" w14:textId="77777777" w:rsidR="00A91108" w:rsidRPr="00A91108" w:rsidRDefault="00A91108" w:rsidP="00A91108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A91108">
        <w:rPr>
          <w:sz w:val="28"/>
          <w:szCs w:val="28"/>
        </w:rPr>
        <w:t>The hospital demonstrates consistent treatment outcomes across age groups, with an overall recovery score of 70.4 and an average hospital stay of 16 days.</w:t>
      </w:r>
    </w:p>
    <w:p w14:paraId="2FE8F891" w14:textId="77777777" w:rsidR="00A91108" w:rsidRPr="00A91108" w:rsidRDefault="00A91108" w:rsidP="00A91108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A91108">
        <w:rPr>
          <w:sz w:val="28"/>
          <w:szCs w:val="28"/>
        </w:rPr>
        <w:t>Elderly patients show the best recovery outcomes, while young adults and middle-aged patients generate the highest treatment costs.</w:t>
      </w:r>
    </w:p>
    <w:p w14:paraId="17949EF5" w14:textId="77777777" w:rsidR="00A91108" w:rsidRPr="00A91108" w:rsidRDefault="00A91108" w:rsidP="00A91108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A91108">
        <w:rPr>
          <w:sz w:val="28"/>
          <w:szCs w:val="28"/>
        </w:rPr>
        <w:t>Meanwhile, teenagers experience the longest hospital stays and lowest recovery scores, highlighting a potential area for clinical improvement.</w:t>
      </w:r>
    </w:p>
    <w:p w14:paraId="2E8CA183" w14:textId="611EED37" w:rsidR="004F30B9" w:rsidRPr="004F30B9" w:rsidRDefault="00A91108" w:rsidP="005B5D94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A91108">
        <w:rPr>
          <w:sz w:val="28"/>
          <w:szCs w:val="28"/>
        </w:rPr>
        <w:t>Overall, these insights help the hospital optimize treatment efficiency, manage costs, and improve patient care strategies across demographics.</w:t>
      </w:r>
    </w:p>
    <w:p w14:paraId="4AA28A66" w14:textId="77777777" w:rsidR="004F30B9" w:rsidRDefault="004F30B9" w:rsidP="005B5D94">
      <w:pPr>
        <w:sectPr w:rsidR="004F30B9" w:rsidSect="00A91108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49BFAD8" w14:textId="1C2CFD2B" w:rsidR="004F30B9" w:rsidRDefault="004F30B9" w:rsidP="005B5D94">
      <w:r>
        <w:t>------------------------------------------------------------------------------------------------------------------------------------</w:t>
      </w:r>
    </w:p>
    <w:p w14:paraId="190A3F6F" w14:textId="77777777" w:rsidR="004F30B9" w:rsidRDefault="004F30B9" w:rsidP="004F30B9">
      <w:pPr>
        <w:pStyle w:val="ListParagraph"/>
        <w:numPr>
          <w:ilvl w:val="0"/>
          <w:numId w:val="17"/>
        </w:numPr>
        <w:rPr>
          <w:sz w:val="28"/>
          <w:szCs w:val="28"/>
        </w:rPr>
        <w:sectPr w:rsidR="004F30B9" w:rsidSect="004F30B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E2BEC17" w14:textId="77777777" w:rsidR="004F30B9" w:rsidRPr="007D234D" w:rsidRDefault="004F30B9" w:rsidP="004F30B9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4F30B9">
        <w:rPr>
          <w:sz w:val="28"/>
          <w:szCs w:val="28"/>
        </w:rPr>
        <w:t xml:space="preserve">Orthopedics </w:t>
      </w:r>
      <w:proofErr w:type="gramStart"/>
      <w:r w:rsidRPr="004F30B9">
        <w:rPr>
          <w:sz w:val="28"/>
          <w:szCs w:val="28"/>
        </w:rPr>
        <w:t>leads</w:t>
      </w:r>
      <w:proofErr w:type="gramEnd"/>
      <w:r w:rsidRPr="004F30B9">
        <w:rPr>
          <w:sz w:val="28"/>
          <w:szCs w:val="28"/>
        </w:rPr>
        <w:t xml:space="preserve"> hospital revenue </w:t>
      </w:r>
      <w:r w:rsidRPr="007D234D">
        <w:rPr>
          <w:sz w:val="28"/>
          <w:szCs w:val="28"/>
        </w:rPr>
        <w:t>generation with ₹3.4M, driven by high-value procedures and strong patient demand. Gastroenterology, Pediatrics, and Oncology form the second tier of strong contributors, providing stable revenue streams.</w:t>
      </w:r>
    </w:p>
    <w:p w14:paraId="36BF8DEE" w14:textId="77777777" w:rsidR="004F30B9" w:rsidRPr="007D234D" w:rsidRDefault="004F30B9" w:rsidP="004F30B9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7D234D">
        <w:rPr>
          <w:sz w:val="28"/>
          <w:szCs w:val="28"/>
        </w:rPr>
        <w:t xml:space="preserve">Meanwhile, Neurology and Cardiology generate comparatively lower revenue, highlighting potential growth opportunities through service expansion and increased patient outreach. </w:t>
      </w:r>
    </w:p>
    <w:p w14:paraId="4C5CD950" w14:textId="7EC760DA" w:rsidR="004F30B9" w:rsidRDefault="004F30B9" w:rsidP="004F30B9">
      <w:pPr>
        <w:rPr>
          <w:sz w:val="28"/>
          <w:szCs w:val="28"/>
        </w:rPr>
      </w:pPr>
    </w:p>
    <w:p w14:paraId="426DC5BB" w14:textId="6283A2F4" w:rsidR="00777FF7" w:rsidRDefault="004F30B9" w:rsidP="004F30B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163FCA5" wp14:editId="1A730382">
            <wp:extent cx="3284855" cy="3317358"/>
            <wp:effectExtent l="0" t="0" r="0" b="0"/>
            <wp:docPr id="127499096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D233D02-C462-4181-98DB-D6DB73B0B69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0B4A2B77" w14:textId="77777777" w:rsidR="00777FF7" w:rsidRDefault="00777FF7" w:rsidP="004F30B9">
      <w:pPr>
        <w:rPr>
          <w:sz w:val="28"/>
          <w:szCs w:val="28"/>
        </w:rPr>
        <w:sectPr w:rsidR="00777FF7" w:rsidSect="004F30B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7721E31" w14:textId="77777777" w:rsidR="00777FF7" w:rsidRDefault="00777FF7" w:rsidP="004F30B9">
      <w:pPr>
        <w:rPr>
          <w:sz w:val="28"/>
          <w:szCs w:val="28"/>
        </w:rPr>
        <w:sectPr w:rsidR="00777FF7" w:rsidSect="00777FF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26AE6A12" wp14:editId="3BE9D6DC">
            <wp:extent cx="7065010" cy="3538846"/>
            <wp:effectExtent l="0" t="0" r="2540" b="5080"/>
            <wp:docPr id="76395934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41E4716-E809-4216-9542-BAC3D829A8F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5CC3E70C" w14:textId="7E8A9CCD" w:rsidR="004F30B9" w:rsidRPr="004F30B9" w:rsidRDefault="004F30B9" w:rsidP="004F30B9">
      <w:pPr>
        <w:rPr>
          <w:sz w:val="28"/>
          <w:szCs w:val="28"/>
        </w:rPr>
      </w:pPr>
    </w:p>
    <w:p w14:paraId="5CD78EF3" w14:textId="6FC339CA" w:rsidR="00A91108" w:rsidRDefault="00A91108" w:rsidP="005B5D94"/>
    <w:p w14:paraId="07F86013" w14:textId="77777777" w:rsidR="00777FF7" w:rsidRDefault="00777FF7" w:rsidP="005B5D94">
      <w:pPr>
        <w:sectPr w:rsidR="00777FF7" w:rsidSect="004F30B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B42D349" w14:textId="6FA8DE08" w:rsidR="00777FF7" w:rsidRPr="00777FF7" w:rsidRDefault="00777FF7" w:rsidP="005B5D94">
      <w:pPr>
        <w:rPr>
          <w:sz w:val="28"/>
          <w:szCs w:val="28"/>
        </w:rPr>
      </w:pPr>
      <w:r w:rsidRPr="00777FF7">
        <w:rPr>
          <w:sz w:val="28"/>
          <w:szCs w:val="28"/>
        </w:rPr>
        <w:t>The analysis shows that treatment costs vary significantly across departments, with surgery being the most expensive, peaking at around 28,000/day in Orthopedics, far higher than any other category. In comparison, observation remains the lowest-cost treatment, typically ranging between 5,000–₹9,000/day across departments. Therapy costs are moderate, generally falling between 7,000–17,000/day, with Pediatrics reaching the higher end at around 17,000/day. Most other surgical costs (e.g., Cardiology, Neurology, Oncology) range between 9,000–14,000/day, showing consistency but still higher than non-surgical treatments. Overall, the data highlights surgery—especially in Orthopedics—as the primary cost driver, while observation and therapy provide more stable and predictable cost patterns.</w:t>
      </w:r>
    </w:p>
    <w:p w14:paraId="53FE83D1" w14:textId="77777777" w:rsidR="00777FF7" w:rsidRPr="00777FF7" w:rsidRDefault="00777FF7" w:rsidP="005B5D94">
      <w:pPr>
        <w:rPr>
          <w:sz w:val="28"/>
          <w:szCs w:val="28"/>
        </w:rPr>
      </w:pPr>
    </w:p>
    <w:p w14:paraId="604385D3" w14:textId="77777777" w:rsidR="00777FF7" w:rsidRPr="00777FF7" w:rsidRDefault="00777FF7" w:rsidP="00777FF7">
      <w:pPr>
        <w:rPr>
          <w:b/>
          <w:bCs/>
          <w:sz w:val="28"/>
          <w:szCs w:val="28"/>
        </w:rPr>
      </w:pPr>
      <w:r w:rsidRPr="00777FF7">
        <w:rPr>
          <w:b/>
          <w:bCs/>
          <w:sz w:val="28"/>
          <w:szCs w:val="28"/>
        </w:rPr>
        <w:t>Key Business Insight</w:t>
      </w:r>
    </w:p>
    <w:p w14:paraId="1971E48B" w14:textId="77777777" w:rsidR="00777FF7" w:rsidRPr="00777FF7" w:rsidRDefault="00777FF7" w:rsidP="00974CC8">
      <w:pPr>
        <w:numPr>
          <w:ilvl w:val="0"/>
          <w:numId w:val="18"/>
        </w:numPr>
        <w:spacing w:after="0"/>
        <w:rPr>
          <w:sz w:val="28"/>
          <w:szCs w:val="28"/>
        </w:rPr>
      </w:pPr>
      <w:r w:rsidRPr="00777FF7">
        <w:rPr>
          <w:sz w:val="28"/>
          <w:szCs w:val="28"/>
        </w:rPr>
        <w:t xml:space="preserve">Revenue Strategy: Focus on high-value departments like Orthopedics and surgical services </w:t>
      </w:r>
    </w:p>
    <w:p w14:paraId="415969C2" w14:textId="77777777" w:rsidR="00777FF7" w:rsidRPr="00777FF7" w:rsidRDefault="00777FF7" w:rsidP="00974CC8">
      <w:pPr>
        <w:numPr>
          <w:ilvl w:val="0"/>
          <w:numId w:val="18"/>
        </w:numPr>
        <w:spacing w:after="0"/>
        <w:rPr>
          <w:sz w:val="28"/>
          <w:szCs w:val="28"/>
        </w:rPr>
      </w:pPr>
      <w:r w:rsidRPr="00777FF7">
        <w:rPr>
          <w:sz w:val="28"/>
          <w:szCs w:val="28"/>
        </w:rPr>
        <w:t xml:space="preserve">Cost Optimization: Improve efficiency in high-cost procedures (especially surgeries) </w:t>
      </w:r>
    </w:p>
    <w:p w14:paraId="1E3B1956" w14:textId="77777777" w:rsidR="00777FF7" w:rsidRPr="00777FF7" w:rsidRDefault="00777FF7" w:rsidP="00974CC8">
      <w:pPr>
        <w:numPr>
          <w:ilvl w:val="0"/>
          <w:numId w:val="18"/>
        </w:numPr>
        <w:spacing w:after="0"/>
        <w:rPr>
          <w:sz w:val="28"/>
          <w:szCs w:val="28"/>
        </w:rPr>
      </w:pPr>
      <w:r w:rsidRPr="00777FF7">
        <w:rPr>
          <w:sz w:val="28"/>
          <w:szCs w:val="28"/>
        </w:rPr>
        <w:t>Operational Planning: Use low-variance treatments (Observation, Therapy) for stable forecasting</w:t>
      </w:r>
    </w:p>
    <w:p w14:paraId="201ADFC1" w14:textId="7F67D037" w:rsidR="005849C3" w:rsidRDefault="005849C3">
      <w:r>
        <w:br w:type="page"/>
      </w:r>
    </w:p>
    <w:p w14:paraId="39B54A5F" w14:textId="77777777" w:rsidR="005849C3" w:rsidRPr="005849C3" w:rsidRDefault="005849C3" w:rsidP="005849C3">
      <w:pPr>
        <w:rPr>
          <w:b/>
          <w:bCs/>
          <w:sz w:val="28"/>
          <w:szCs w:val="28"/>
        </w:rPr>
      </w:pPr>
      <w:r w:rsidRPr="005849C3">
        <w:rPr>
          <w:rFonts w:ascii="Segoe UI Emoji" w:hAnsi="Segoe UI Emoji" w:cs="Segoe UI Emoji"/>
          <w:b/>
          <w:bCs/>
          <w:sz w:val="28"/>
          <w:szCs w:val="28"/>
        </w:rPr>
        <w:lastRenderedPageBreak/>
        <w:t>📊</w:t>
      </w:r>
      <w:r w:rsidRPr="005849C3">
        <w:rPr>
          <w:b/>
          <w:bCs/>
          <w:sz w:val="28"/>
          <w:szCs w:val="28"/>
        </w:rPr>
        <w:t xml:space="preserve"> Overall Dashboard Summary &amp; Key Insights</w:t>
      </w:r>
    </w:p>
    <w:p w14:paraId="7AF2F5E0" w14:textId="77777777" w:rsidR="005849C3" w:rsidRDefault="005849C3" w:rsidP="005849C3">
      <w:pPr>
        <w:spacing w:after="0"/>
        <w:rPr>
          <w:sz w:val="28"/>
          <w:szCs w:val="28"/>
        </w:rPr>
      </w:pPr>
      <w:r w:rsidRPr="005849C3">
        <w:rPr>
          <w:sz w:val="28"/>
          <w:szCs w:val="28"/>
        </w:rPr>
        <w:t>The healthcare analysis of 200 patients reveals an average recovery score of 70.38 with an average hospital stay of 16 days, generating total revenue of approximately $15.94M and $10,035 revenue per day.</w:t>
      </w:r>
    </w:p>
    <w:p w14:paraId="442B4E09" w14:textId="77777777" w:rsidR="00974CC8" w:rsidRPr="005849C3" w:rsidRDefault="00974CC8" w:rsidP="005849C3">
      <w:pPr>
        <w:spacing w:after="0"/>
        <w:rPr>
          <w:sz w:val="28"/>
          <w:szCs w:val="28"/>
        </w:rPr>
      </w:pPr>
    </w:p>
    <w:p w14:paraId="55CF8AA2" w14:textId="77777777" w:rsidR="005849C3" w:rsidRPr="005849C3" w:rsidRDefault="005849C3" w:rsidP="005849C3">
      <w:pPr>
        <w:numPr>
          <w:ilvl w:val="0"/>
          <w:numId w:val="19"/>
        </w:numPr>
        <w:spacing w:after="0"/>
        <w:rPr>
          <w:sz w:val="28"/>
          <w:szCs w:val="28"/>
        </w:rPr>
      </w:pPr>
      <w:r w:rsidRPr="005849C3">
        <w:rPr>
          <w:rFonts w:ascii="Segoe UI Emoji" w:hAnsi="Segoe UI Emoji" w:cs="Segoe UI Emoji"/>
          <w:sz w:val="28"/>
          <w:szCs w:val="28"/>
        </w:rPr>
        <w:t>💰</w:t>
      </w:r>
      <w:r w:rsidRPr="005849C3">
        <w:rPr>
          <w:sz w:val="28"/>
          <w:szCs w:val="28"/>
        </w:rPr>
        <w:t xml:space="preserve"> </w:t>
      </w:r>
      <w:r w:rsidRPr="005849C3">
        <w:rPr>
          <w:b/>
          <w:bCs/>
          <w:sz w:val="28"/>
          <w:szCs w:val="28"/>
        </w:rPr>
        <w:t>Cost vs Treatment:</w:t>
      </w:r>
      <w:r w:rsidRPr="005849C3">
        <w:rPr>
          <w:sz w:val="28"/>
          <w:szCs w:val="28"/>
        </w:rPr>
        <w:br/>
        <w:t xml:space="preserve">Surgery is the most expensive treatment (~$83.7K avg cost) but also delivers the highest recovery score (73.3). Observation and therapy are more cost-efficient (~$75K–$78K) with slightly lower recovery outcomes. </w:t>
      </w:r>
    </w:p>
    <w:p w14:paraId="16065739" w14:textId="77777777" w:rsidR="005849C3" w:rsidRPr="005849C3" w:rsidRDefault="005849C3" w:rsidP="005849C3">
      <w:pPr>
        <w:numPr>
          <w:ilvl w:val="0"/>
          <w:numId w:val="19"/>
        </w:numPr>
        <w:spacing w:after="0"/>
        <w:rPr>
          <w:sz w:val="28"/>
          <w:szCs w:val="28"/>
        </w:rPr>
      </w:pPr>
      <w:r w:rsidRPr="005849C3">
        <w:rPr>
          <w:rFonts w:ascii="Segoe UI Emoji" w:hAnsi="Segoe UI Emoji" w:cs="Segoe UI Emoji"/>
          <w:sz w:val="28"/>
          <w:szCs w:val="28"/>
        </w:rPr>
        <w:t>🏥</w:t>
      </w:r>
      <w:r w:rsidRPr="005849C3">
        <w:rPr>
          <w:sz w:val="28"/>
          <w:szCs w:val="28"/>
        </w:rPr>
        <w:t xml:space="preserve"> </w:t>
      </w:r>
      <w:r w:rsidRPr="005849C3">
        <w:rPr>
          <w:b/>
          <w:bCs/>
          <w:sz w:val="28"/>
          <w:szCs w:val="28"/>
        </w:rPr>
        <w:t>Department Performance:</w:t>
      </w:r>
      <w:r w:rsidRPr="005849C3">
        <w:rPr>
          <w:sz w:val="28"/>
          <w:szCs w:val="28"/>
        </w:rPr>
        <w:br/>
        <w:t xml:space="preserve">Orthopedics generates the highest revenue (~$3.4M) driven by high-cost surgeries, followed by Gastroenterology (~$2.97M). Cardiology contributes the least (~$1.8M). </w:t>
      </w:r>
    </w:p>
    <w:p w14:paraId="0C4CEE8A" w14:textId="77777777" w:rsidR="005849C3" w:rsidRPr="005849C3" w:rsidRDefault="005849C3" w:rsidP="005849C3">
      <w:pPr>
        <w:numPr>
          <w:ilvl w:val="0"/>
          <w:numId w:val="19"/>
        </w:numPr>
        <w:spacing w:after="0"/>
        <w:rPr>
          <w:sz w:val="28"/>
          <w:szCs w:val="28"/>
        </w:rPr>
      </w:pPr>
      <w:r w:rsidRPr="005849C3">
        <w:rPr>
          <w:rFonts w:ascii="Segoe UI Emoji" w:hAnsi="Segoe UI Emoji" w:cs="Segoe UI Emoji"/>
          <w:sz w:val="28"/>
          <w:szCs w:val="28"/>
        </w:rPr>
        <w:t>👨</w:t>
      </w:r>
      <w:r w:rsidRPr="005849C3">
        <w:rPr>
          <w:sz w:val="28"/>
          <w:szCs w:val="28"/>
        </w:rPr>
        <w:t>‍</w:t>
      </w:r>
      <w:r w:rsidRPr="005849C3">
        <w:rPr>
          <w:rFonts w:ascii="Segoe UI Emoji" w:hAnsi="Segoe UI Emoji" w:cs="Segoe UI Emoji"/>
          <w:sz w:val="28"/>
          <w:szCs w:val="28"/>
        </w:rPr>
        <w:t>⚕️</w:t>
      </w:r>
      <w:r w:rsidRPr="005849C3">
        <w:rPr>
          <w:b/>
          <w:bCs/>
          <w:sz w:val="28"/>
          <w:szCs w:val="28"/>
        </w:rPr>
        <w:t xml:space="preserve"> Doctor Performance:</w:t>
      </w:r>
      <w:r w:rsidRPr="005849C3">
        <w:rPr>
          <w:sz w:val="28"/>
          <w:szCs w:val="28"/>
        </w:rPr>
        <w:br/>
        <w:t xml:space="preserve">Dr. M. Patel (73.2) and Dr. L. Khan (72.5) are top performers in recovery outcomes, indicating strong treatment effectiveness. </w:t>
      </w:r>
    </w:p>
    <w:p w14:paraId="7E67ECE2" w14:textId="77777777" w:rsidR="005849C3" w:rsidRPr="005849C3" w:rsidRDefault="005849C3" w:rsidP="005849C3">
      <w:pPr>
        <w:numPr>
          <w:ilvl w:val="0"/>
          <w:numId w:val="19"/>
        </w:numPr>
        <w:spacing w:after="0"/>
        <w:rPr>
          <w:sz w:val="28"/>
          <w:szCs w:val="28"/>
        </w:rPr>
      </w:pPr>
      <w:r w:rsidRPr="005849C3">
        <w:rPr>
          <w:rFonts w:ascii="Segoe UI Emoji" w:hAnsi="Segoe UI Emoji" w:cs="Segoe UI Emoji"/>
          <w:sz w:val="28"/>
          <w:szCs w:val="28"/>
        </w:rPr>
        <w:t>👥</w:t>
      </w:r>
      <w:r w:rsidRPr="005849C3">
        <w:rPr>
          <w:sz w:val="28"/>
          <w:szCs w:val="28"/>
        </w:rPr>
        <w:t xml:space="preserve"> </w:t>
      </w:r>
      <w:r w:rsidRPr="005849C3">
        <w:rPr>
          <w:b/>
          <w:bCs/>
          <w:sz w:val="28"/>
          <w:szCs w:val="28"/>
        </w:rPr>
        <w:t>Patient &amp; Treatment Mix:</w:t>
      </w:r>
      <w:r w:rsidRPr="005849C3">
        <w:rPr>
          <w:sz w:val="28"/>
          <w:szCs w:val="28"/>
        </w:rPr>
        <w:br/>
        <w:t xml:space="preserve">Medication (27.5%) and therapy (25%) dominate treatment distribution, while surgery (24%) is lower in volume but higher in value. </w:t>
      </w:r>
    </w:p>
    <w:p w14:paraId="73F7A89D" w14:textId="77777777" w:rsidR="005849C3" w:rsidRPr="005849C3" w:rsidRDefault="005849C3" w:rsidP="005849C3">
      <w:pPr>
        <w:numPr>
          <w:ilvl w:val="0"/>
          <w:numId w:val="19"/>
        </w:numPr>
        <w:spacing w:after="0"/>
        <w:rPr>
          <w:sz w:val="28"/>
          <w:szCs w:val="28"/>
        </w:rPr>
      </w:pPr>
      <w:r w:rsidRPr="005849C3">
        <w:rPr>
          <w:rFonts w:ascii="Segoe UI Emoji" w:hAnsi="Segoe UI Emoji" w:cs="Segoe UI Emoji"/>
          <w:sz w:val="28"/>
          <w:szCs w:val="28"/>
        </w:rPr>
        <w:t>📈</w:t>
      </w:r>
      <w:r w:rsidRPr="005849C3">
        <w:rPr>
          <w:sz w:val="28"/>
          <w:szCs w:val="28"/>
        </w:rPr>
        <w:t xml:space="preserve"> </w:t>
      </w:r>
      <w:r w:rsidRPr="005849C3">
        <w:rPr>
          <w:b/>
          <w:bCs/>
          <w:sz w:val="28"/>
          <w:szCs w:val="28"/>
        </w:rPr>
        <w:t>Demographics Insight:</w:t>
      </w:r>
      <w:r w:rsidRPr="005849C3">
        <w:rPr>
          <w:sz w:val="28"/>
          <w:szCs w:val="28"/>
        </w:rPr>
        <w:br/>
        <w:t xml:space="preserve">Senior patients show the highest recovery scores (~72.9), while recovery declines in older age groups (~67.2 for teenagers). </w:t>
      </w:r>
    </w:p>
    <w:p w14:paraId="71AE2415" w14:textId="77777777" w:rsidR="005849C3" w:rsidRDefault="005849C3" w:rsidP="005849C3">
      <w:pPr>
        <w:spacing w:after="0"/>
        <w:rPr>
          <w:rFonts w:ascii="Segoe UI Emoji" w:hAnsi="Segoe UI Emoji" w:cs="Segoe UI Emoji"/>
          <w:sz w:val="28"/>
          <w:szCs w:val="28"/>
        </w:rPr>
      </w:pPr>
    </w:p>
    <w:p w14:paraId="1CE90B0D" w14:textId="0AC99036" w:rsidR="005849C3" w:rsidRPr="005849C3" w:rsidRDefault="005849C3" w:rsidP="005849C3">
      <w:pPr>
        <w:spacing w:after="0"/>
        <w:rPr>
          <w:sz w:val="28"/>
          <w:szCs w:val="28"/>
        </w:rPr>
      </w:pPr>
      <w:r w:rsidRPr="005849C3">
        <w:rPr>
          <w:rFonts w:ascii="Segoe UI Emoji" w:hAnsi="Segoe UI Emoji" w:cs="Segoe UI Emoji"/>
          <w:sz w:val="28"/>
          <w:szCs w:val="28"/>
        </w:rPr>
        <w:t>🎯</w:t>
      </w:r>
      <w:r w:rsidRPr="005849C3">
        <w:rPr>
          <w:sz w:val="28"/>
          <w:szCs w:val="28"/>
        </w:rPr>
        <w:t xml:space="preserve"> </w:t>
      </w:r>
      <w:r w:rsidRPr="005849C3">
        <w:rPr>
          <w:b/>
          <w:bCs/>
          <w:sz w:val="28"/>
          <w:szCs w:val="28"/>
        </w:rPr>
        <w:t>Conclusion</w:t>
      </w:r>
    </w:p>
    <w:p w14:paraId="3359B994" w14:textId="77777777" w:rsidR="005849C3" w:rsidRPr="005849C3" w:rsidRDefault="005849C3" w:rsidP="005849C3">
      <w:pPr>
        <w:spacing w:after="0"/>
        <w:rPr>
          <w:sz w:val="28"/>
          <w:szCs w:val="28"/>
        </w:rPr>
      </w:pPr>
      <w:r w:rsidRPr="005849C3">
        <w:rPr>
          <w:sz w:val="28"/>
          <w:szCs w:val="28"/>
        </w:rPr>
        <w:t>The hospital’s performance is revenue-strong but cost-intensive, with surgery acting as the primary driver of both revenue and recovery outcomes. While high-cost treatments deliver better results, there is an opportunity to optimize cost efficiency without compromising patient outcomes, especially in high-volume, lower-cost treatments.</w:t>
      </w:r>
    </w:p>
    <w:p w14:paraId="14314407" w14:textId="40AB29DF" w:rsidR="005849C3" w:rsidRPr="005849C3" w:rsidRDefault="005849C3" w:rsidP="005849C3">
      <w:pPr>
        <w:spacing w:after="0"/>
        <w:rPr>
          <w:sz w:val="28"/>
          <w:szCs w:val="28"/>
        </w:rPr>
      </w:pPr>
    </w:p>
    <w:p w14:paraId="02555F2B" w14:textId="77777777" w:rsidR="00294526" w:rsidRDefault="0029452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BFBC7BC" w14:textId="77777777" w:rsidR="00974CC8" w:rsidRPr="005849C3" w:rsidRDefault="00974CC8" w:rsidP="00974CC8">
      <w:pPr>
        <w:spacing w:after="0"/>
        <w:rPr>
          <w:sz w:val="28"/>
          <w:szCs w:val="28"/>
        </w:rPr>
      </w:pPr>
      <w:r w:rsidRPr="005849C3">
        <w:rPr>
          <w:rFonts w:ascii="Segoe UI Emoji" w:hAnsi="Segoe UI Emoji" w:cs="Segoe UI Emoji"/>
          <w:sz w:val="28"/>
          <w:szCs w:val="28"/>
        </w:rPr>
        <w:lastRenderedPageBreak/>
        <w:t>🚀</w:t>
      </w:r>
      <w:r w:rsidRPr="005849C3">
        <w:rPr>
          <w:sz w:val="28"/>
          <w:szCs w:val="28"/>
        </w:rPr>
        <w:t xml:space="preserve"> </w:t>
      </w:r>
      <w:r w:rsidRPr="005849C3">
        <w:rPr>
          <w:b/>
          <w:bCs/>
          <w:sz w:val="28"/>
          <w:szCs w:val="28"/>
        </w:rPr>
        <w:t>Recommended Actions</w:t>
      </w:r>
    </w:p>
    <w:p w14:paraId="752A2FCA" w14:textId="77777777" w:rsidR="00974CC8" w:rsidRPr="005849C3" w:rsidRDefault="00974CC8" w:rsidP="00974CC8">
      <w:pPr>
        <w:spacing w:after="0"/>
        <w:rPr>
          <w:sz w:val="28"/>
          <w:szCs w:val="28"/>
        </w:rPr>
      </w:pPr>
      <w:r w:rsidRPr="005849C3">
        <w:rPr>
          <w:sz w:val="28"/>
          <w:szCs w:val="28"/>
        </w:rPr>
        <w:t>1. Optimize High-Cost Treatments</w:t>
      </w:r>
    </w:p>
    <w:p w14:paraId="6E7856EF" w14:textId="77777777" w:rsidR="00974CC8" w:rsidRPr="005849C3" w:rsidRDefault="00974CC8" w:rsidP="00974CC8">
      <w:pPr>
        <w:numPr>
          <w:ilvl w:val="0"/>
          <w:numId w:val="20"/>
        </w:numPr>
        <w:spacing w:after="0"/>
        <w:rPr>
          <w:sz w:val="28"/>
          <w:szCs w:val="28"/>
        </w:rPr>
      </w:pPr>
      <w:r w:rsidRPr="005849C3">
        <w:rPr>
          <w:sz w:val="28"/>
          <w:szCs w:val="28"/>
        </w:rPr>
        <w:t xml:space="preserve">Analyze Orthopedics surgeries to reduce unnecessary cost variations </w:t>
      </w:r>
    </w:p>
    <w:p w14:paraId="19AC0716" w14:textId="77777777" w:rsidR="00974CC8" w:rsidRPr="005849C3" w:rsidRDefault="00974CC8" w:rsidP="00974CC8">
      <w:pPr>
        <w:numPr>
          <w:ilvl w:val="0"/>
          <w:numId w:val="20"/>
        </w:numPr>
        <w:spacing w:after="0"/>
        <w:rPr>
          <w:sz w:val="28"/>
          <w:szCs w:val="28"/>
        </w:rPr>
      </w:pPr>
      <w:proofErr w:type="gramStart"/>
      <w:r w:rsidRPr="005849C3">
        <w:rPr>
          <w:sz w:val="28"/>
          <w:szCs w:val="28"/>
        </w:rPr>
        <w:t>Standardize</w:t>
      </w:r>
      <w:proofErr w:type="gramEnd"/>
      <w:r w:rsidRPr="005849C3">
        <w:rPr>
          <w:sz w:val="28"/>
          <w:szCs w:val="28"/>
        </w:rPr>
        <w:t xml:space="preserve"> procedures to improve cost control without impacting recovery </w:t>
      </w:r>
    </w:p>
    <w:p w14:paraId="77989EFF" w14:textId="77777777" w:rsidR="00974CC8" w:rsidRPr="005849C3" w:rsidRDefault="00974CC8" w:rsidP="00974CC8">
      <w:pPr>
        <w:spacing w:after="0"/>
        <w:rPr>
          <w:sz w:val="28"/>
          <w:szCs w:val="28"/>
        </w:rPr>
      </w:pPr>
      <w:r w:rsidRPr="005849C3">
        <w:rPr>
          <w:sz w:val="28"/>
          <w:szCs w:val="28"/>
        </w:rPr>
        <w:t>2. Scale High-Performing Doctors</w:t>
      </w:r>
    </w:p>
    <w:p w14:paraId="35188BD5" w14:textId="77777777" w:rsidR="00974CC8" w:rsidRPr="005849C3" w:rsidRDefault="00974CC8" w:rsidP="00974CC8">
      <w:pPr>
        <w:numPr>
          <w:ilvl w:val="0"/>
          <w:numId w:val="21"/>
        </w:numPr>
        <w:spacing w:after="0"/>
        <w:rPr>
          <w:sz w:val="28"/>
          <w:szCs w:val="28"/>
        </w:rPr>
      </w:pPr>
      <w:r w:rsidRPr="005849C3">
        <w:rPr>
          <w:sz w:val="28"/>
          <w:szCs w:val="28"/>
        </w:rPr>
        <w:t xml:space="preserve">Replicate treatment approaches used by top performers (Dr. Patel, Dr. Khan) </w:t>
      </w:r>
    </w:p>
    <w:p w14:paraId="26412381" w14:textId="0F1142E5" w:rsidR="00974CC8" w:rsidRPr="00974CC8" w:rsidRDefault="00974CC8" w:rsidP="005849C3">
      <w:pPr>
        <w:numPr>
          <w:ilvl w:val="0"/>
          <w:numId w:val="21"/>
        </w:numPr>
        <w:spacing w:after="0"/>
        <w:rPr>
          <w:sz w:val="28"/>
          <w:szCs w:val="28"/>
        </w:rPr>
      </w:pPr>
      <w:proofErr w:type="gramStart"/>
      <w:r w:rsidRPr="005849C3">
        <w:rPr>
          <w:sz w:val="28"/>
          <w:szCs w:val="28"/>
        </w:rPr>
        <w:t>Introduce</w:t>
      </w:r>
      <w:proofErr w:type="gramEnd"/>
      <w:r w:rsidRPr="005849C3">
        <w:rPr>
          <w:sz w:val="28"/>
          <w:szCs w:val="28"/>
        </w:rPr>
        <w:t xml:space="preserve"> knowledge-sharing sessions across departments </w:t>
      </w:r>
    </w:p>
    <w:p w14:paraId="75955F41" w14:textId="7A0B802C" w:rsidR="005849C3" w:rsidRPr="005849C3" w:rsidRDefault="005849C3" w:rsidP="005849C3">
      <w:pPr>
        <w:spacing w:after="0"/>
        <w:rPr>
          <w:sz w:val="28"/>
          <w:szCs w:val="28"/>
        </w:rPr>
      </w:pPr>
      <w:r w:rsidRPr="005849C3">
        <w:rPr>
          <w:sz w:val="28"/>
          <w:szCs w:val="28"/>
        </w:rPr>
        <w:t>3. Improve Low-Cost Treatment Outcomes</w:t>
      </w:r>
    </w:p>
    <w:p w14:paraId="7E744A54" w14:textId="77777777" w:rsidR="005849C3" w:rsidRPr="005849C3" w:rsidRDefault="005849C3" w:rsidP="005849C3">
      <w:pPr>
        <w:numPr>
          <w:ilvl w:val="0"/>
          <w:numId w:val="22"/>
        </w:numPr>
        <w:spacing w:after="0"/>
        <w:rPr>
          <w:sz w:val="28"/>
          <w:szCs w:val="28"/>
        </w:rPr>
      </w:pPr>
      <w:r w:rsidRPr="005849C3">
        <w:rPr>
          <w:sz w:val="28"/>
          <w:szCs w:val="28"/>
        </w:rPr>
        <w:t xml:space="preserve">Enhance therapy and observation effectiveness using data-driven protocols </w:t>
      </w:r>
    </w:p>
    <w:p w14:paraId="4E547353" w14:textId="77777777" w:rsidR="005849C3" w:rsidRPr="005849C3" w:rsidRDefault="005849C3" w:rsidP="005849C3">
      <w:pPr>
        <w:numPr>
          <w:ilvl w:val="0"/>
          <w:numId w:val="22"/>
        </w:numPr>
        <w:spacing w:after="0"/>
        <w:rPr>
          <w:sz w:val="28"/>
          <w:szCs w:val="28"/>
        </w:rPr>
      </w:pPr>
      <w:r w:rsidRPr="005849C3">
        <w:rPr>
          <w:sz w:val="28"/>
          <w:szCs w:val="28"/>
        </w:rPr>
        <w:t xml:space="preserve">Aim to increase recovery scores closer to surgical benchmarks </w:t>
      </w:r>
    </w:p>
    <w:p w14:paraId="18D905E8" w14:textId="77777777" w:rsidR="005849C3" w:rsidRPr="005849C3" w:rsidRDefault="005849C3" w:rsidP="005849C3">
      <w:pPr>
        <w:spacing w:after="0"/>
        <w:rPr>
          <w:sz w:val="28"/>
          <w:szCs w:val="28"/>
        </w:rPr>
      </w:pPr>
      <w:r w:rsidRPr="005849C3">
        <w:rPr>
          <w:sz w:val="28"/>
          <w:szCs w:val="28"/>
        </w:rPr>
        <w:t>4. Department-Level Strategy</w:t>
      </w:r>
    </w:p>
    <w:p w14:paraId="58C44516" w14:textId="77777777" w:rsidR="005849C3" w:rsidRPr="005849C3" w:rsidRDefault="005849C3" w:rsidP="005849C3">
      <w:pPr>
        <w:numPr>
          <w:ilvl w:val="0"/>
          <w:numId w:val="23"/>
        </w:numPr>
        <w:spacing w:after="0"/>
        <w:rPr>
          <w:sz w:val="28"/>
          <w:szCs w:val="28"/>
        </w:rPr>
      </w:pPr>
      <w:r w:rsidRPr="005849C3">
        <w:rPr>
          <w:sz w:val="28"/>
          <w:szCs w:val="28"/>
        </w:rPr>
        <w:t xml:space="preserve">Invest more in high-revenue departments (Orthopedics, Gastroenterology) </w:t>
      </w:r>
    </w:p>
    <w:p w14:paraId="7C9B327B" w14:textId="77777777" w:rsidR="005849C3" w:rsidRPr="005849C3" w:rsidRDefault="005849C3" w:rsidP="005849C3">
      <w:pPr>
        <w:numPr>
          <w:ilvl w:val="0"/>
          <w:numId w:val="23"/>
        </w:numPr>
        <w:spacing w:after="0"/>
        <w:rPr>
          <w:sz w:val="28"/>
          <w:szCs w:val="28"/>
        </w:rPr>
      </w:pPr>
      <w:r w:rsidRPr="005849C3">
        <w:rPr>
          <w:sz w:val="28"/>
          <w:szCs w:val="28"/>
        </w:rPr>
        <w:t xml:space="preserve">Improve performance in low-revenue areas like Cardiology </w:t>
      </w:r>
    </w:p>
    <w:p w14:paraId="68ECA28D" w14:textId="77777777" w:rsidR="005849C3" w:rsidRPr="005849C3" w:rsidRDefault="005849C3" w:rsidP="005849C3">
      <w:pPr>
        <w:spacing w:after="0"/>
        <w:rPr>
          <w:sz w:val="28"/>
          <w:szCs w:val="28"/>
        </w:rPr>
      </w:pPr>
      <w:r w:rsidRPr="005849C3">
        <w:rPr>
          <w:sz w:val="28"/>
          <w:szCs w:val="28"/>
        </w:rPr>
        <w:t>5. Patient-Centric Optimization</w:t>
      </w:r>
    </w:p>
    <w:p w14:paraId="5924DD74" w14:textId="77777777" w:rsidR="005849C3" w:rsidRPr="005849C3" w:rsidRDefault="005849C3" w:rsidP="005849C3">
      <w:pPr>
        <w:numPr>
          <w:ilvl w:val="0"/>
          <w:numId w:val="24"/>
        </w:numPr>
        <w:spacing w:after="0"/>
        <w:rPr>
          <w:sz w:val="28"/>
          <w:szCs w:val="28"/>
        </w:rPr>
      </w:pPr>
      <w:r w:rsidRPr="005849C3">
        <w:rPr>
          <w:sz w:val="28"/>
          <w:szCs w:val="28"/>
        </w:rPr>
        <w:t xml:space="preserve">Customize treatments based on age groups to improve recovery outcomes </w:t>
      </w:r>
    </w:p>
    <w:p w14:paraId="765089FF" w14:textId="77777777" w:rsidR="005849C3" w:rsidRPr="005849C3" w:rsidRDefault="005849C3" w:rsidP="005849C3">
      <w:pPr>
        <w:numPr>
          <w:ilvl w:val="0"/>
          <w:numId w:val="24"/>
        </w:numPr>
        <w:spacing w:after="0"/>
        <w:rPr>
          <w:sz w:val="28"/>
          <w:szCs w:val="28"/>
        </w:rPr>
      </w:pPr>
      <w:r w:rsidRPr="005849C3">
        <w:rPr>
          <w:sz w:val="28"/>
          <w:szCs w:val="28"/>
        </w:rPr>
        <w:t xml:space="preserve">Focus on reducing average hospital stay (currently 16 days) </w:t>
      </w:r>
    </w:p>
    <w:p w14:paraId="0ACAFA32" w14:textId="01722DC0" w:rsidR="005849C3" w:rsidRPr="005849C3" w:rsidRDefault="005849C3" w:rsidP="005849C3">
      <w:pPr>
        <w:spacing w:after="0"/>
        <w:rPr>
          <w:sz w:val="28"/>
          <w:szCs w:val="28"/>
        </w:rPr>
      </w:pPr>
    </w:p>
    <w:p w14:paraId="27ECFBB3" w14:textId="77777777" w:rsidR="005849C3" w:rsidRPr="005849C3" w:rsidRDefault="005849C3" w:rsidP="005849C3">
      <w:pPr>
        <w:spacing w:after="0"/>
        <w:rPr>
          <w:sz w:val="28"/>
          <w:szCs w:val="28"/>
        </w:rPr>
      </w:pPr>
      <w:r w:rsidRPr="005849C3">
        <w:rPr>
          <w:rFonts w:ascii="Segoe UI Emoji" w:hAnsi="Segoe UI Emoji" w:cs="Segoe UI Emoji"/>
          <w:sz w:val="28"/>
          <w:szCs w:val="28"/>
        </w:rPr>
        <w:t>💡</w:t>
      </w:r>
      <w:r w:rsidRPr="005849C3">
        <w:rPr>
          <w:sz w:val="28"/>
          <w:szCs w:val="28"/>
        </w:rPr>
        <w:t xml:space="preserve"> </w:t>
      </w:r>
      <w:r w:rsidRPr="005849C3">
        <w:rPr>
          <w:b/>
          <w:bCs/>
          <w:sz w:val="28"/>
          <w:szCs w:val="28"/>
        </w:rPr>
        <w:t>Executive Takeaway</w:t>
      </w:r>
    </w:p>
    <w:p w14:paraId="4980C9F5" w14:textId="30FB1F9D" w:rsidR="005849C3" w:rsidRPr="00974CC8" w:rsidRDefault="005849C3" w:rsidP="005849C3">
      <w:pPr>
        <w:spacing w:after="0"/>
        <w:rPr>
          <w:sz w:val="28"/>
          <w:szCs w:val="28"/>
        </w:rPr>
      </w:pPr>
      <w:r w:rsidRPr="005849C3">
        <w:rPr>
          <w:sz w:val="28"/>
          <w:szCs w:val="28"/>
        </w:rPr>
        <w:t>Surgery drives both revenue and recovery, but the real opportunity lies in improving efficiency and outcomes in lower-cost treatments to maximize overall healthcare performance</w:t>
      </w:r>
      <w:r w:rsidRPr="005849C3">
        <w:rPr>
          <w:i/>
          <w:iCs/>
          <w:sz w:val="28"/>
          <w:szCs w:val="28"/>
        </w:rPr>
        <w:t>.</w:t>
      </w:r>
    </w:p>
    <w:p w14:paraId="4CABBF0C" w14:textId="77777777" w:rsidR="00777FF7" w:rsidRPr="005849C3" w:rsidRDefault="00777FF7" w:rsidP="005B5D94">
      <w:pPr>
        <w:rPr>
          <w:sz w:val="28"/>
          <w:szCs w:val="28"/>
        </w:rPr>
      </w:pPr>
    </w:p>
    <w:sectPr w:rsidR="00777FF7" w:rsidRPr="005849C3" w:rsidSect="00777FF7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C013F"/>
    <w:multiLevelType w:val="hybridMultilevel"/>
    <w:tmpl w:val="EC7CD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256A5"/>
    <w:multiLevelType w:val="multilevel"/>
    <w:tmpl w:val="612A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E5D11"/>
    <w:multiLevelType w:val="multilevel"/>
    <w:tmpl w:val="41E0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43D06"/>
    <w:multiLevelType w:val="hybridMultilevel"/>
    <w:tmpl w:val="BB4CC3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EF6AAF"/>
    <w:multiLevelType w:val="multilevel"/>
    <w:tmpl w:val="37C6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C1273"/>
    <w:multiLevelType w:val="multilevel"/>
    <w:tmpl w:val="D48A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41633"/>
    <w:multiLevelType w:val="multilevel"/>
    <w:tmpl w:val="9AC0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F27FF"/>
    <w:multiLevelType w:val="multilevel"/>
    <w:tmpl w:val="37C6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B12C9"/>
    <w:multiLevelType w:val="multilevel"/>
    <w:tmpl w:val="AE1E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1324A"/>
    <w:multiLevelType w:val="multilevel"/>
    <w:tmpl w:val="E00E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52376"/>
    <w:multiLevelType w:val="multilevel"/>
    <w:tmpl w:val="4B88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12BFF"/>
    <w:multiLevelType w:val="multilevel"/>
    <w:tmpl w:val="37C6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65EB1"/>
    <w:multiLevelType w:val="hybridMultilevel"/>
    <w:tmpl w:val="10840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FA5FBA"/>
    <w:multiLevelType w:val="multilevel"/>
    <w:tmpl w:val="614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C3BDA"/>
    <w:multiLevelType w:val="multilevel"/>
    <w:tmpl w:val="B0F2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9103A"/>
    <w:multiLevelType w:val="multilevel"/>
    <w:tmpl w:val="5DBC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536B6"/>
    <w:multiLevelType w:val="multilevel"/>
    <w:tmpl w:val="37C6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A4E3B"/>
    <w:multiLevelType w:val="multilevel"/>
    <w:tmpl w:val="DA08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0416F3"/>
    <w:multiLevelType w:val="multilevel"/>
    <w:tmpl w:val="3816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82E57"/>
    <w:multiLevelType w:val="hybridMultilevel"/>
    <w:tmpl w:val="F4946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0412D2"/>
    <w:multiLevelType w:val="multilevel"/>
    <w:tmpl w:val="4BB0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E785A"/>
    <w:multiLevelType w:val="multilevel"/>
    <w:tmpl w:val="EC2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24549C"/>
    <w:multiLevelType w:val="hybridMultilevel"/>
    <w:tmpl w:val="7A48A9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FC150EA"/>
    <w:multiLevelType w:val="multilevel"/>
    <w:tmpl w:val="37C6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928725">
    <w:abstractNumId w:val="19"/>
  </w:num>
  <w:num w:numId="2" w16cid:durableId="739131306">
    <w:abstractNumId w:val="14"/>
  </w:num>
  <w:num w:numId="3" w16cid:durableId="852574852">
    <w:abstractNumId w:val="0"/>
  </w:num>
  <w:num w:numId="4" w16cid:durableId="1068259513">
    <w:abstractNumId w:val="22"/>
  </w:num>
  <w:num w:numId="5" w16cid:durableId="269317615">
    <w:abstractNumId w:val="3"/>
  </w:num>
  <w:num w:numId="6" w16cid:durableId="927619002">
    <w:abstractNumId w:val="17"/>
  </w:num>
  <w:num w:numId="7" w16cid:durableId="214195211">
    <w:abstractNumId w:val="12"/>
  </w:num>
  <w:num w:numId="8" w16cid:durableId="623537867">
    <w:abstractNumId w:val="2"/>
  </w:num>
  <w:num w:numId="9" w16cid:durableId="1805149040">
    <w:abstractNumId w:val="15"/>
  </w:num>
  <w:num w:numId="10" w16cid:durableId="512568862">
    <w:abstractNumId w:val="18"/>
  </w:num>
  <w:num w:numId="11" w16cid:durableId="459616175">
    <w:abstractNumId w:val="10"/>
  </w:num>
  <w:num w:numId="12" w16cid:durableId="423654130">
    <w:abstractNumId w:val="6"/>
  </w:num>
  <w:num w:numId="13" w16cid:durableId="2090887591">
    <w:abstractNumId w:val="4"/>
  </w:num>
  <w:num w:numId="14" w16cid:durableId="1507204993">
    <w:abstractNumId w:val="23"/>
  </w:num>
  <w:num w:numId="15" w16cid:durableId="739131891">
    <w:abstractNumId w:val="7"/>
  </w:num>
  <w:num w:numId="16" w16cid:durableId="1389452863">
    <w:abstractNumId w:val="16"/>
  </w:num>
  <w:num w:numId="17" w16cid:durableId="367222218">
    <w:abstractNumId w:val="11"/>
  </w:num>
  <w:num w:numId="18" w16cid:durableId="380791380">
    <w:abstractNumId w:val="8"/>
  </w:num>
  <w:num w:numId="19" w16cid:durableId="2124642125">
    <w:abstractNumId w:val="13"/>
  </w:num>
  <w:num w:numId="20" w16cid:durableId="601884691">
    <w:abstractNumId w:val="1"/>
  </w:num>
  <w:num w:numId="21" w16cid:durableId="1923181461">
    <w:abstractNumId w:val="20"/>
  </w:num>
  <w:num w:numId="22" w16cid:durableId="2141461706">
    <w:abstractNumId w:val="21"/>
  </w:num>
  <w:num w:numId="23" w16cid:durableId="1829780925">
    <w:abstractNumId w:val="5"/>
  </w:num>
  <w:num w:numId="24" w16cid:durableId="16206460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961"/>
    <w:rsid w:val="00021D87"/>
    <w:rsid w:val="00126C3B"/>
    <w:rsid w:val="00175898"/>
    <w:rsid w:val="001B6F74"/>
    <w:rsid w:val="001C087C"/>
    <w:rsid w:val="002076B0"/>
    <w:rsid w:val="00280726"/>
    <w:rsid w:val="00294526"/>
    <w:rsid w:val="002A3254"/>
    <w:rsid w:val="002A7AE7"/>
    <w:rsid w:val="002B74D6"/>
    <w:rsid w:val="002E6028"/>
    <w:rsid w:val="00332763"/>
    <w:rsid w:val="00353CA6"/>
    <w:rsid w:val="00353F09"/>
    <w:rsid w:val="00361E43"/>
    <w:rsid w:val="003837D3"/>
    <w:rsid w:val="004F30B9"/>
    <w:rsid w:val="005849C3"/>
    <w:rsid w:val="005B5D94"/>
    <w:rsid w:val="0065070F"/>
    <w:rsid w:val="00666946"/>
    <w:rsid w:val="006861B0"/>
    <w:rsid w:val="006F6918"/>
    <w:rsid w:val="00777FF7"/>
    <w:rsid w:val="007D234D"/>
    <w:rsid w:val="0084045F"/>
    <w:rsid w:val="00940443"/>
    <w:rsid w:val="00974CC8"/>
    <w:rsid w:val="009B6106"/>
    <w:rsid w:val="009B6DE9"/>
    <w:rsid w:val="009F7413"/>
    <w:rsid w:val="00A25221"/>
    <w:rsid w:val="00A91108"/>
    <w:rsid w:val="00AD39CF"/>
    <w:rsid w:val="00B154A7"/>
    <w:rsid w:val="00B21961"/>
    <w:rsid w:val="00B738C9"/>
    <w:rsid w:val="00B74B04"/>
    <w:rsid w:val="00B96ABC"/>
    <w:rsid w:val="00BB5317"/>
    <w:rsid w:val="00C30177"/>
    <w:rsid w:val="00C53E6F"/>
    <w:rsid w:val="00C55550"/>
    <w:rsid w:val="00CB67C5"/>
    <w:rsid w:val="00D835E7"/>
    <w:rsid w:val="00DA4B79"/>
    <w:rsid w:val="00E14C64"/>
    <w:rsid w:val="00E47666"/>
    <w:rsid w:val="00ED3B97"/>
    <w:rsid w:val="00F31C18"/>
    <w:rsid w:val="00F33C1F"/>
    <w:rsid w:val="00F57DAE"/>
    <w:rsid w:val="00F627EC"/>
    <w:rsid w:val="00FB5888"/>
    <w:rsid w:val="00FC72A7"/>
    <w:rsid w:val="00FF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509CA"/>
  <w15:chartTrackingRefBased/>
  <w15:docId w15:val="{748DB09C-0451-4F86-8BA3-4FD8C1A0F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0B9"/>
  </w:style>
  <w:style w:type="paragraph" w:styleId="Heading1">
    <w:name w:val="heading 1"/>
    <w:basedOn w:val="Normal"/>
    <w:next w:val="Normal"/>
    <w:link w:val="Heading1Char"/>
    <w:uiPriority w:val="9"/>
    <w:qFormat/>
    <w:rsid w:val="00B21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9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19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9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hart" Target="charts/chart5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hart" Target="charts/chart4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hart" Target="charts/chart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hart" Target="charts/chart3.xml"/><Relationship Id="rId5" Type="http://schemas.openxmlformats.org/officeDocument/2006/relationships/numbering" Target="numbering.xml"/><Relationship Id="rId15" Type="http://schemas.openxmlformats.org/officeDocument/2006/relationships/chart" Target="charts/chart7.xml"/><Relationship Id="rId10" Type="http://schemas.openxmlformats.org/officeDocument/2006/relationships/chart" Target="charts/chart2.xml"/><Relationship Id="rId4" Type="http://schemas.openxmlformats.org/officeDocument/2006/relationships/customXml" Target="../customXml/item4.xml"/><Relationship Id="rId9" Type="http://schemas.openxmlformats.org/officeDocument/2006/relationships/chart" Target="charts/chart1.xml"/><Relationship Id="rId14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reyas%20Sugandhi\Documents\Healthcare%20Dat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reyas%20Sugandhi\Documents\Healthcare%20Dat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reyas%20Sugandhi\Desktop\HealthCare%20Data%20Set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reyas%20Sugandhi\Desktop\HealthCare%20Data%20Set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reyas%20Sugandhi\Desktop\HealthCare%20Data%20Set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reyas%20Sugandhi\Desktop\HealthCare%20Data%20Set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reyas%20Sugandhi\Desktop\HealthCare%20Data%20Set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hreyas%20Sugandhi\Desktop\HealthCare%20Data%20Set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[Healthcare Data.xlsx]Pivots!PivotTable1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effectLst/>
                <a:latin typeface="+mn-lt"/>
                <a:ea typeface="+mn-ea"/>
                <a:cs typeface="+mn-cs"/>
              </a:defRPr>
            </a:pPr>
            <a:r>
              <a:rPr lang="en-US" sz="1600" b="1"/>
              <a:t>Patients by Doctor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effectLst/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>
            <a:gsLst>
              <a:gs pos="0">
                <a:schemeClr val="accent1"/>
              </a:gs>
              <a:gs pos="100000">
                <a:schemeClr val="accent1">
                  <a:lumMod val="84000"/>
                </a:schemeClr>
              </a:gs>
            </a:gsLst>
            <a:lin ang="5400000" scaled="1"/>
          </a:gradFill>
          <a:ln>
            <a:noFill/>
          </a:ln>
          <a:effectLst>
            <a:outerShdw blurRad="76200" dir="18900000" sy="23000" kx="-1200000" algn="bl" rotWithShape="0">
              <a:prstClr val="black">
                <a:alpha val="20000"/>
              </a:prstClr>
            </a:outerShdw>
          </a:effectLst>
        </c:spPr>
        <c:marker>
          <c:symbol val="circle"/>
          <c:size val="6"/>
          <c:spPr>
            <a:gradFill>
              <a:gsLst>
                <a:gs pos="0">
                  <a:schemeClr val="accent1"/>
                </a:gs>
                <a:gs pos="100000">
                  <a:schemeClr val="accent1">
                    <a:lumMod val="84000"/>
                  </a:schemeClr>
                </a:gs>
              </a:gsLst>
              <a:lin ang="5400000" scaled="1"/>
            </a:gradFill>
            <a:ln>
              <a:noFill/>
            </a:ln>
            <a:effectLst>
              <a:outerShdw blurRad="76200" dir="18900000" sy="23000" kx="-1200000" algn="bl" rotWithShape="0">
                <a:prstClr val="black">
                  <a:alpha val="20000"/>
                </a:prst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>
            <a:gsLst>
              <a:gs pos="0">
                <a:schemeClr val="accent1"/>
              </a:gs>
              <a:gs pos="100000">
                <a:schemeClr val="accent1">
                  <a:lumMod val="84000"/>
                </a:schemeClr>
              </a:gs>
            </a:gsLst>
            <a:lin ang="5400000" scaled="1"/>
          </a:gradFill>
          <a:ln>
            <a:noFill/>
          </a:ln>
          <a:effectLst>
            <a:outerShdw blurRad="76200" dir="18900000" sy="23000" kx="-1200000" algn="bl" rotWithShape="0">
              <a:prstClr val="black">
                <a:alpha val="20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>
            <a:gsLst>
              <a:gs pos="0">
                <a:schemeClr val="accent1"/>
              </a:gs>
              <a:gs pos="100000">
                <a:schemeClr val="accent1">
                  <a:lumMod val="84000"/>
                </a:schemeClr>
              </a:gs>
            </a:gsLst>
            <a:lin ang="5400000" scaled="1"/>
          </a:gradFill>
          <a:ln>
            <a:noFill/>
          </a:ln>
          <a:effectLst>
            <a:outerShdw blurRad="76200" dir="18900000" sy="23000" kx="-1200000" algn="bl" rotWithShape="0">
              <a:prstClr val="black">
                <a:alpha val="20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Pivots!$B$3</c:f>
              <c:strCache>
                <c:ptCount val="1"/>
                <c:pt idx="0">
                  <c:v>Total</c:v>
                </c:pt>
              </c:strCache>
            </c:strRef>
          </c:tx>
          <c:spPr>
            <a:gradFill>
              <a:gsLst>
                <a:gs pos="0">
                  <a:schemeClr val="accent1"/>
                </a:gs>
                <a:gs pos="100000">
                  <a:schemeClr val="accent1">
                    <a:lumMod val="84000"/>
                  </a:schemeClr>
                </a:gs>
              </a:gsLst>
              <a:lin ang="5400000" scaled="1"/>
            </a:gradFill>
            <a:ln>
              <a:noFill/>
            </a:ln>
            <a:effectLst>
              <a:outerShdw blurRad="76200" dir="18900000" sy="23000" kx="-1200000" algn="bl" rotWithShape="0">
                <a:prstClr val="black">
                  <a:alpha val="20000"/>
                </a:prst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Pivots!$A$4:$A$9</c:f>
              <c:strCache>
                <c:ptCount val="5"/>
                <c:pt idx="0">
                  <c:v>Dr. L. Khan</c:v>
                </c:pt>
                <c:pt idx="1">
                  <c:v>Dr. R. Singh</c:v>
                </c:pt>
                <c:pt idx="2">
                  <c:v>Dr. M. Patel</c:v>
                </c:pt>
                <c:pt idx="3">
                  <c:v>Dr. T. Mehta</c:v>
                </c:pt>
                <c:pt idx="4">
                  <c:v>Dr. A. Sharma</c:v>
                </c:pt>
              </c:strCache>
            </c:strRef>
          </c:cat>
          <c:val>
            <c:numRef>
              <c:f>Pivots!$B$4:$B$9</c:f>
              <c:numCache>
                <c:formatCode>General</c:formatCode>
                <c:ptCount val="5"/>
                <c:pt idx="0">
                  <c:v>46</c:v>
                </c:pt>
                <c:pt idx="1">
                  <c:v>45</c:v>
                </c:pt>
                <c:pt idx="2">
                  <c:v>41</c:v>
                </c:pt>
                <c:pt idx="3">
                  <c:v>38</c:v>
                </c:pt>
                <c:pt idx="4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74D-4CD4-AEC1-C0FA9AED3013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41"/>
        <c:axId val="285150271"/>
        <c:axId val="285152191"/>
      </c:barChart>
      <c:catAx>
        <c:axId val="28515027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1" i="0" u="none" strike="noStrike" kern="1200" baseline="0">
                <a:solidFill>
                  <a:schemeClr val="tx1"/>
                </a:solidFill>
                <a:effectLst/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5152191"/>
        <c:crosses val="autoZero"/>
        <c:auto val="1"/>
        <c:lblAlgn val="ctr"/>
        <c:lblOffset val="100"/>
        <c:noMultiLvlLbl val="0"/>
      </c:catAx>
      <c:valAx>
        <c:axId val="28515219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28515027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2">
        <a:lumMod val="40000"/>
        <a:lumOff val="60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[Healthcare Data.xlsx]Pivots!PivotTable2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100" baseline="0">
                <a:solidFill>
                  <a:schemeClr val="tx1">
                    <a:lumMod val="75000"/>
                    <a:lumOff val="2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 sz="140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</a:rPr>
              <a:t>Average Recovery Score and </a:t>
            </a:r>
            <a:r>
              <a:rPr lang="en-US" sz="1400" b="1">
                <a:solidFill>
                  <a:schemeClr val="tx1">
                    <a:lumMod val="75000"/>
                    <a:lumOff val="25000"/>
                  </a:schemeClr>
                </a:solidFill>
                <a:effectLst/>
                <a:latin typeface="+mn-lt"/>
              </a:rPr>
              <a:t>Average</a:t>
            </a:r>
            <a:r>
              <a:rPr lang="en-US" sz="140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</a:rPr>
              <a:t> Hospital Stay by Department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100" baseline="0">
              <a:solidFill>
                <a:schemeClr val="tx1">
                  <a:lumMod val="75000"/>
                  <a:lumOff val="2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tx1">
                      <a:lumMod val="95000"/>
                      <a:lumOff val="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tx1">
                      <a:lumMod val="95000"/>
                      <a:lumOff val="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tx1">
                      <a:lumMod val="95000"/>
                      <a:lumOff val="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Pivots!$B$12</c:f>
              <c:strCache>
                <c:ptCount val="1"/>
                <c:pt idx="0">
                  <c:v>Average of Recovery Score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Pivots!$A$13:$A$19</c:f>
              <c:strCache>
                <c:ptCount val="6"/>
                <c:pt idx="0">
                  <c:v>Cardiology</c:v>
                </c:pt>
                <c:pt idx="1">
                  <c:v>Gastroenterology</c:v>
                </c:pt>
                <c:pt idx="2">
                  <c:v>Neurology</c:v>
                </c:pt>
                <c:pt idx="3">
                  <c:v>Oncology</c:v>
                </c:pt>
                <c:pt idx="4">
                  <c:v>Orthopedics</c:v>
                </c:pt>
                <c:pt idx="5">
                  <c:v>Pediatrics</c:v>
                </c:pt>
              </c:strCache>
            </c:strRef>
          </c:cat>
          <c:val>
            <c:numRef>
              <c:f>Pivots!$B$13:$B$19</c:f>
              <c:numCache>
                <c:formatCode>0.0</c:formatCode>
                <c:ptCount val="6"/>
                <c:pt idx="0">
                  <c:v>70.5</c:v>
                </c:pt>
                <c:pt idx="1">
                  <c:v>71.804878048780495</c:v>
                </c:pt>
                <c:pt idx="2">
                  <c:v>66.392857142857139</c:v>
                </c:pt>
                <c:pt idx="3">
                  <c:v>72.41935483870968</c:v>
                </c:pt>
                <c:pt idx="4">
                  <c:v>67.263157894736835</c:v>
                </c:pt>
                <c:pt idx="5">
                  <c:v>73.131578947368425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B07-44E7-877E-B09E6419590D}"/>
            </c:ext>
          </c:extLst>
        </c:ser>
        <c:ser>
          <c:idx val="1"/>
          <c:order val="1"/>
          <c:tx>
            <c:strRef>
              <c:f>Pivots!$C$12</c:f>
              <c:strCache>
                <c:ptCount val="1"/>
                <c:pt idx="0">
                  <c:v>Average of Hospital Stay (Days)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Pivots!$A$13:$A$19</c:f>
              <c:strCache>
                <c:ptCount val="6"/>
                <c:pt idx="0">
                  <c:v>Cardiology</c:v>
                </c:pt>
                <c:pt idx="1">
                  <c:v>Gastroenterology</c:v>
                </c:pt>
                <c:pt idx="2">
                  <c:v>Neurology</c:v>
                </c:pt>
                <c:pt idx="3">
                  <c:v>Oncology</c:v>
                </c:pt>
                <c:pt idx="4">
                  <c:v>Orthopedics</c:v>
                </c:pt>
                <c:pt idx="5">
                  <c:v>Pediatrics</c:v>
                </c:pt>
              </c:strCache>
            </c:strRef>
          </c:cat>
          <c:val>
            <c:numRef>
              <c:f>Pivots!$C$13:$C$19</c:f>
              <c:numCache>
                <c:formatCode>0</c:formatCode>
                <c:ptCount val="6"/>
                <c:pt idx="0">
                  <c:v>15.833333333333334</c:v>
                </c:pt>
                <c:pt idx="1">
                  <c:v>15.609756097560975</c:v>
                </c:pt>
                <c:pt idx="2">
                  <c:v>15.178571428571429</c:v>
                </c:pt>
                <c:pt idx="3">
                  <c:v>16.93548387096774</c:v>
                </c:pt>
                <c:pt idx="4">
                  <c:v>15.631578947368421</c:v>
                </c:pt>
                <c:pt idx="5">
                  <c:v>16.815789473684209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B07-44E7-877E-B09E6419590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1"/>
        <c:axId val="207137039"/>
        <c:axId val="207138959"/>
      </c:barChart>
      <c:catAx>
        <c:axId val="2071370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7138959"/>
        <c:crosses val="autoZero"/>
        <c:auto val="1"/>
        <c:lblAlgn val="ctr"/>
        <c:lblOffset val="100"/>
        <c:noMultiLvlLbl val="0"/>
      </c:catAx>
      <c:valAx>
        <c:axId val="207138959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95000"/>
                  <a:lumOff val="5000"/>
                  <a:alpha val="10000"/>
                </a:schemeClr>
              </a:soli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crossAx val="2071370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2">
        <a:lumMod val="40000"/>
        <a:lumOff val="60000"/>
      </a:schemeClr>
    </a:soli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[HealthCare Data Set.xlsx]Sheet1!PivotTable1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600" b="1" i="0" u="none" strike="noStrike" kern="1200" spc="100" baseline="0">
                <a:solidFill>
                  <a:sysClr val="window" lastClr="FFFFFF">
                    <a:lumMod val="95000"/>
                  </a:sys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 sz="1600" b="1"/>
              <a:t>Patient Mix by Treatment Type</a:t>
            </a:r>
            <a:endParaRPr lang="en-US" sz="1600"/>
          </a:p>
        </c:rich>
      </c:tx>
      <c:layout>
        <c:manualLayout>
          <c:xMode val="edge"/>
          <c:yMode val="edge"/>
          <c:x val="0.18074300087489067"/>
          <c:y val="3.13867016622922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600" b="1" i="0" u="none" strike="noStrike" kern="1200" spc="100" baseline="0">
              <a:solidFill>
                <a:sysClr val="window" lastClr="FFFFFF">
                  <a:lumMod val="95000"/>
                </a:sys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</c:marker>
        <c:dLbl>
          <c:idx val="0"/>
          <c:numFmt formatCode="General" sourceLinked="0"/>
          <c:spPr>
            <a:noFill/>
            <a:ln>
              <a:noFill/>
            </a:ln>
            <a:effectLst/>
          </c:spPr>
          <c:txPr>
            <a:bodyPr rot="0" spcFirstLastPara="1" vertOverflow="ellipsis" horzOverflow="clip" vert="horz" wrap="square" lIns="91440" tIns="0" rIns="91440" bIns="45720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1"/>
          <c:showBubbleSize val="0"/>
          <c:separator>
</c:separator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dLbl>
          <c:idx val="0"/>
          <c:layout>
            <c:manualLayout>
              <c:x val="8.8888888888888892E-2"/>
              <c:y val="-4.6296296296296294E-2"/>
            </c:manualLayout>
          </c:layout>
          <c:tx>
            <c:rich>
              <a:bodyPr rot="0" spcFirstLastPara="1" vertOverflow="ellipsis" horzOverflow="clip" vert="horz" wrap="square" lIns="91440" tIns="0" rIns="91440" bIns="45720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4CB70A22-8CA7-4A60-BBE3-20BDC617011B}" type="VALUE">
                  <a:rPr lang="en-US"/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[VALUE]</a:t>
                </a:fld>
                <a:endParaRPr lang="en-US" baseline="0"/>
              </a:p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E369FFA1-D31F-4FE5-BBE7-A4D4A39D9F08}" type="PERCENTAGE">
                  <a:rPr lang="en-US"/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[PERCENTAGE]</a:t>
                </a:fld>
                <a:endParaRPr lang="en-US"/>
              </a:p>
            </c:rich>
          </c:tx>
          <c:numFmt formatCode="0.0%" sourceLinked="0"/>
          <c:spPr>
            <a:noFill/>
            <a:ln>
              <a:noFill/>
            </a:ln>
            <a:effectLst/>
          </c:spPr>
          <c:txPr>
            <a:bodyPr rot="0" spcFirstLastPara="1" vertOverflow="ellipsis" horzOverflow="clip" vert="horz" wrap="square" lIns="91440" tIns="0" rIns="91440" bIns="45720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1"/>
          <c:showBubbleSize val="0"/>
          <c:separator>
</c:separator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  <a:noFill/>
                <a:ln>
                  <a:noFill/>
                </a:ln>
              </c15:spPr>
              <c15:dlblFieldTable/>
              <c15:showDataLabelsRange val="0"/>
            </c:ext>
          </c:extLst>
        </c:dLbl>
      </c:pivotFmt>
      <c:pivotFmt>
        <c:idx val="2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dLbl>
          <c:idx val="0"/>
          <c:layout>
            <c:manualLayout>
              <c:x val="9.166666666666666E-2"/>
              <c:y val="6.9444444444444364E-2"/>
            </c:manualLayout>
          </c:layout>
          <c:tx>
            <c:rich>
              <a:bodyPr rot="0" spcFirstLastPara="1" vertOverflow="ellipsis" horzOverflow="clip" vert="horz" wrap="square" lIns="91440" tIns="0" rIns="91440" bIns="45720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F6ABED31-332B-4EDF-A2A6-D704084AEF9C}" type="VALUE">
                  <a:rPr lang="en-US"/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[VALUE]</a:t>
                </a:fld>
                <a:endParaRPr lang="en-US" baseline="0"/>
              </a:p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1FA1EEBE-0B47-465C-85D0-B5B14D1898A6}" type="PERCENTAGE">
                  <a:rPr lang="en-US"/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[PERCENTAGE]</a:t>
                </a:fld>
                <a:endParaRPr lang="en-US"/>
              </a:p>
            </c:rich>
          </c:tx>
          <c:numFmt formatCode="0.0%" sourceLinked="0"/>
          <c:spPr>
            <a:noFill/>
            <a:ln>
              <a:noFill/>
            </a:ln>
            <a:effectLst/>
          </c:spPr>
          <c:txPr>
            <a:bodyPr rot="0" spcFirstLastPara="1" vertOverflow="ellipsis" horzOverflow="clip" vert="horz" wrap="square" lIns="91440" tIns="0" rIns="91440" bIns="45720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1"/>
          <c:showBubbleSize val="0"/>
          <c:separator>
</c:separator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  <a:noFill/>
                <a:ln>
                  <a:noFill/>
                </a:ln>
              </c15:spPr>
              <c15:dlblFieldTable/>
              <c15:showDataLabelsRange val="0"/>
            </c:ext>
          </c:extLst>
        </c:dLbl>
      </c:pivotFmt>
      <c:pivotFmt>
        <c:idx val="3"/>
        <c:spPr>
          <a:gradFill rotWithShape="1">
            <a:gsLst>
              <a:gs pos="0">
                <a:schemeClr val="accent3">
                  <a:satMod val="103000"/>
                  <a:lumMod val="102000"/>
                  <a:tint val="94000"/>
                </a:schemeClr>
              </a:gs>
              <a:gs pos="50000">
                <a:schemeClr val="accent3">
                  <a:satMod val="110000"/>
                  <a:lumMod val="100000"/>
                  <a:shade val="100000"/>
                </a:schemeClr>
              </a:gs>
              <a:gs pos="100000">
                <a:schemeClr val="accent3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dLbl>
          <c:idx val="0"/>
          <c:layout>
            <c:manualLayout>
              <c:x val="-0.10555555555555556"/>
              <c:y val="2.777777777777761E-2"/>
            </c:manualLayout>
          </c:layout>
          <c:tx>
            <c:rich>
              <a:bodyPr rot="0" spcFirstLastPara="1" vertOverflow="ellipsis" horzOverflow="clip" vert="horz" wrap="square" lIns="91440" tIns="0" rIns="91440" bIns="45720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D2AC835E-71F4-4B43-AE36-A48AF6E615D0}" type="VALUE">
                  <a:rPr lang="en-US"/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[VALUE]</a:t>
                </a:fld>
                <a:endParaRPr lang="en-US" baseline="0"/>
              </a:p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9D2F3928-CFE6-4A9B-A666-2A69C411070C}" type="PERCENTAGE">
                  <a:rPr lang="en-US"/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[PERCENTAGE]</a:t>
                </a:fld>
                <a:endParaRPr lang="en-US"/>
              </a:p>
            </c:rich>
          </c:tx>
          <c:numFmt formatCode="0.0%" sourceLinked="0"/>
          <c:spPr>
            <a:noFill/>
            <a:ln>
              <a:noFill/>
            </a:ln>
            <a:effectLst/>
          </c:spPr>
          <c:txPr>
            <a:bodyPr rot="0" spcFirstLastPara="1" vertOverflow="ellipsis" horzOverflow="clip" vert="horz" wrap="square" lIns="91440" tIns="0" rIns="91440" bIns="45720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1"/>
          <c:showBubbleSize val="0"/>
          <c:separator>
</c:separator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  <a:noFill/>
                <a:ln>
                  <a:noFill/>
                </a:ln>
              </c15:spPr>
              <c15:dlblFieldTable/>
              <c15:showDataLabelsRange val="0"/>
            </c:ext>
          </c:extLst>
        </c:dLbl>
      </c:pivotFmt>
      <c:pivotFmt>
        <c:idx val="4"/>
        <c:spPr>
          <a:gradFill rotWithShape="1">
            <a:gsLst>
              <a:gs pos="0">
                <a:schemeClr val="accent4">
                  <a:satMod val="103000"/>
                  <a:lumMod val="102000"/>
                  <a:tint val="94000"/>
                </a:schemeClr>
              </a:gs>
              <a:gs pos="50000">
                <a:schemeClr val="accent4">
                  <a:satMod val="110000"/>
                  <a:lumMod val="100000"/>
                  <a:shade val="100000"/>
                </a:schemeClr>
              </a:gs>
              <a:gs pos="100000">
                <a:schemeClr val="accent4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dLbl>
          <c:idx val="0"/>
          <c:layout>
            <c:manualLayout>
              <c:x val="-5.2777777777777778E-2"/>
              <c:y val="-0.10185185185185189"/>
            </c:manualLayout>
          </c:layout>
          <c:tx>
            <c:rich>
              <a:bodyPr rot="0" spcFirstLastPara="1" vertOverflow="ellipsis" horzOverflow="clip" vert="horz" wrap="square" lIns="91440" tIns="0" rIns="91440" bIns="45720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25E983EF-ECF5-440E-8359-6DAB50E72FB1}" type="VALUE">
                  <a:rPr lang="en-US"/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[VALUE]</a:t>
                </a:fld>
                <a:endParaRPr lang="en-US" baseline="0"/>
              </a:p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CEA07E60-1694-480B-AB98-6A20D29CF506}" type="PERCENTAGE">
                  <a:rPr lang="en-US"/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[PERCENTAGE]</a:t>
                </a:fld>
                <a:endParaRPr lang="en-US"/>
              </a:p>
            </c:rich>
          </c:tx>
          <c:numFmt formatCode="0.0%" sourceLinked="0"/>
          <c:spPr>
            <a:noFill/>
            <a:ln>
              <a:noFill/>
            </a:ln>
            <a:effectLst/>
          </c:spPr>
          <c:txPr>
            <a:bodyPr rot="0" spcFirstLastPara="1" vertOverflow="ellipsis" horzOverflow="clip" vert="horz" wrap="square" lIns="91440" tIns="0" rIns="91440" bIns="45720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1"/>
          <c:showBubbleSize val="0"/>
          <c:separator>
</c:separator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  <a:noFill/>
                <a:ln>
                  <a:noFill/>
                </a:ln>
              </c15:spPr>
              <c15:dlblFieldTable/>
              <c15:showDataLabelsRange val="0"/>
            </c:ext>
          </c:extLst>
        </c:dLbl>
      </c:pivotFmt>
      <c:pivotFmt>
        <c:idx val="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numFmt formatCode="General" sourceLinked="0"/>
          <c:spPr>
            <a:noFill/>
            <a:ln>
              <a:noFill/>
            </a:ln>
            <a:effectLst/>
          </c:spPr>
          <c:txPr>
            <a:bodyPr rot="0" spcFirstLastPara="1" vertOverflow="ellipsis" horzOverflow="clip" vert="horz" wrap="square" lIns="91440" tIns="0" rIns="91440" bIns="45720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1"/>
          <c:showBubbleSize val="0"/>
          <c:separator>
</c:separator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dLbl>
          <c:idx val="0"/>
          <c:layout>
            <c:manualLayout>
              <c:x val="8.8888888888888892E-2"/>
              <c:y val="-4.6296296296296294E-2"/>
            </c:manualLayout>
          </c:layout>
          <c:tx>
            <c:rich>
              <a:bodyPr rot="0" spcFirstLastPara="1" vertOverflow="ellipsis" horzOverflow="clip" vert="horz" wrap="square" lIns="91440" tIns="0" rIns="91440" bIns="45720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4CB70A22-8CA7-4A60-BBE3-20BDC617011B}" type="VALUE">
                  <a:rPr lang="en-US"/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[VALUE]</a:t>
                </a:fld>
                <a:endParaRPr lang="en-US" baseline="0"/>
              </a:p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E369FFA1-D31F-4FE5-BBE7-A4D4A39D9F08}" type="PERCENTAGE">
                  <a:rPr lang="en-US"/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[PERCENTAGE]</a:t>
                </a:fld>
                <a:endParaRPr lang="en-US"/>
              </a:p>
            </c:rich>
          </c:tx>
          <c:numFmt formatCode="0.0%" sourceLinked="0"/>
          <c:spPr>
            <a:noFill/>
            <a:ln>
              <a:noFill/>
            </a:ln>
            <a:effectLst/>
          </c:spPr>
          <c:txPr>
            <a:bodyPr rot="0" spcFirstLastPara="1" vertOverflow="ellipsis" horzOverflow="clip" vert="horz" wrap="square" lIns="91440" tIns="0" rIns="91440" bIns="45720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1"/>
          <c:showBubbleSize val="0"/>
          <c:separator>
</c:separator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  <a:noFill/>
                <a:ln>
                  <a:noFill/>
                </a:ln>
              </c15:spPr>
              <c15:dlblFieldTable/>
              <c15:showDataLabelsRange val="0"/>
            </c:ext>
          </c:extLst>
        </c:dLbl>
      </c:pivotFmt>
      <c:pivotFmt>
        <c:idx val="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dLbl>
          <c:idx val="0"/>
          <c:layout>
            <c:manualLayout>
              <c:x val="9.166666666666666E-2"/>
              <c:y val="6.9444444444444364E-2"/>
            </c:manualLayout>
          </c:layout>
          <c:tx>
            <c:rich>
              <a:bodyPr rot="0" spcFirstLastPara="1" vertOverflow="ellipsis" horzOverflow="clip" vert="horz" wrap="square" lIns="91440" tIns="0" rIns="91440" bIns="45720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F6ABED31-332B-4EDF-A2A6-D704084AEF9C}" type="VALUE">
                  <a:rPr lang="en-US"/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[VALUE]</a:t>
                </a:fld>
                <a:endParaRPr lang="en-US" baseline="0"/>
              </a:p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1FA1EEBE-0B47-465C-85D0-B5B14D1898A6}" type="PERCENTAGE">
                  <a:rPr lang="en-US"/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[PERCENTAGE]</a:t>
                </a:fld>
                <a:endParaRPr lang="en-US"/>
              </a:p>
            </c:rich>
          </c:tx>
          <c:numFmt formatCode="0.0%" sourceLinked="0"/>
          <c:spPr>
            <a:noFill/>
            <a:ln>
              <a:noFill/>
            </a:ln>
            <a:effectLst/>
          </c:spPr>
          <c:txPr>
            <a:bodyPr rot="0" spcFirstLastPara="1" vertOverflow="ellipsis" horzOverflow="clip" vert="horz" wrap="square" lIns="91440" tIns="0" rIns="91440" bIns="45720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1"/>
          <c:showBubbleSize val="0"/>
          <c:separator>
</c:separator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  <a:noFill/>
                <a:ln>
                  <a:noFill/>
                </a:ln>
              </c15:spPr>
              <c15:dlblFieldTable/>
              <c15:showDataLabelsRange val="0"/>
            </c:ext>
          </c:extLst>
        </c:dLbl>
      </c:pivotFmt>
      <c:pivotFmt>
        <c:idx val="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dLbl>
          <c:idx val="0"/>
          <c:layout>
            <c:manualLayout>
              <c:x val="-0.10555555555555556"/>
              <c:y val="2.777777777777761E-2"/>
            </c:manualLayout>
          </c:layout>
          <c:tx>
            <c:rich>
              <a:bodyPr rot="0" spcFirstLastPara="1" vertOverflow="ellipsis" horzOverflow="clip" vert="horz" wrap="square" lIns="91440" tIns="0" rIns="91440" bIns="45720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D2AC835E-71F4-4B43-AE36-A48AF6E615D0}" type="VALUE">
                  <a:rPr lang="en-US"/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[VALUE]</a:t>
                </a:fld>
                <a:endParaRPr lang="en-US" baseline="0"/>
              </a:p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9D2F3928-CFE6-4A9B-A666-2A69C411070C}" type="PERCENTAGE">
                  <a:rPr lang="en-US"/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[PERCENTAGE]</a:t>
                </a:fld>
                <a:endParaRPr lang="en-US"/>
              </a:p>
            </c:rich>
          </c:tx>
          <c:numFmt formatCode="0.0%" sourceLinked="0"/>
          <c:spPr>
            <a:noFill/>
            <a:ln>
              <a:noFill/>
            </a:ln>
            <a:effectLst/>
          </c:spPr>
          <c:txPr>
            <a:bodyPr rot="0" spcFirstLastPara="1" vertOverflow="ellipsis" horzOverflow="clip" vert="horz" wrap="square" lIns="91440" tIns="0" rIns="91440" bIns="45720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1"/>
          <c:showBubbleSize val="0"/>
          <c:separator>
</c:separator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  <a:noFill/>
                <a:ln>
                  <a:noFill/>
                </a:ln>
              </c15:spPr>
              <c15:dlblFieldTable/>
              <c15:showDataLabelsRange val="0"/>
            </c:ext>
          </c:extLst>
        </c:dLbl>
      </c:pivotFmt>
      <c:pivotFmt>
        <c:idx val="9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dLbl>
          <c:idx val="0"/>
          <c:layout>
            <c:manualLayout>
              <c:x val="-5.2777777777777778E-2"/>
              <c:y val="-0.10185185185185189"/>
            </c:manualLayout>
          </c:layout>
          <c:tx>
            <c:rich>
              <a:bodyPr rot="0" spcFirstLastPara="1" vertOverflow="ellipsis" horzOverflow="clip" vert="horz" wrap="square" lIns="91440" tIns="0" rIns="91440" bIns="45720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25E983EF-ECF5-440E-8359-6DAB50E72FB1}" type="VALUE">
                  <a:rPr lang="en-US"/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[VALUE]</a:t>
                </a:fld>
                <a:endParaRPr lang="en-US" baseline="0"/>
              </a:p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CEA07E60-1694-480B-AB98-6A20D29CF506}" type="PERCENTAGE">
                  <a:rPr lang="en-US"/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[PERCENTAGE]</a:t>
                </a:fld>
                <a:endParaRPr lang="en-US"/>
              </a:p>
            </c:rich>
          </c:tx>
          <c:numFmt formatCode="0.0%" sourceLinked="0"/>
          <c:spPr>
            <a:noFill/>
            <a:ln>
              <a:noFill/>
            </a:ln>
            <a:effectLst/>
          </c:spPr>
          <c:txPr>
            <a:bodyPr rot="0" spcFirstLastPara="1" vertOverflow="ellipsis" horzOverflow="clip" vert="horz" wrap="square" lIns="91440" tIns="0" rIns="91440" bIns="45720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1"/>
          <c:showBubbleSize val="0"/>
          <c:separator>
</c:separator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  <a:noFill/>
                <a:ln>
                  <a:noFill/>
                </a:ln>
              </c15:spPr>
              <c15:dlblFieldTable/>
              <c15:showDataLabelsRange val="0"/>
            </c:ext>
          </c:extLst>
        </c:dLbl>
      </c:pivotFmt>
      <c:pivotFmt>
        <c:idx val="1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numFmt formatCode="General" sourceLinked="0"/>
          <c:spPr>
            <a:noFill/>
            <a:ln>
              <a:noFill/>
            </a:ln>
            <a:effectLst/>
          </c:spPr>
          <c:txPr>
            <a:bodyPr rot="0" spcFirstLastPara="1" vertOverflow="ellipsis" horzOverflow="clip" vert="horz" wrap="square" lIns="91440" tIns="0" rIns="91440" bIns="45720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1"/>
          <c:showBubbleSize val="0"/>
          <c:separator>
</c:separator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  <a:noFill/>
                <a:ln>
                  <a:noFill/>
                </a:ln>
              </c15:spPr>
            </c:ext>
          </c:extLst>
        </c:dLbl>
      </c:pivotFmt>
      <c:pivotFmt>
        <c:idx val="1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dLbl>
          <c:idx val="0"/>
          <c:layout>
            <c:manualLayout>
              <c:x val="8.8888888888888892E-2"/>
              <c:y val="-4.6296296296296294E-2"/>
            </c:manualLayout>
          </c:layout>
          <c:tx>
            <c:rich>
              <a:bodyPr rot="0" spcFirstLastPara="1" vertOverflow="ellipsis" horzOverflow="clip" vert="horz" wrap="square" lIns="91440" tIns="0" rIns="91440" bIns="45720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4CB70A22-8CA7-4A60-BBE3-20BDC617011B}" type="VALUE">
                  <a:rPr lang="en-US"/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[VALUE]</a:t>
                </a:fld>
                <a:endParaRPr lang="en-US" baseline="0"/>
              </a:p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E369FFA1-D31F-4FE5-BBE7-A4D4A39D9F08}" type="PERCENTAGE">
                  <a:rPr lang="en-US"/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[PERCENTAGE]</a:t>
                </a:fld>
                <a:endParaRPr lang="en-US"/>
              </a:p>
            </c:rich>
          </c:tx>
          <c:numFmt formatCode="0.0%" sourceLinked="0"/>
          <c:spPr>
            <a:noFill/>
            <a:ln>
              <a:noFill/>
            </a:ln>
            <a:effectLst/>
          </c:spPr>
          <c:txPr>
            <a:bodyPr rot="0" spcFirstLastPara="1" vertOverflow="ellipsis" horzOverflow="clip" vert="horz" wrap="square" lIns="91440" tIns="0" rIns="91440" bIns="45720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1"/>
          <c:showBubbleSize val="0"/>
          <c:separator>
</c:separator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  <a:noFill/>
                <a:ln>
                  <a:noFill/>
                </a:ln>
              </c15:spPr>
              <c15:dlblFieldTable/>
              <c15:showDataLabelsRange val="0"/>
            </c:ext>
          </c:extLst>
        </c:dLbl>
      </c:pivotFmt>
      <c:pivotFmt>
        <c:idx val="1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dLbl>
          <c:idx val="0"/>
          <c:layout>
            <c:manualLayout>
              <c:x val="9.166666666666666E-2"/>
              <c:y val="6.9444444444444364E-2"/>
            </c:manualLayout>
          </c:layout>
          <c:tx>
            <c:rich>
              <a:bodyPr rot="0" spcFirstLastPara="1" vertOverflow="ellipsis" horzOverflow="clip" vert="horz" wrap="square" lIns="91440" tIns="0" rIns="91440" bIns="45720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F6ABED31-332B-4EDF-A2A6-D704084AEF9C}" type="VALUE">
                  <a:rPr lang="en-US"/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[VALUE]</a:t>
                </a:fld>
                <a:endParaRPr lang="en-US" baseline="0"/>
              </a:p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1FA1EEBE-0B47-465C-85D0-B5B14D1898A6}" type="PERCENTAGE">
                  <a:rPr lang="en-US"/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[PERCENTAGE]</a:t>
                </a:fld>
                <a:endParaRPr lang="en-US"/>
              </a:p>
            </c:rich>
          </c:tx>
          <c:numFmt formatCode="0.0%" sourceLinked="0"/>
          <c:spPr>
            <a:noFill/>
            <a:ln>
              <a:noFill/>
            </a:ln>
            <a:effectLst/>
          </c:spPr>
          <c:txPr>
            <a:bodyPr rot="0" spcFirstLastPara="1" vertOverflow="ellipsis" horzOverflow="clip" vert="horz" wrap="square" lIns="91440" tIns="0" rIns="91440" bIns="45720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1"/>
          <c:showBubbleSize val="0"/>
          <c:separator>
</c:separator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  <a:noFill/>
                <a:ln>
                  <a:noFill/>
                </a:ln>
              </c15:spPr>
              <c15:dlblFieldTable/>
              <c15:showDataLabelsRange val="0"/>
            </c:ext>
          </c:extLst>
        </c:dLbl>
      </c:pivotFmt>
      <c:pivotFmt>
        <c:idx val="1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dLbl>
          <c:idx val="0"/>
          <c:layout>
            <c:manualLayout>
              <c:x val="-0.10555555555555556"/>
              <c:y val="2.777777777777761E-2"/>
            </c:manualLayout>
          </c:layout>
          <c:tx>
            <c:rich>
              <a:bodyPr rot="0" spcFirstLastPara="1" vertOverflow="ellipsis" horzOverflow="clip" vert="horz" wrap="square" lIns="91440" tIns="0" rIns="91440" bIns="45720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D2AC835E-71F4-4B43-AE36-A48AF6E615D0}" type="VALUE">
                  <a:rPr lang="en-US"/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[VALUE]</a:t>
                </a:fld>
                <a:endParaRPr lang="en-US" baseline="0"/>
              </a:p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9D2F3928-CFE6-4A9B-A666-2A69C411070C}" type="PERCENTAGE">
                  <a:rPr lang="en-US"/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[PERCENTAGE]</a:t>
                </a:fld>
                <a:endParaRPr lang="en-US"/>
              </a:p>
            </c:rich>
          </c:tx>
          <c:numFmt formatCode="0.0%" sourceLinked="0"/>
          <c:spPr>
            <a:noFill/>
            <a:ln>
              <a:noFill/>
            </a:ln>
            <a:effectLst/>
          </c:spPr>
          <c:txPr>
            <a:bodyPr rot="0" spcFirstLastPara="1" vertOverflow="ellipsis" horzOverflow="clip" vert="horz" wrap="square" lIns="91440" tIns="0" rIns="91440" bIns="45720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1"/>
          <c:showBubbleSize val="0"/>
          <c:separator>
</c:separator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  <a:noFill/>
                <a:ln>
                  <a:noFill/>
                </a:ln>
              </c15:spPr>
              <c15:dlblFieldTable/>
              <c15:showDataLabelsRange val="0"/>
            </c:ext>
          </c:extLst>
        </c:dLbl>
      </c:pivotFmt>
      <c:pivotFmt>
        <c:idx val="1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dLbl>
          <c:idx val="0"/>
          <c:layout>
            <c:manualLayout>
              <c:x val="-5.2777777777777778E-2"/>
              <c:y val="-0.10185185185185189"/>
            </c:manualLayout>
          </c:layout>
          <c:tx>
            <c:rich>
              <a:bodyPr rot="0" spcFirstLastPara="1" vertOverflow="ellipsis" horzOverflow="clip" vert="horz" wrap="square" lIns="91440" tIns="0" rIns="91440" bIns="45720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25E983EF-ECF5-440E-8359-6DAB50E72FB1}" type="VALUE">
                  <a:rPr lang="en-US"/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[VALUE]</a:t>
                </a:fld>
                <a:endParaRPr lang="en-US" baseline="0"/>
              </a:p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fld id="{CEA07E60-1694-480B-AB98-6A20D29CF506}" type="PERCENTAGE">
                  <a:rPr lang="en-US"/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t>[PERCENTAGE]</a:t>
                </a:fld>
                <a:endParaRPr lang="en-US"/>
              </a:p>
            </c:rich>
          </c:tx>
          <c:numFmt formatCode="0.0%" sourceLinked="0"/>
          <c:spPr>
            <a:noFill/>
            <a:ln>
              <a:noFill/>
            </a:ln>
            <a:effectLst/>
          </c:spPr>
          <c:txPr>
            <a:bodyPr rot="0" spcFirstLastPara="1" vertOverflow="ellipsis" horzOverflow="clip" vert="horz" wrap="square" lIns="91440" tIns="0" rIns="91440" bIns="45720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1"/>
          <c:showBubbleSize val="0"/>
          <c:separator>
</c:separator>
          <c:extLst>
            <c:ext xmlns:c15="http://schemas.microsoft.com/office/drawing/2012/chart" uri="{CE6537A1-D6FC-4f65-9D91-7224C49458BB}">
              <c15:spPr xmlns:c15="http://schemas.microsoft.com/office/drawing/2012/chart">
                <a:prstGeom prst="rect">
                  <a:avLst/>
                </a:prstGeom>
                <a:noFill/>
                <a:ln>
                  <a:noFill/>
                </a:ln>
              </c15:spPr>
              <c15:dlblFieldTable/>
              <c15:showDataLabelsRange val="0"/>
            </c:ext>
          </c:extLst>
        </c:dLbl>
      </c:pivotFmt>
    </c:pivotFmts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28C4-42C3-B1C7-5E0B43B32C08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28C4-42C3-B1C7-5E0B43B32C08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28C4-42C3-B1C7-5E0B43B32C08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28C4-42C3-B1C7-5E0B43B32C08}"/>
              </c:ext>
            </c:extLst>
          </c:dPt>
          <c:dLbls>
            <c:dLbl>
              <c:idx val="0"/>
              <c:layout>
                <c:manualLayout>
                  <c:x val="8.8888888888888892E-2"/>
                  <c:y val="-4.6296296296296294E-2"/>
                </c:manualLayout>
              </c:layout>
              <c:tx>
                <c:rich>
                  <a:bodyPr rot="0" spcFirstLastPara="1" vertOverflow="ellipsis" horzOverflow="clip" vert="horz" wrap="square" lIns="91440" tIns="0" rIns="91440" bIns="457200" anchor="ctr" anchorCtr="1">
                    <a:spAutoFit/>
                  </a:bodyPr>
                  <a:lstStyle/>
                  <a:p>
                    <a:pPr>
                      <a:defRPr sz="1000" b="1" i="0" u="none" strike="noStrike" kern="1200" baseline="0">
                        <a:solidFill>
                          <a:schemeClr val="lt1">
                            <a:lumMod val="8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4CB70A22-8CA7-4A60-BBE3-20BDC617011B}" type="VALUE">
                      <a:rPr lang="en-US"/>
                      <a:pPr>
                        <a:defRPr sz="1000" b="1">
                          <a:solidFill>
                            <a:schemeClr val="lt1">
                              <a:lumMod val="85000"/>
                            </a:schemeClr>
                          </a:solidFill>
                        </a:defRPr>
                      </a:pPr>
                      <a:t>[VALUE]</a:t>
                    </a:fld>
                    <a:endParaRPr lang="en-US" baseline="0"/>
                  </a:p>
                  <a:p>
                    <a:pPr>
                      <a:defRPr sz="1000" b="1">
                        <a:solidFill>
                          <a:schemeClr val="lt1">
                            <a:lumMod val="85000"/>
                          </a:schemeClr>
                        </a:solidFill>
                      </a:defRPr>
                    </a:pPr>
                    <a:fld id="{E369FFA1-D31F-4FE5-BBE7-A4D4A39D9F08}" type="PERCENTAGE">
                      <a:rPr lang="en-US"/>
                      <a:pPr>
                        <a:defRPr sz="1000" b="1">
                          <a:solidFill>
                            <a:schemeClr val="lt1">
                              <a:lumMod val="85000"/>
                            </a:schemeClr>
                          </a:solidFill>
                        </a:defRPr>
                      </a:pPr>
                      <a:t>[PERCENTAGE]</a:t>
                    </a:fld>
                    <a:endParaRPr lang="en-US"/>
                  </a:p>
                </c:rich>
              </c:tx>
              <c:numFmt formatCode="0.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horzOverflow="clip" vert="horz" wrap="square" lIns="91440" tIns="0" rIns="91440" bIns="457200" anchor="ctr" anchorCtr="1">
                  <a:spAutoFit/>
                </a:bodyPr>
                <a:lstStyle/>
                <a:p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rect">
                      <a:avLst/>
                    </a:prstGeom>
                    <a:noFill/>
                    <a:ln>
                      <a:noFill/>
                    </a:ln>
                  </c15:spPr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28C4-42C3-B1C7-5E0B43B32C08}"/>
                </c:ext>
              </c:extLst>
            </c:dLbl>
            <c:dLbl>
              <c:idx val="1"/>
              <c:layout>
                <c:manualLayout>
                  <c:x val="9.166666666666666E-2"/>
                  <c:y val="6.9444444444444364E-2"/>
                </c:manualLayout>
              </c:layout>
              <c:tx>
                <c:rich>
                  <a:bodyPr rot="0" spcFirstLastPara="1" vertOverflow="ellipsis" horzOverflow="clip" vert="horz" wrap="square" lIns="91440" tIns="0" rIns="91440" bIns="457200" anchor="ctr" anchorCtr="1">
                    <a:spAutoFit/>
                  </a:bodyPr>
                  <a:lstStyle/>
                  <a:p>
                    <a:pPr>
                      <a:defRPr sz="1000" b="1" i="0" u="none" strike="noStrike" kern="1200" baseline="0">
                        <a:solidFill>
                          <a:schemeClr val="lt1">
                            <a:lumMod val="8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F6ABED31-332B-4EDF-A2A6-D704084AEF9C}" type="VALUE">
                      <a:rPr lang="en-US"/>
                      <a:pPr>
                        <a:defRPr sz="1000" b="1">
                          <a:solidFill>
                            <a:schemeClr val="lt1">
                              <a:lumMod val="85000"/>
                            </a:schemeClr>
                          </a:solidFill>
                        </a:defRPr>
                      </a:pPr>
                      <a:t>[VALUE]</a:t>
                    </a:fld>
                    <a:endParaRPr lang="en-US" baseline="0"/>
                  </a:p>
                  <a:p>
                    <a:pPr>
                      <a:defRPr sz="1000" b="1">
                        <a:solidFill>
                          <a:schemeClr val="lt1">
                            <a:lumMod val="85000"/>
                          </a:schemeClr>
                        </a:solidFill>
                      </a:defRPr>
                    </a:pPr>
                    <a:fld id="{1FA1EEBE-0B47-465C-85D0-B5B14D1898A6}" type="PERCENTAGE">
                      <a:rPr lang="en-US"/>
                      <a:pPr>
                        <a:defRPr sz="1000" b="1">
                          <a:solidFill>
                            <a:schemeClr val="lt1">
                              <a:lumMod val="85000"/>
                            </a:schemeClr>
                          </a:solidFill>
                        </a:defRPr>
                      </a:pPr>
                      <a:t>[PERCENTAGE]</a:t>
                    </a:fld>
                    <a:endParaRPr lang="en-US"/>
                  </a:p>
                </c:rich>
              </c:tx>
              <c:numFmt formatCode="0.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horzOverflow="clip" vert="horz" wrap="square" lIns="91440" tIns="0" rIns="91440" bIns="457200" anchor="ctr" anchorCtr="1">
                  <a:spAutoFit/>
                </a:bodyPr>
                <a:lstStyle/>
                <a:p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rect">
                      <a:avLst/>
                    </a:prstGeom>
                    <a:noFill/>
                    <a:ln>
                      <a:noFill/>
                    </a:ln>
                  </c15:spPr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28C4-42C3-B1C7-5E0B43B32C08}"/>
                </c:ext>
              </c:extLst>
            </c:dLbl>
            <c:dLbl>
              <c:idx val="2"/>
              <c:layout>
                <c:manualLayout>
                  <c:x val="-0.10555555555555556"/>
                  <c:y val="2.777777777777761E-2"/>
                </c:manualLayout>
              </c:layout>
              <c:tx>
                <c:rich>
                  <a:bodyPr rot="0" spcFirstLastPara="1" vertOverflow="ellipsis" horzOverflow="clip" vert="horz" wrap="square" lIns="91440" tIns="0" rIns="91440" bIns="457200" anchor="ctr" anchorCtr="1">
                    <a:spAutoFit/>
                  </a:bodyPr>
                  <a:lstStyle/>
                  <a:p>
                    <a:pPr>
                      <a:defRPr sz="1000" b="1" i="0" u="none" strike="noStrike" kern="1200" baseline="0">
                        <a:solidFill>
                          <a:schemeClr val="lt1">
                            <a:lumMod val="8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D2AC835E-71F4-4B43-AE36-A48AF6E615D0}" type="VALUE">
                      <a:rPr lang="en-US"/>
                      <a:pPr>
                        <a:defRPr sz="1000" b="1">
                          <a:solidFill>
                            <a:schemeClr val="lt1">
                              <a:lumMod val="85000"/>
                            </a:schemeClr>
                          </a:solidFill>
                        </a:defRPr>
                      </a:pPr>
                      <a:t>[VALUE]</a:t>
                    </a:fld>
                    <a:endParaRPr lang="en-US" baseline="0"/>
                  </a:p>
                  <a:p>
                    <a:pPr>
                      <a:defRPr sz="1000" b="1">
                        <a:solidFill>
                          <a:schemeClr val="lt1">
                            <a:lumMod val="85000"/>
                          </a:schemeClr>
                        </a:solidFill>
                      </a:defRPr>
                    </a:pPr>
                    <a:fld id="{9D2F3928-CFE6-4A9B-A666-2A69C411070C}" type="PERCENTAGE">
                      <a:rPr lang="en-US"/>
                      <a:pPr>
                        <a:defRPr sz="1000" b="1">
                          <a:solidFill>
                            <a:schemeClr val="lt1">
                              <a:lumMod val="85000"/>
                            </a:schemeClr>
                          </a:solidFill>
                        </a:defRPr>
                      </a:pPr>
                      <a:t>[PERCENTAGE]</a:t>
                    </a:fld>
                    <a:endParaRPr lang="en-US"/>
                  </a:p>
                </c:rich>
              </c:tx>
              <c:numFmt formatCode="0.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horzOverflow="clip" vert="horz" wrap="square" lIns="91440" tIns="0" rIns="91440" bIns="457200" anchor="ctr" anchorCtr="1">
                  <a:spAutoFit/>
                </a:bodyPr>
                <a:lstStyle/>
                <a:p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rect">
                      <a:avLst/>
                    </a:prstGeom>
                    <a:noFill/>
                    <a:ln>
                      <a:noFill/>
                    </a:ln>
                  </c15:spPr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28C4-42C3-B1C7-5E0B43B32C08}"/>
                </c:ext>
              </c:extLst>
            </c:dLbl>
            <c:dLbl>
              <c:idx val="3"/>
              <c:layout>
                <c:manualLayout>
                  <c:x val="-5.2777777777777778E-2"/>
                  <c:y val="-0.10185185185185189"/>
                </c:manualLayout>
              </c:layout>
              <c:tx>
                <c:rich>
                  <a:bodyPr rot="0" spcFirstLastPara="1" vertOverflow="ellipsis" horzOverflow="clip" vert="horz" wrap="square" lIns="91440" tIns="0" rIns="91440" bIns="457200" anchor="ctr" anchorCtr="1">
                    <a:spAutoFit/>
                  </a:bodyPr>
                  <a:lstStyle/>
                  <a:p>
                    <a:pPr>
                      <a:defRPr sz="1000" b="1" i="0" u="none" strike="noStrike" kern="1200" baseline="0">
                        <a:solidFill>
                          <a:schemeClr val="lt1">
                            <a:lumMod val="8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25E983EF-ECF5-440E-8359-6DAB50E72FB1}" type="VALUE">
                      <a:rPr lang="en-US"/>
                      <a:pPr>
                        <a:defRPr sz="1000" b="1">
                          <a:solidFill>
                            <a:schemeClr val="lt1">
                              <a:lumMod val="85000"/>
                            </a:schemeClr>
                          </a:solidFill>
                        </a:defRPr>
                      </a:pPr>
                      <a:t>[VALUE]</a:t>
                    </a:fld>
                    <a:endParaRPr lang="en-US" baseline="0"/>
                  </a:p>
                  <a:p>
                    <a:pPr>
                      <a:defRPr sz="1000" b="1">
                        <a:solidFill>
                          <a:schemeClr val="lt1">
                            <a:lumMod val="85000"/>
                          </a:schemeClr>
                        </a:solidFill>
                      </a:defRPr>
                    </a:pPr>
                    <a:fld id="{CEA07E60-1694-480B-AB98-6A20D29CF506}" type="PERCENTAGE">
                      <a:rPr lang="en-US"/>
                      <a:pPr>
                        <a:defRPr sz="1000" b="1">
                          <a:solidFill>
                            <a:schemeClr val="lt1">
                              <a:lumMod val="85000"/>
                            </a:schemeClr>
                          </a:solidFill>
                        </a:defRPr>
                      </a:pPr>
                      <a:t>[PERCENTAGE]</a:t>
                    </a:fld>
                    <a:endParaRPr lang="en-US"/>
                  </a:p>
                </c:rich>
              </c:tx>
              <c:numFmt formatCode="0.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horzOverflow="clip" vert="horz" wrap="square" lIns="91440" tIns="0" rIns="91440" bIns="457200" anchor="ctr" anchorCtr="1">
                  <a:spAutoFit/>
                </a:bodyPr>
                <a:lstStyle/>
                <a:p>
                  <a:pPr>
                    <a:defRPr sz="1000" b="1" i="0" u="none" strike="noStrike" kern="1200" baseline="0">
                      <a:solidFill>
                        <a:schemeClr val="lt1">
                          <a:lumMod val="8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rect">
                      <a:avLst/>
                    </a:prstGeom>
                    <a:noFill/>
                    <a:ln>
                      <a:noFill/>
                    </a:ln>
                  </c15:spPr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28C4-42C3-B1C7-5E0B43B32C08}"/>
                </c:ext>
              </c:extLst>
            </c:dLbl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clip" vert="horz" wrap="square" lIns="91440" tIns="0" rIns="91440" bIns="45720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1"/>
            <c:showBubbleSize val="0"/>
            <c:separator>
</c:separator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Sheet1!$A$2:$A$6</c:f>
              <c:strCache>
                <c:ptCount val="4"/>
                <c:pt idx="0">
                  <c:v>Medication</c:v>
                </c:pt>
                <c:pt idx="1">
                  <c:v>Observation</c:v>
                </c:pt>
                <c:pt idx="2">
                  <c:v>Surgery</c:v>
                </c:pt>
                <c:pt idx="3">
                  <c:v>Therapy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4"/>
                <c:pt idx="0">
                  <c:v>55</c:v>
                </c:pt>
                <c:pt idx="1">
                  <c:v>47</c:v>
                </c:pt>
                <c:pt idx="2">
                  <c:v>48</c:v>
                </c:pt>
                <c:pt idx="3">
                  <c:v>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28C4-42C3-B1C7-5E0B43B32C0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0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[HealthCare Data Set.xlsx]Pivots!PivotTable19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 sz="1400" b="1" i="0" u="none" strike="noStrike" baseline="0"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</a:rPr>
              <a:t>Age Group vs Recovery Score</a:t>
            </a:r>
            <a:endParaRPr lang="en-US" sz="14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numFmt formatCode="0.0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numFmt formatCode="0.0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numFmt formatCode="0.0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7.4002937132858396E-2"/>
          <c:y val="0.23558917197452228"/>
          <c:w val="0.89821928508936388"/>
          <c:h val="0.5395045513817142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Pivots!$I$34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numFmt formatCode="0.0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Pivots!$H$35:$H$43</c:f>
              <c:strCache>
                <c:ptCount val="8"/>
                <c:pt idx="0">
                  <c:v>Elderly</c:v>
                </c:pt>
                <c:pt idx="1">
                  <c:v>Senior</c:v>
                </c:pt>
                <c:pt idx="2">
                  <c:v>Infant / Toddler</c:v>
                </c:pt>
                <c:pt idx="3">
                  <c:v>Young Adult</c:v>
                </c:pt>
                <c:pt idx="4">
                  <c:v>Child</c:v>
                </c:pt>
                <c:pt idx="5">
                  <c:v>Adult</c:v>
                </c:pt>
                <c:pt idx="6">
                  <c:v>Middle-aged</c:v>
                </c:pt>
                <c:pt idx="7">
                  <c:v>Teenager</c:v>
                </c:pt>
              </c:strCache>
            </c:strRef>
          </c:cat>
          <c:val>
            <c:numRef>
              <c:f>Pivots!$I$35:$I$43</c:f>
              <c:numCache>
                <c:formatCode>0.0</c:formatCode>
                <c:ptCount val="8"/>
                <c:pt idx="0">
                  <c:v>72.961538461538467</c:v>
                </c:pt>
                <c:pt idx="1">
                  <c:v>72.342857142857142</c:v>
                </c:pt>
                <c:pt idx="2">
                  <c:v>72.222222222222229</c:v>
                </c:pt>
                <c:pt idx="3">
                  <c:v>71.333333333333329</c:v>
                </c:pt>
                <c:pt idx="4">
                  <c:v>70.400000000000006</c:v>
                </c:pt>
                <c:pt idx="5">
                  <c:v>68.324324324324323</c:v>
                </c:pt>
                <c:pt idx="6">
                  <c:v>68.242424242424249</c:v>
                </c:pt>
                <c:pt idx="7">
                  <c:v>67.230769230769226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E5D-4443-9C5E-A98D9298C38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74"/>
        <c:axId val="1601289231"/>
        <c:axId val="1601296431"/>
      </c:barChart>
      <c:catAx>
        <c:axId val="16012892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01296431"/>
        <c:crosses val="autoZero"/>
        <c:auto val="1"/>
        <c:lblAlgn val="ctr"/>
        <c:lblOffset val="100"/>
        <c:noMultiLvlLbl val="0"/>
      </c:catAx>
      <c:valAx>
        <c:axId val="1601296431"/>
        <c:scaling>
          <c:orientation val="minMax"/>
        </c:scaling>
        <c:delete val="1"/>
        <c:axPos val="l"/>
        <c:numFmt formatCode="0.0" sourceLinked="1"/>
        <c:majorTickMark val="none"/>
        <c:minorTickMark val="none"/>
        <c:tickLblPos val="nextTo"/>
        <c:crossAx val="160128923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[HealthCare Data Set.xlsx]Sheet1!PivotTable2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 b="1"/>
              <a:t>Average Treatment Cost and Average Recovery Score by Treatment Type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numFmt formatCode="0.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800" b="1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numFmt formatCode="#,##0.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dLbl>
          <c:idx val="0"/>
          <c:layout>
            <c:manualLayout>
              <c:x val="2.2484541877459039E-3"/>
              <c:y val="0.36488371245261003"/>
            </c:manualLayout>
          </c:layout>
          <c:numFmt formatCode="0.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800" b="1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numFmt formatCode="0.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800" b="1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dLbl>
          <c:idx val="0"/>
          <c:layout>
            <c:manualLayout>
              <c:x val="2.2484541877459039E-3"/>
              <c:y val="0.36488371245261003"/>
            </c:manualLayout>
          </c:layout>
          <c:numFmt formatCode="0.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800" b="1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numFmt formatCode="#,##0.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numFmt formatCode="0.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800" b="1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dLbl>
          <c:idx val="0"/>
          <c:layout>
            <c:manualLayout>
              <c:x val="2.2484541877459039E-3"/>
              <c:y val="0.36488371245261003"/>
            </c:manualLayout>
          </c:layout>
          <c:numFmt formatCode="0.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800" b="1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numFmt formatCode="#,##0.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Sheet1!$B$9</c:f>
              <c:strCache>
                <c:ptCount val="1"/>
                <c:pt idx="0">
                  <c:v>Average of Treatment Cost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dLbl>
              <c:idx val="0"/>
              <c:layout>
                <c:manualLayout>
                  <c:x val="2.2484541877459039E-3"/>
                  <c:y val="0.3648837124526100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F0D1-4943-BDD6-216B95A3F742}"/>
                </c:ext>
              </c:extLst>
            </c:dLbl>
            <c:numFmt formatCode="#,##0.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Sheet1!$A$10:$A$14</c:f>
              <c:strCache>
                <c:ptCount val="4"/>
                <c:pt idx="0">
                  <c:v>Medication</c:v>
                </c:pt>
                <c:pt idx="1">
                  <c:v>Observation</c:v>
                </c:pt>
                <c:pt idx="2">
                  <c:v>Surgery</c:v>
                </c:pt>
                <c:pt idx="3">
                  <c:v>Therapy</c:v>
                </c:pt>
              </c:strCache>
            </c:strRef>
          </c:cat>
          <c:val>
            <c:numRef>
              <c:f>Sheet1!$B$10:$B$14</c:f>
              <c:numCache>
                <c:formatCode>General</c:formatCode>
                <c:ptCount val="4"/>
                <c:pt idx="0">
                  <c:v>80753.246545454531</c:v>
                </c:pt>
                <c:pt idx="1">
                  <c:v>78660.430000000008</c:v>
                </c:pt>
                <c:pt idx="2">
                  <c:v>83729.879166666666</c:v>
                </c:pt>
                <c:pt idx="3">
                  <c:v>75643.994600000005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0D1-4943-BDD6-216B95A3F74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1152964096"/>
        <c:axId val="1152965536"/>
      </c:barChart>
      <c:lineChart>
        <c:grouping val="stacked"/>
        <c:varyColors val="0"/>
        <c:ser>
          <c:idx val="1"/>
          <c:order val="1"/>
          <c:tx>
            <c:strRef>
              <c:f>Sheet1!$C$9</c:f>
              <c:strCache>
                <c:ptCount val="1"/>
                <c:pt idx="0">
                  <c:v>Average of Recovery Score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2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dLbls>
            <c:numFmt formatCode="#,##0.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Sheet1!$A$10:$A$14</c:f>
              <c:strCache>
                <c:ptCount val="4"/>
                <c:pt idx="0">
                  <c:v>Medication</c:v>
                </c:pt>
                <c:pt idx="1">
                  <c:v>Observation</c:v>
                </c:pt>
                <c:pt idx="2">
                  <c:v>Surgery</c:v>
                </c:pt>
                <c:pt idx="3">
                  <c:v>Therapy</c:v>
                </c:pt>
              </c:strCache>
            </c:strRef>
          </c:cat>
          <c:val>
            <c:numRef>
              <c:f>Sheet1!$C$10:$C$14</c:f>
              <c:numCache>
                <c:formatCode>General</c:formatCode>
                <c:ptCount val="4"/>
                <c:pt idx="0">
                  <c:v>67.581818181818178</c:v>
                </c:pt>
                <c:pt idx="1">
                  <c:v>70.021276595744681</c:v>
                </c:pt>
                <c:pt idx="2">
                  <c:v>73.291666666666671</c:v>
                </c:pt>
                <c:pt idx="3">
                  <c:v>70.98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0D1-4943-BDD6-216B95A3F74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52971296"/>
        <c:axId val="1152974656"/>
      </c:lineChart>
      <c:catAx>
        <c:axId val="11529640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2965536"/>
        <c:crosses val="autoZero"/>
        <c:auto val="1"/>
        <c:lblAlgn val="ctr"/>
        <c:lblOffset val="100"/>
        <c:noMultiLvlLbl val="0"/>
      </c:catAx>
      <c:valAx>
        <c:axId val="11529655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0,00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2964096"/>
        <c:crosses val="autoZero"/>
        <c:crossBetween val="between"/>
      </c:valAx>
      <c:valAx>
        <c:axId val="1152974656"/>
        <c:scaling>
          <c:orientation val="minMax"/>
        </c:scaling>
        <c:delete val="0"/>
        <c:axPos val="r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2971296"/>
        <c:crosses val="max"/>
        <c:crossBetween val="between"/>
      </c:valAx>
      <c:catAx>
        <c:axId val="115297129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15297465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[HealthCare Data Set.xlsx]Sheet1!PivotTable3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 b="1"/>
              <a:t>Patients By Treatment Type Within Each Department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4">
                    <a:satMod val="103000"/>
                    <a:lumMod val="102000"/>
                    <a:tint val="94000"/>
                  </a:schemeClr>
                </a:gs>
                <a:gs pos="50000">
                  <a:schemeClr val="accent4">
                    <a:satMod val="110000"/>
                    <a:lumMod val="100000"/>
                    <a:shade val="100000"/>
                  </a:schemeClr>
                </a:gs>
                <a:gs pos="100000">
                  <a:schemeClr val="accent4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4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Sheet1!$B$17:$B$18</c:f>
              <c:strCache>
                <c:ptCount val="1"/>
                <c:pt idx="0">
                  <c:v>Medication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Sheet1!$A$19:$A$25</c:f>
              <c:strCache>
                <c:ptCount val="6"/>
                <c:pt idx="0">
                  <c:v>Cardiology</c:v>
                </c:pt>
                <c:pt idx="1">
                  <c:v>Gastroenterology</c:v>
                </c:pt>
                <c:pt idx="2">
                  <c:v>Neurology</c:v>
                </c:pt>
                <c:pt idx="3">
                  <c:v>Oncology</c:v>
                </c:pt>
                <c:pt idx="4">
                  <c:v>Orthopedics</c:v>
                </c:pt>
                <c:pt idx="5">
                  <c:v>Pediatrics</c:v>
                </c:pt>
              </c:strCache>
            </c:strRef>
          </c:cat>
          <c:val>
            <c:numRef>
              <c:f>Sheet1!$B$19:$B$25</c:f>
              <c:numCache>
                <c:formatCode>General</c:formatCode>
                <c:ptCount val="6"/>
                <c:pt idx="0">
                  <c:v>8</c:v>
                </c:pt>
                <c:pt idx="1">
                  <c:v>13</c:v>
                </c:pt>
                <c:pt idx="2">
                  <c:v>8</c:v>
                </c:pt>
                <c:pt idx="3">
                  <c:v>6</c:v>
                </c:pt>
                <c:pt idx="4">
                  <c:v>12</c:v>
                </c:pt>
                <c:pt idx="5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453-4FBE-A182-A15413839424}"/>
            </c:ext>
          </c:extLst>
        </c:ser>
        <c:ser>
          <c:idx val="1"/>
          <c:order val="1"/>
          <c:tx>
            <c:strRef>
              <c:f>Sheet1!$C$17:$C$18</c:f>
              <c:strCache>
                <c:ptCount val="1"/>
                <c:pt idx="0">
                  <c:v>Observation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Sheet1!$A$19:$A$25</c:f>
              <c:strCache>
                <c:ptCount val="6"/>
                <c:pt idx="0">
                  <c:v>Cardiology</c:v>
                </c:pt>
                <c:pt idx="1">
                  <c:v>Gastroenterology</c:v>
                </c:pt>
                <c:pt idx="2">
                  <c:v>Neurology</c:v>
                </c:pt>
                <c:pt idx="3">
                  <c:v>Oncology</c:v>
                </c:pt>
                <c:pt idx="4">
                  <c:v>Orthopedics</c:v>
                </c:pt>
                <c:pt idx="5">
                  <c:v>Pediatrics</c:v>
                </c:pt>
              </c:strCache>
            </c:strRef>
          </c:cat>
          <c:val>
            <c:numRef>
              <c:f>Sheet1!$C$19:$C$25</c:f>
              <c:numCache>
                <c:formatCode>General</c:formatCode>
                <c:ptCount val="6"/>
                <c:pt idx="0">
                  <c:v>5</c:v>
                </c:pt>
                <c:pt idx="1">
                  <c:v>11</c:v>
                </c:pt>
                <c:pt idx="2">
                  <c:v>9</c:v>
                </c:pt>
                <c:pt idx="3">
                  <c:v>5</c:v>
                </c:pt>
                <c:pt idx="4">
                  <c:v>7</c:v>
                </c:pt>
                <c:pt idx="5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7453-4FBE-A182-A15413839424}"/>
            </c:ext>
          </c:extLst>
        </c:ser>
        <c:ser>
          <c:idx val="2"/>
          <c:order val="2"/>
          <c:tx>
            <c:strRef>
              <c:f>Sheet1!$D$17:$D$18</c:f>
              <c:strCache>
                <c:ptCount val="1"/>
                <c:pt idx="0">
                  <c:v>Surgery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Sheet1!$A$19:$A$25</c:f>
              <c:strCache>
                <c:ptCount val="6"/>
                <c:pt idx="0">
                  <c:v>Cardiology</c:v>
                </c:pt>
                <c:pt idx="1">
                  <c:v>Gastroenterology</c:v>
                </c:pt>
                <c:pt idx="2">
                  <c:v>Neurology</c:v>
                </c:pt>
                <c:pt idx="3">
                  <c:v>Oncology</c:v>
                </c:pt>
                <c:pt idx="4">
                  <c:v>Orthopedics</c:v>
                </c:pt>
                <c:pt idx="5">
                  <c:v>Pediatrics</c:v>
                </c:pt>
              </c:strCache>
            </c:strRef>
          </c:cat>
          <c:val>
            <c:numRef>
              <c:f>Sheet1!$D$19:$D$25</c:f>
              <c:numCache>
                <c:formatCode>General</c:formatCode>
                <c:ptCount val="6"/>
                <c:pt idx="0">
                  <c:v>5</c:v>
                </c:pt>
                <c:pt idx="1">
                  <c:v>11</c:v>
                </c:pt>
                <c:pt idx="2">
                  <c:v>4</c:v>
                </c:pt>
                <c:pt idx="3">
                  <c:v>10</c:v>
                </c:pt>
                <c:pt idx="4">
                  <c:v>9</c:v>
                </c:pt>
                <c:pt idx="5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7453-4FBE-A182-A15413839424}"/>
            </c:ext>
          </c:extLst>
        </c:ser>
        <c:ser>
          <c:idx val="3"/>
          <c:order val="3"/>
          <c:tx>
            <c:strRef>
              <c:f>Sheet1!$E$17:$E$18</c:f>
              <c:strCache>
                <c:ptCount val="1"/>
                <c:pt idx="0">
                  <c:v>Therapy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satMod val="103000"/>
                    <a:lumMod val="102000"/>
                    <a:tint val="94000"/>
                  </a:schemeClr>
                </a:gs>
                <a:gs pos="50000">
                  <a:schemeClr val="accent4">
                    <a:satMod val="110000"/>
                    <a:lumMod val="100000"/>
                    <a:shade val="100000"/>
                  </a:schemeClr>
                </a:gs>
                <a:gs pos="100000">
                  <a:schemeClr val="accent4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Sheet1!$A$19:$A$25</c:f>
              <c:strCache>
                <c:ptCount val="6"/>
                <c:pt idx="0">
                  <c:v>Cardiology</c:v>
                </c:pt>
                <c:pt idx="1">
                  <c:v>Gastroenterology</c:v>
                </c:pt>
                <c:pt idx="2">
                  <c:v>Neurology</c:v>
                </c:pt>
                <c:pt idx="3">
                  <c:v>Oncology</c:v>
                </c:pt>
                <c:pt idx="4">
                  <c:v>Orthopedics</c:v>
                </c:pt>
                <c:pt idx="5">
                  <c:v>Pediatrics</c:v>
                </c:pt>
              </c:strCache>
            </c:strRef>
          </c:cat>
          <c:val>
            <c:numRef>
              <c:f>Sheet1!$E$19:$E$25</c:f>
              <c:numCache>
                <c:formatCode>General</c:formatCode>
                <c:ptCount val="6"/>
                <c:pt idx="0">
                  <c:v>6</c:v>
                </c:pt>
                <c:pt idx="1">
                  <c:v>6</c:v>
                </c:pt>
                <c:pt idx="2">
                  <c:v>7</c:v>
                </c:pt>
                <c:pt idx="3">
                  <c:v>10</c:v>
                </c:pt>
                <c:pt idx="4">
                  <c:v>10</c:v>
                </c:pt>
                <c:pt idx="5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7453-4FBE-A182-A15413839424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1231726704"/>
        <c:axId val="1231725264"/>
      </c:barChart>
      <c:catAx>
        <c:axId val="12317267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1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31725264"/>
        <c:crosses val="autoZero"/>
        <c:auto val="1"/>
        <c:lblAlgn val="ctr"/>
        <c:lblOffset val="100"/>
        <c:noMultiLvlLbl val="0"/>
      </c:catAx>
      <c:valAx>
        <c:axId val="1231725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317267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[HealthCare Data Set.xlsx]Pivots!PivotTable17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Revenue By Department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diamond"/>
          <c:size val="5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numFmt formatCode="0,000,00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numFmt formatCode="0,000,00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numFmt formatCode="0,000,00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numFmt formatCode="0,000,00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numFmt formatCode="0,000,00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Pivots!$H$25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numFmt formatCode="0,000,00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Pivots!$G$26:$G$32</c:f>
              <c:strCache>
                <c:ptCount val="6"/>
                <c:pt idx="0">
                  <c:v>Cardiology</c:v>
                </c:pt>
                <c:pt idx="1">
                  <c:v>Neurology</c:v>
                </c:pt>
                <c:pt idx="2">
                  <c:v>Oncology</c:v>
                </c:pt>
                <c:pt idx="3">
                  <c:v>Pediatrics</c:v>
                </c:pt>
                <c:pt idx="4">
                  <c:v>Gastroenterology</c:v>
                </c:pt>
                <c:pt idx="5">
                  <c:v>Orthopedics</c:v>
                </c:pt>
              </c:strCache>
            </c:strRef>
          </c:cat>
          <c:val>
            <c:numRef>
              <c:f>Pivots!$H$26:$H$32</c:f>
              <c:numCache>
                <c:formatCode>0.0</c:formatCode>
                <c:ptCount val="6"/>
                <c:pt idx="0">
                  <c:v>1800942.18</c:v>
                </c:pt>
                <c:pt idx="1">
                  <c:v>2126892.2599999998</c:v>
                </c:pt>
                <c:pt idx="2">
                  <c:v>2778018.7199999993</c:v>
                </c:pt>
                <c:pt idx="3">
                  <c:v>2856461.1199999996</c:v>
                </c:pt>
                <c:pt idx="4">
                  <c:v>2972070.7799999989</c:v>
                </c:pt>
                <c:pt idx="5">
                  <c:v>3405317.6399999997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0EB-4B29-AD49-E4D0771B352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15"/>
        <c:overlap val="-20"/>
        <c:axId val="1601221551"/>
        <c:axId val="1601220111"/>
      </c:barChart>
      <c:catAx>
        <c:axId val="160122155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01220111"/>
        <c:crosses val="autoZero"/>
        <c:auto val="1"/>
        <c:lblAlgn val="ctr"/>
        <c:lblOffset val="100"/>
        <c:noMultiLvlLbl val="0"/>
      </c:catAx>
      <c:valAx>
        <c:axId val="1601220111"/>
        <c:scaling>
          <c:orientation val="minMax"/>
        </c:scaling>
        <c:delete val="1"/>
        <c:axPos val="b"/>
        <c:numFmt formatCode="#,##0" sourceLinked="0"/>
        <c:majorTickMark val="none"/>
        <c:minorTickMark val="none"/>
        <c:tickLblPos val="nextTo"/>
        <c:crossAx val="160122155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[HealthCare Data Set.xlsx]Pivots!PivotTable20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 sz="1400"/>
              <a:t>Avg</a:t>
            </a:r>
            <a:r>
              <a:rPr lang="en-US" sz="1400" baseline="0"/>
              <a:t> Cost/Day By Dept. &amp; Treatment Type </a:t>
            </a:r>
            <a:endParaRPr lang="en-US" sz="14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2">
                <a:lumMod val="75000"/>
              </a:schemeClr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solidFill>
              <a:schemeClr val="accent6">
                <a:lumMod val="75000"/>
              </a:schemeClr>
            </a:solidFill>
            <a:ln w="9525">
              <a:noFill/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2">
                <a:lumMod val="75000"/>
              </a:schemeClr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solidFill>
              <a:schemeClr val="accent6">
                <a:lumMod val="75000"/>
              </a:schemeClr>
            </a:solidFill>
            <a:ln w="9525">
              <a:noFill/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2">
                <a:lumMod val="75000"/>
              </a:schemeClr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solidFill>
              <a:schemeClr val="accent6">
                <a:lumMod val="75000"/>
              </a:schemeClr>
            </a:solidFill>
            <a:ln w="9525">
              <a:noFill/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2">
                <a:lumMod val="75000"/>
              </a:schemeClr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solidFill>
              <a:schemeClr val="accent6">
                <a:lumMod val="75000"/>
              </a:schemeClr>
            </a:solidFill>
            <a:ln w="9525">
              <a:noFill/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2">
                <a:lumMod val="75000"/>
              </a:schemeClr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solidFill>
              <a:schemeClr val="accent6">
                <a:lumMod val="75000"/>
              </a:schemeClr>
            </a:solidFill>
            <a:ln w="9525">
              <a:noFill/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2">
                <a:lumMod val="75000"/>
              </a:schemeClr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solidFill>
              <a:schemeClr val="accent6">
                <a:lumMod val="75000"/>
              </a:schemeClr>
            </a:solidFill>
            <a:ln w="9525">
              <a:noFill/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Pivots!$D$40</c:f>
              <c:strCache>
                <c:ptCount val="1"/>
                <c:pt idx="0">
                  <c:v>Total</c:v>
                </c:pt>
              </c:strCache>
            </c:strRef>
          </c:tx>
          <c:spPr>
            <a:ln w="34925" cap="rnd">
              <a:solidFill>
                <a:schemeClr val="accent2">
                  <a:lumMod val="75000"/>
                </a:schemeClr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solidFill>
                <a:schemeClr val="accent6">
                  <a:lumMod val="75000"/>
                </a:schemeClr>
              </a:solidFill>
              <a:ln w="9525">
                <a:noFill/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cat>
            <c:multiLvlStrRef>
              <c:f>Pivots!$C$41:$C$71</c:f>
              <c:multiLvlStrCache>
                <c:ptCount val="24"/>
                <c:lvl>
                  <c:pt idx="0">
                    <c:v>Medication</c:v>
                  </c:pt>
                  <c:pt idx="1">
                    <c:v>Observation</c:v>
                  </c:pt>
                  <c:pt idx="2">
                    <c:v>Surgery</c:v>
                  </c:pt>
                  <c:pt idx="3">
                    <c:v>Therapy</c:v>
                  </c:pt>
                  <c:pt idx="4">
                    <c:v>Medication</c:v>
                  </c:pt>
                  <c:pt idx="5">
                    <c:v>Observation</c:v>
                  </c:pt>
                  <c:pt idx="6">
                    <c:v>Surgery</c:v>
                  </c:pt>
                  <c:pt idx="7">
                    <c:v>Therapy</c:v>
                  </c:pt>
                  <c:pt idx="8">
                    <c:v>Medication</c:v>
                  </c:pt>
                  <c:pt idx="9">
                    <c:v>Observation</c:v>
                  </c:pt>
                  <c:pt idx="10">
                    <c:v>Surgery</c:v>
                  </c:pt>
                  <c:pt idx="11">
                    <c:v>Therapy</c:v>
                  </c:pt>
                  <c:pt idx="12">
                    <c:v>Medication</c:v>
                  </c:pt>
                  <c:pt idx="13">
                    <c:v>Observation</c:v>
                  </c:pt>
                  <c:pt idx="14">
                    <c:v>Surgery</c:v>
                  </c:pt>
                  <c:pt idx="15">
                    <c:v>Therapy</c:v>
                  </c:pt>
                  <c:pt idx="16">
                    <c:v>Medication</c:v>
                  </c:pt>
                  <c:pt idx="17">
                    <c:v>Observation</c:v>
                  </c:pt>
                  <c:pt idx="18">
                    <c:v>Surgery</c:v>
                  </c:pt>
                  <c:pt idx="19">
                    <c:v>Therapy</c:v>
                  </c:pt>
                  <c:pt idx="20">
                    <c:v>Medication</c:v>
                  </c:pt>
                  <c:pt idx="21">
                    <c:v>Observation</c:v>
                  </c:pt>
                  <c:pt idx="22">
                    <c:v>Surgery</c:v>
                  </c:pt>
                  <c:pt idx="23">
                    <c:v>Therapy</c:v>
                  </c:pt>
                </c:lvl>
                <c:lvl>
                  <c:pt idx="0">
                    <c:v>Cardiology</c:v>
                  </c:pt>
                  <c:pt idx="4">
                    <c:v>Gastroenterology</c:v>
                  </c:pt>
                  <c:pt idx="8">
                    <c:v>Neurology</c:v>
                  </c:pt>
                  <c:pt idx="12">
                    <c:v>Oncology</c:v>
                  </c:pt>
                  <c:pt idx="16">
                    <c:v>Orthopedics</c:v>
                  </c:pt>
                  <c:pt idx="20">
                    <c:v>Pediatrics</c:v>
                  </c:pt>
                </c:lvl>
              </c:multiLvlStrCache>
            </c:multiLvlStrRef>
          </c:cat>
          <c:val>
            <c:numRef>
              <c:f>Pivots!$D$41:$D$71</c:f>
              <c:numCache>
                <c:formatCode>0.0</c:formatCode>
                <c:ptCount val="24"/>
                <c:pt idx="0">
                  <c:v>9083.599972283535</c:v>
                </c:pt>
                <c:pt idx="1">
                  <c:v>12666.279941558441</c:v>
                </c:pt>
                <c:pt idx="2">
                  <c:v>9282.5761125541121</c:v>
                </c:pt>
                <c:pt idx="3">
                  <c:v>4702.973609671647</c:v>
                </c:pt>
                <c:pt idx="4">
                  <c:v>8536.9050360472866</c:v>
                </c:pt>
                <c:pt idx="5">
                  <c:v>9272.9170892380425</c:v>
                </c:pt>
                <c:pt idx="6">
                  <c:v>6376.7236280319285</c:v>
                </c:pt>
                <c:pt idx="7">
                  <c:v>6982.6210727394091</c:v>
                </c:pt>
                <c:pt idx="8">
                  <c:v>13756.850140437991</c:v>
                </c:pt>
                <c:pt idx="9">
                  <c:v>8472.2281159725044</c:v>
                </c:pt>
                <c:pt idx="10">
                  <c:v>5032.2783556998556</c:v>
                </c:pt>
                <c:pt idx="11">
                  <c:v>7100.7490881737313</c:v>
                </c:pt>
                <c:pt idx="12">
                  <c:v>11406.118303841991</c:v>
                </c:pt>
                <c:pt idx="13">
                  <c:v>4220.9496152259098</c:v>
                </c:pt>
                <c:pt idx="14">
                  <c:v>8245.6006595410108</c:v>
                </c:pt>
                <c:pt idx="15">
                  <c:v>7300.8051802669552</c:v>
                </c:pt>
                <c:pt idx="16">
                  <c:v>9646.8926699023214</c:v>
                </c:pt>
                <c:pt idx="17">
                  <c:v>8469.6035939298799</c:v>
                </c:pt>
                <c:pt idx="18">
                  <c:v>27870.384070655269</c:v>
                </c:pt>
                <c:pt idx="19">
                  <c:v>14350.880326371858</c:v>
                </c:pt>
                <c:pt idx="20">
                  <c:v>10168.023944669912</c:v>
                </c:pt>
                <c:pt idx="21">
                  <c:v>6527.1318408581628</c:v>
                </c:pt>
                <c:pt idx="22">
                  <c:v>7454.7403377340652</c:v>
                </c:pt>
                <c:pt idx="23">
                  <c:v>17017.159272150075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C9C-4D8A-A98F-B7C2B364323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01301231"/>
        <c:axId val="1601330511"/>
      </c:lineChart>
      <c:catAx>
        <c:axId val="16013012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01330511"/>
        <c:crosses val="autoZero"/>
        <c:auto val="1"/>
        <c:lblAlgn val="ctr"/>
        <c:lblOffset val="100"/>
        <c:noMultiLvlLbl val="0"/>
      </c:catAx>
      <c:valAx>
        <c:axId val="16013305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0,00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0130123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>
      <a:effectLst/>
    </cs:defRPr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68000">
            <a:schemeClr val="lt1">
              <a:lumMod val="85000"/>
            </a:schemeClr>
          </a:gs>
          <a:gs pos="100000">
            <a:schemeClr val="lt1"/>
          </a:gs>
        </a:gsLst>
        <a:lin ang="5400000" scaled="1"/>
        <a:tileRect/>
      </a:gra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lt1"/>
    </cs:fontRef>
    <cs:spPr/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100000">
            <a:schemeClr val="phClr">
              <a:lumMod val="84000"/>
            </a:schemeClr>
          </a:gs>
        </a:gsLst>
        <a:lin ang="5400000" scaled="1"/>
      </a:gradFill>
      <a:effectLst>
        <a:outerShdw blurRad="76200" dir="18900000" sy="23000" kx="-1200000" algn="bl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100000">
            <a:schemeClr val="phClr">
              <a:lumMod val="84000"/>
            </a:schemeClr>
          </a:gs>
        </a:gsLst>
        <a:lin ang="5400000" scaled="1"/>
      </a:gradFill>
      <a:effectLst>
        <a:outerShdw blurRad="76200" dir="18900000" sy="23000" kx="-1200000" algn="bl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gradFill>
          <a:gsLst>
            <a:gs pos="0">
              <a:schemeClr val="phClr"/>
            </a:gs>
            <a:gs pos="100000">
              <a:schemeClr val="phClr">
                <a:lumMod val="84000"/>
              </a:schemeClr>
            </a:gs>
          </a:gsLst>
          <a:lin ang="5400000" scaled="1"/>
        </a:gra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100000">
            <a:schemeClr val="phClr">
              <a:lumMod val="84000"/>
            </a:schemeClr>
          </a:gs>
        </a:gsLst>
        <a:lin ang="5400000" scaled="1"/>
      </a:gradFill>
      <a:effectLst>
        <a:outerShdw blurRad="76200" dir="18900000" sy="23000" kx="-1200000" algn="bl" rotWithShape="0">
          <a:prstClr val="black">
            <a:alpha val="20000"/>
          </a:prstClr>
        </a:outerShdw>
      </a:effectLst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kern="1200">
      <a:effectLst/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dk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328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gradFill>
        <a:gsLst>
          <a:gs pos="100000">
            <a:schemeClr val="dk1">
              <a:lumMod val="95000"/>
              <a:lumOff val="5000"/>
            </a:schemeClr>
          </a:gs>
          <a:gs pos="0">
            <a:schemeClr val="dk1">
              <a:lumMod val="75000"/>
              <a:lumOff val="25000"/>
            </a:schemeClr>
          </a:gs>
        </a:gsLst>
        <a:path path="circle">
          <a:fillToRect l="50000" t="50000" r="50000" b="50000"/>
        </a:path>
      </a:gradFill>
      <a:ln w="9525">
        <a:solidFill>
          <a:schemeClr val="dk1">
            <a:lumMod val="75000"/>
            <a:lumOff val="2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/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/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gradFill>
        <a:gsLst>
          <a:gs pos="100000">
            <a:schemeClr val="lt1">
              <a:lumMod val="85000"/>
            </a:schemeClr>
          </a:gs>
          <a:gs pos="0">
            <a:schemeClr val="lt1"/>
          </a:gs>
        </a:gsLst>
        <a:path path="circle">
          <a:fillToRect l="50000" t="50000" r="50000" b="50000"/>
        </a:path>
      </a:gradFill>
      <a:ln w="9525" cap="flat" cmpd="sng" algn="ctr">
        <a:solidFill>
          <a:schemeClr val="lt1"/>
        </a:solidFill>
        <a:round/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304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22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2d712e-df8f-473e-a1ab-870c546fb84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6126B2A51622488D8D6ACB02FA6AB1" ma:contentTypeVersion="11" ma:contentTypeDescription="Create a new document." ma:contentTypeScope="" ma:versionID="c7cc00082557d10eb6bceef6f8d07900">
  <xsd:schema xmlns:xsd="http://www.w3.org/2001/XMLSchema" xmlns:xs="http://www.w3.org/2001/XMLSchema" xmlns:p="http://schemas.microsoft.com/office/2006/metadata/properties" xmlns:ns3="562d712e-df8f-473e-a1ab-870c546fb84d" targetNamespace="http://schemas.microsoft.com/office/2006/metadata/properties" ma:root="true" ma:fieldsID="1208def4f2354e46d4dfae8e02f5460e" ns3:_="">
    <xsd:import namespace="562d712e-df8f-473e-a1ab-870c546fb84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2d712e-df8f-473e-a1ab-870c546fb84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004913-1F50-49E8-A34C-9805BC5113E2}">
  <ds:schemaRefs>
    <ds:schemaRef ds:uri="http://schemas.microsoft.com/office/2006/metadata/properties"/>
    <ds:schemaRef ds:uri="http://schemas.microsoft.com/office/infopath/2007/PartnerControls"/>
    <ds:schemaRef ds:uri="562d712e-df8f-473e-a1ab-870c546fb84d"/>
  </ds:schemaRefs>
</ds:datastoreItem>
</file>

<file path=customXml/itemProps2.xml><?xml version="1.0" encoding="utf-8"?>
<ds:datastoreItem xmlns:ds="http://schemas.openxmlformats.org/officeDocument/2006/customXml" ds:itemID="{7F421D4A-C94A-4534-A04E-A51348F8A5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FB47DD-1FFF-457C-A686-06CE0917EEC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2317AD1-D582-4124-95C0-D9285DD415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2d712e-df8f-473e-a1ab-870c546fb8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10</Pages>
  <Words>1539</Words>
  <Characters>10082</Characters>
  <Application>Microsoft Office Word</Application>
  <DocSecurity>0</DocSecurity>
  <Lines>373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Sugandhi</dc:creator>
  <cp:keywords/>
  <dc:description/>
  <cp:lastModifiedBy>Shreyas Sugandhi</cp:lastModifiedBy>
  <cp:revision>50</cp:revision>
  <dcterms:created xsi:type="dcterms:W3CDTF">2026-03-02T23:17:00Z</dcterms:created>
  <dcterms:modified xsi:type="dcterms:W3CDTF">2026-03-25T18:35:00Z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0x010100896126B2A51622488D8D6ACB02FA6AB1</vt:lpwstr>
  </property>
</Properties>
</file>