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58"/>
      </w:tblGrid>
      <w:tr>
        <w:tc>
          <w:tcPr>
            <w:tcW w:type="dxa" w:w="9936"/>
            <w:shd w:val="clear" w:fill="0D366B"/>
          </w:tcPr>
          <w:p>
            <w:pPr>
              <w:spacing w:before="520"/>
            </w:pPr>
            <w:r/>
            <w:r>
              <w:rPr>
                <w:rFonts w:ascii="Segoe UI Semibold" w:hAnsi="Segoe UI Semibold"/>
                <w:b/>
                <w:color w:val="CADCFC"/>
                <w:sz w:val="26"/>
              </w:rPr>
              <w:t>LEVISOL INDIA</w:t>
            </w:r>
          </w:p>
          <w:p>
            <w:pPr>
              <w:spacing w:before="40"/>
            </w:pPr>
            <w:r>
              <w:rPr>
                <w:rFonts w:ascii="Segoe UI Semibold" w:hAnsi="Segoe UI Semibold"/>
                <w:b/>
                <w:color w:val="FFFFFF"/>
                <w:sz w:val="54"/>
              </w:rPr>
              <w:t>Balancing Act — Production, Distribution</w:t>
            </w:r>
          </w:p>
          <w:p>
            <w:r>
              <w:rPr>
                <w:rFonts w:ascii="Segoe UI Semibold" w:hAnsi="Segoe UI Semibold"/>
                <w:b/>
                <w:color w:val="FFFFFF"/>
                <w:sz w:val="54"/>
              </w:rPr>
              <w:t>&amp; Inventory Optimisation</w:t>
            </w:r>
          </w:p>
          <w:p>
            <w:pPr>
              <w:spacing w:before="160"/>
            </w:pPr>
            <w:r>
              <w:rPr>
                <w:rFonts w:ascii="Segoe UI" w:hAnsi="Segoe UI"/>
                <w:color w:val="CADCFC"/>
                <w:sz w:val="23"/>
              </w:rPr>
              <w:t>Supply Chain Transformation Taskforce  ·  January-2026 Planning Cycle</w:t>
            </w:r>
          </w:p>
          <w:p>
            <w:pPr>
              <w:spacing w:after="480"/>
            </w:pPr>
            <w:r>
              <w:rPr>
                <w:rFonts w:ascii="Segoe UI" w:hAnsi="Segoe UI"/>
                <w:color w:val="9EC5F4"/>
                <w:sz w:val="20"/>
              </w:rPr>
              <w:t>Project 2  ·  Final Report  ·  July 2026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64"/>
        <w:gridCol w:w="2364"/>
        <w:gridCol w:w="2364"/>
        <w:gridCol w:w="2364"/>
      </w:tblGrid>
      <w:tr>
        <w:tc>
          <w:tcPr>
            <w:tcW w:type="dxa" w:w="2477"/>
            <w:shd w:val="clear" w:fill="E8F0FB"/>
          </w:tcPr>
          <w:p>
            <w:pPr>
              <w:spacing w:after="40" w:before="40"/>
              <w:jc w:val="center"/>
            </w:pPr>
            <w:r/>
            <w:r>
              <w:rPr>
                <w:rFonts w:ascii="Segoe UI Semibold" w:hAnsi="Segoe UI Semibold"/>
                <w:b/>
                <w:color w:val="0D366B"/>
                <w:sz w:val="34"/>
              </w:rPr>
              <w:t>₹11.44 cr</w:t>
            </w:r>
          </w:p>
        </w:tc>
        <w:tc>
          <w:tcPr>
            <w:tcW w:type="dxa" w:w="2477"/>
            <w:shd w:val="clear" w:fill="E2F4EA"/>
          </w:tcPr>
          <w:p>
            <w:pPr>
              <w:spacing w:after="40" w:before="40"/>
              <w:jc w:val="center"/>
            </w:pPr>
            <w:r/>
            <w:r>
              <w:rPr>
                <w:rFonts w:ascii="Segoe UI Semibold" w:hAnsi="Segoe UI Semibold"/>
                <w:b/>
                <w:color w:val="006300"/>
                <w:sz w:val="34"/>
              </w:rPr>
              <w:t>0 kL</w:t>
            </w:r>
          </w:p>
        </w:tc>
        <w:tc>
          <w:tcPr>
            <w:tcW w:type="dxa" w:w="2477"/>
            <w:shd w:val="clear" w:fill="E8F0FB"/>
          </w:tcPr>
          <w:p>
            <w:pPr>
              <w:spacing w:after="40" w:before="40"/>
              <w:jc w:val="center"/>
            </w:pPr>
            <w:r/>
            <w:r>
              <w:rPr>
                <w:rFonts w:ascii="Segoe UI Semibold" w:hAnsi="Segoe UI Semibold"/>
                <w:b/>
                <w:color w:val="0D366B"/>
                <w:sz w:val="34"/>
              </w:rPr>
              <w:t>−56%</w:t>
            </w:r>
          </w:p>
        </w:tc>
        <w:tc>
          <w:tcPr>
            <w:tcW w:type="dxa" w:w="2477"/>
            <w:shd w:val="clear" w:fill="E2F4EA"/>
          </w:tcPr>
          <w:p>
            <w:pPr>
              <w:spacing w:after="40" w:before="40"/>
              <w:jc w:val="center"/>
            </w:pPr>
            <w:r/>
            <w:r>
              <w:rPr>
                <w:rFonts w:ascii="Segoe UI Semibold" w:hAnsi="Segoe UI Semibold"/>
                <w:b/>
                <w:color w:val="006300"/>
                <w:sz w:val="34"/>
              </w:rPr>
              <w:t>Gap 0.0</w:t>
            </w:r>
          </w:p>
        </w:tc>
      </w:tr>
      <w:tr>
        <w:tc>
          <w:tcPr>
            <w:tcW w:type="dxa" w:w="2477"/>
            <w:shd w:val="clear" w:fill="E8F0FB"/>
          </w:tcPr>
          <w:p>
            <w:pPr>
              <w:spacing w:after="40" w:before="40"/>
              <w:jc w:val="center"/>
            </w:pPr>
            <w:r/>
            <w:r>
              <w:rPr>
                <w:rFonts w:ascii="Segoe UI" w:hAnsi="Segoe UI"/>
                <w:b w:val="0"/>
                <w:color w:val="52514E"/>
                <w:sz w:val="16"/>
              </w:rPr>
              <w:t>total cash cost of the January plan</w:t>
            </w:r>
          </w:p>
        </w:tc>
        <w:tc>
          <w:tcPr>
            <w:tcW w:type="dxa" w:w="2477"/>
            <w:shd w:val="clear" w:fill="E2F4EA"/>
          </w:tcPr>
          <w:p>
            <w:pPr>
              <w:spacing w:after="40" w:before="40"/>
              <w:jc w:val="center"/>
            </w:pPr>
            <w:r/>
            <w:r>
              <w:rPr>
                <w:rFonts w:ascii="Segoe UI" w:hAnsi="Segoe UI"/>
                <w:b w:val="0"/>
                <w:color w:val="52514E"/>
                <w:sz w:val="16"/>
              </w:rPr>
              <w:t>demand unmet — 100% service</w:t>
            </w:r>
          </w:p>
        </w:tc>
        <w:tc>
          <w:tcPr>
            <w:tcW w:type="dxa" w:w="2477"/>
            <w:shd w:val="clear" w:fill="E8F0FB"/>
          </w:tcPr>
          <w:p>
            <w:pPr>
              <w:spacing w:after="40" w:before="40"/>
              <w:jc w:val="center"/>
            </w:pPr>
            <w:r/>
            <w:r>
              <w:rPr>
                <w:rFonts w:ascii="Segoe UI" w:hAnsi="Segoe UI"/>
                <w:b w:val="0"/>
                <w:color w:val="52514E"/>
                <w:sz w:val="16"/>
              </w:rPr>
              <w:t>CFA safety stock released vs legacy read</w:t>
            </w:r>
          </w:p>
        </w:tc>
        <w:tc>
          <w:tcPr>
            <w:tcW w:type="dxa" w:w="2477"/>
            <w:shd w:val="clear" w:fill="E2F4EA"/>
          </w:tcPr>
          <w:p>
            <w:pPr>
              <w:spacing w:after="40" w:before="40"/>
              <w:jc w:val="center"/>
            </w:pPr>
            <w:r/>
            <w:r>
              <w:rPr>
                <w:rFonts w:ascii="Segoe UI" w:hAnsi="Segoe UI"/>
                <w:b w:val="0"/>
                <w:color w:val="52514E"/>
                <w:sz w:val="16"/>
              </w:rPr>
              <w:t>proven-optimal MILP solution</w:t>
            </w:r>
          </w:p>
        </w:tc>
      </w:tr>
    </w:tbl>
    <w:p/>
    <w:p>
      <w:pPr>
        <w:spacing w:after="140"/>
      </w:pPr>
      <w:r>
        <w:rPr>
          <w:rFonts w:ascii="Segoe UI" w:hAnsi="Segoe UI"/>
          <w:b w:val="0"/>
          <w:i w:val="0"/>
          <w:color w:val="52514E"/>
          <w:sz w:val="21"/>
        </w:rPr>
        <w:t>This report presents the complete, verified solution to the Levisol supply-chain case: redesigned inventory norms for all 957 SKU × CFA combinations and both mother hubs, a provably cost-optimal production &amp; distribution plan for January 2026, and a reusable planning tool a non-technical planner can run every month. Every number in this document is traceable to the case data workbook and was verified by independent recomputation.</w:t>
      </w:r>
    </w:p>
    <w:p>
      <w:pPr>
        <w:spacing w:after="80"/>
      </w:pPr>
      <w:r>
        <w:rPr>
          <w:rFonts w:ascii="Segoe UI" w:hAnsi="Segoe UI"/>
          <w:b/>
          <w:i w:val="0"/>
          <w:color w:val="0D366B"/>
          <w:sz w:val="26"/>
        </w:rPr>
        <w:t>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53"/>
        <w:gridCol w:w="3153"/>
        <w:gridCol w:w="3153"/>
      </w:tblGrid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1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Executive summary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2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2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The case &amp; the data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3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3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Inventory norms — methodology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4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4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Inventory norms — results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6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5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The optimisation model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8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6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Production plan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9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7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Distribution plan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10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8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Cost of the plan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11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9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Validation &amp; verification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12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10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Robustness — assessment-day scenarios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13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11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The planning tool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14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2A78D6"/>
                <w:sz w:val="20"/>
              </w:rPr>
              <w:t>12</w:t>
            </w:r>
          </w:p>
        </w:tc>
        <w:tc>
          <w:tcPr>
            <w:tcW w:type="dxa" w:w="80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20"/>
              </w:rPr>
              <w:t>Assumptions, limitations &amp; recommendations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898781"/>
                <w:sz w:val="20"/>
              </w:rPr>
              <w:t>15</w:t>
            </w:r>
          </w:p>
        </w:tc>
      </w:tr>
    </w:tbl>
    <w:p>
      <w:r>
        <w:br w:type="page"/>
      </w:r>
    </w:p>
    <w:p>
      <w:pPr>
        <w:pStyle w:val="Heading1"/>
      </w:pPr>
      <w:r>
        <w:t>1 · Executive summary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2"/>
        </w:rPr>
        <w:t>Levisol can serve every litre of January-2026 demand at a total cash cost of ₹114,411,784 — while cutting CFA safety-stock norms by 56% against the legacy conservative reading. The case's dual mandate, “protect service on critical SKUs while rapidly releasing cash,” is delivered simultaneously, not traded off.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18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st_break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The three decisions in one view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Inventory norms.  </w:t>
      </w:r>
      <w:r>
        <w:rPr>
          <w:rFonts w:ascii="Segoe UI" w:hAnsi="Segoe UI"/>
          <w:sz w:val="20"/>
        </w:rPr>
        <w:t>CFA safety stock of 1,465 kL (median cover: 6 days) and hub safety stock of 1,488 kL at a 98% service level. Tier A/B products keep deliberately conservative buffers; tier C/D are sized to their exact 92% fill-rate targets.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Production &amp; routing.  </w:t>
      </w:r>
      <w:r>
        <w:rPr>
          <w:rFonts w:ascii="Segoe UI" w:hAnsi="Segoe UI"/>
          <w:sz w:val="20"/>
        </w:rPr>
        <w:t>7,725 kL in 309 exact 25-kL batches — KOL (cheapest, ₹9,000/kL) runs 100% full, BOM's cheap lanes saturate, AHM swings. Proven-optimal: no cheaper feasible plan exists (MILP gap 0.0, independently cross-checked).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Zero lost sales.  </w:t>
      </w:r>
      <w:r>
        <w:rPr>
          <w:rFonts w:ascii="Segoe UI" w:hAnsi="Segoe UI"/>
          <w:sz w:val="20"/>
        </w:rPr>
        <w:t>All 8,109.7 kL of forecast demand is served; the penalty line is ₹0. Only 99.6 kL of precautionary buffer top-ups (≈1.2%) are deliberately left unfilled where a nearly-empty 25 kL batch would cost more than the risk it removes.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58"/>
      </w:tblGrid>
      <w:tr>
        <w:tc>
          <w:tcPr>
            <w:tcW w:type="dxa" w:w="9792"/>
            <w:shd w:val="clear" w:fill="E8F0FB"/>
            <w:tcBorders>
              <w:left w:val="single" w:sz="24" w:color="2A78D6"/>
            </w:tcBorders>
          </w:tcPr>
          <w:p>
            <w:pPr>
              <w:spacing w:before="80" w:after="80"/>
            </w:pPr>
            <w:r/>
            <w:r>
              <w:rPr>
                <w:rFonts w:ascii="Segoe UI Semibold" w:hAnsi="Segoe UI Semibold"/>
                <w:b/>
                <w:color w:val="0D366B"/>
                <w:sz w:val="20"/>
              </w:rPr>
              <w:t xml:space="preserve">KEY INSIGHT  </w:t>
            </w:r>
            <w:r>
              <w:rPr>
                <w:rFonts w:ascii="Segoe UI" w:hAnsi="Segoe UI"/>
                <w:color w:val="0B0B0B"/>
                <w:sz w:val="19"/>
              </w:rPr>
              <w:t>The single biggest cash finding: 211 of 957 SKU–CFA forecasts carry systematic bias. The redesigned norms stop warehousing forecast errors as safety stock — they flag them for demand-planning correction instead.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Segoe UI" w:hAnsi="Segoe UI"/>
          <w:b w:val="0"/>
          <w:i/>
          <w:color w:val="52514E"/>
          <w:sz w:val="19"/>
        </w:rPr>
        <w:t>Deliverables: this report; Levisol_Plan_Output.xlsx (all plan &amp; norms tables); the working planning tool (Levisol_Planning_Tool.py + engine) with user guide; the methodology &amp; assumptions document; and the presentation deck.</w:t>
      </w:r>
    </w:p>
    <w:p>
      <w:r>
        <w:br w:type="page"/>
      </w:r>
    </w:p>
    <w:p>
      <w:pPr>
        <w:pStyle w:val="Heading1"/>
      </w:pPr>
      <w:r>
        <w:t>2 · The case &amp; the data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1"/>
        </w:rPr>
        <w:t>Levisol manufactures 100 lubricant SKUs at three plants, buffers them at two mother hubs, and distributes through ten CFA warehouses. A base-oil shock has made the old inventory norms unsafe to trust: leadership needs redesigned norms, a least-cost January plan, and a tool that survives changed inputs on assessment day.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309360" cy="39677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etwork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67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98781"/>
          <w:sz w:val="17"/>
        </w:rPr>
        <w:t>Figure 2.1 — January-2026 optimal flows across the 3-tier network (ribbon width = volume)</w:t>
      </w:r>
    </w:p>
    <w:p>
      <w:pPr>
        <w:pStyle w:val="Heading2"/>
      </w:pPr>
      <w:r>
        <w:t>What the data workbook contains (all 11 sheets read in full)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3153"/>
        <w:gridCol w:w="3153"/>
        <w:gridCol w:w="3153"/>
      </w:tblGrid>
      <w:tr>
        <w:tc>
          <w:tcPr>
            <w:tcW w:type="dxa" w:w="1008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Exhibit</w:t>
            </w:r>
          </w:p>
        </w:tc>
        <w:tc>
          <w:tcPr>
            <w:tcW w:type="dxa" w:w="4176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4608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Role in the solution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A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Plant line capacities &amp; production cost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Hard constraints; ₹12,000 / 12,500 / 9,000 per kL</w:t>
            </w:r>
          </w:p>
        </w:tc>
      </w:tr>
      <w:tr>
        <w:tc>
          <w:tcPr>
            <w:tcW w:type="dxa" w:w="10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B · C</w:t>
            </w:r>
          </w:p>
        </w:tc>
        <w:tc>
          <w:tcPr>
            <w:tcW w:type="dxa" w:w="417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Freight rates plant→hub, hub→CFA</w:t>
            </w:r>
          </w:p>
        </w:tc>
        <w:tc>
          <w:tcPr>
            <w:tcW w:type="dxa" w:w="46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Objective cost coefficients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D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100 SKUs: pack, penalty ₹/kL, contractual flag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Line mapping; shortage prioritisation</w:t>
            </w:r>
          </w:p>
        </w:tc>
      </w:tr>
      <w:tr>
        <w:tc>
          <w:tcPr>
            <w:tcW w:type="dxa" w:w="10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E</w:t>
            </w:r>
          </w:p>
        </w:tc>
        <w:tc>
          <w:tcPr>
            <w:tcW w:type="dxa" w:w="417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Source + lead times &amp; variability (957 rows)</w:t>
            </w:r>
          </w:p>
        </w:tc>
        <w:tc>
          <w:tcPr>
            <w:tcW w:type="dxa" w:w="46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Norm lead times; hub assignment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F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Tier fill-rate targets &amp; volume slabs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Service levels: A 98 · B 97 · C/D 92%</w:t>
            </w:r>
          </w:p>
        </w:tc>
      </w:tr>
      <w:tr>
        <w:tc>
          <w:tcPr>
            <w:tcW w:type="dxa" w:w="10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G · H</w:t>
            </w:r>
          </w:p>
        </w:tc>
        <w:tc>
          <w:tcPr>
            <w:tcW w:type="dxa" w:w="417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6-month sales &amp; forecast history</w:t>
            </w:r>
          </w:p>
        </w:tc>
        <w:tc>
          <w:tcPr>
            <w:tcW w:type="dxa" w:w="46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Demand levels, tiers, forecast-error σ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I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Opening inventory (CFA + hub rows)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Net requirements</w:t>
            </w:r>
          </w:p>
        </w:tc>
      </w:tr>
      <w:tr>
        <w:tc>
          <w:tcPr>
            <w:tcW w:type="dxa" w:w="10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J</w:t>
            </w:r>
          </w:p>
        </w:tc>
        <w:tc>
          <w:tcPr>
            <w:tcW w:type="dxa" w:w="417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January-2026 forecast (8,109.7 kL)</w:t>
            </w:r>
          </w:p>
        </w:tc>
        <w:tc>
          <w:tcPr>
            <w:tcW w:type="dxa" w:w="46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Planning demand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58"/>
      </w:tblGrid>
      <w:tr>
        <w:tc>
          <w:tcPr>
            <w:tcW w:type="dxa" w:w="9792"/>
            <w:shd w:val="clear" w:fill="FDF1D7"/>
            <w:tcBorders>
              <w:left w:val="single" w:sz="24" w:color="B47A00"/>
            </w:tcBorders>
          </w:tcPr>
          <w:p>
            <w:pPr>
              <w:spacing w:before="80" w:after="80"/>
            </w:pPr>
            <w:r/>
            <w:r>
              <w:rPr>
                <w:rFonts w:ascii="Segoe UI Semibold" w:hAnsi="Segoe UI Semibold"/>
                <w:b/>
                <w:color w:val="B47A00"/>
                <w:sz w:val="20"/>
              </w:rPr>
              <w:t xml:space="preserve">DATA DISCREPANCY RESOLVED  </w:t>
            </w:r>
            <w:r>
              <w:rPr>
                <w:rFonts w:ascii="Segoe UI" w:hAnsi="Segoe UI"/>
                <w:color w:val="0B0B0B"/>
                <w:sz w:val="19"/>
              </w:rPr>
              <w:t>The case PDF's Exhibit A is garbled by its layout (it reads as if KOL produced at ₹200/kL). Per the case rule, the machine-readable workbook takes precedence — the clean table (BOM ₹12,000 · AHM ₹12,500 · KOL ₹9,000 per kL) is used throughout. Data quality: 2 tiny negative sales cells (returns, kept); 16 rows with zero 6-month sales (norms suppressed &amp; flagged); AHM's 220 kL 50-LT line is not a 25 kL multiple (usable: 200 kL).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 · Inventory norms — methodology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1"/>
        </w:rPr>
        <w:t>Norms answer two questions per SKU per location: when to reorder (ROP) and how much buffer to hold (safety stock). Three methodology choices — each verified and each quantified — separate this design from a textbook default:</w:t>
      </w:r>
    </w:p>
    <w:p>
      <w:pPr>
        <w:pStyle w:val="Heading2"/>
      </w:pPr>
      <w:r>
        <w:t>3.1  Buffer the randomness, flag the bias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1"/>
        </w:rPr>
        <w:t>Replenishment is planned against forecasts, so the risk that safety stock must absorb is forecast error. But only its RANDOM part: systematic bias is a demand-planning defect to fix, not to warehouse. Sizing stock on raw error (RMSE) would give one 8-litre-a-month SKU a 5.4 kL buffer — 56 years of cover. We use the bias-removed standard deviation of forecast errors and flag 211 biased rows for review.</w:t>
      </w:r>
    </w:p>
    <w:p>
      <w:pPr>
        <w:pStyle w:val="Heading2"/>
      </w:pPr>
      <w:r>
        <w:t>3.2  Each supply step buffered exactly once (multi-echelon)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1"/>
        </w:rPr>
        <w:t>Hubs hold their own 98% buffers by case design, so the hub is the decoupling point: CFA norms cover the hub→CFA leg (1–9 days); hub norms cover production + plant→hub transit. Sizing CFA stock end-to-end while also holding hub stock would double-buffer the upstream legs — worth +981 kL of trapped cash.</w:t>
      </w:r>
    </w:p>
    <w:p>
      <w:pPr>
        <w:pStyle w:val="Heading2"/>
      </w:pPr>
      <w:r>
        <w:t>3.3  A tiered translation of fill-rate targets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1"/>
        </w:rPr>
        <w:t>Exhibit F leaves the fill-rate→stock conversion to us. Tiers A/B (49 SKUs, 80% of volume) get the conservative cycle-service-level reading (z = 2.054 / 1.881) — flagship service is protected through the base-oil shock. Tiers C/D get the exact fill-rate translation via the normal loss function G(z) = (1−β)·Q/σ — monthly cycle stock already achieves most of a 92% target, so nearly all C/D buffer is released.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309360" cy="3112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thodolog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2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98781"/>
          <w:sz w:val="17"/>
        </w:rPr>
        <w:t>Figure 3.1 — The planning system: inputs → norms → optimisation → outputs, refreshed monthly</w:t>
      </w:r>
    </w:p>
    <w:p>
      <w:pPr>
        <w:pStyle w:val="Heading2"/>
      </w:pPr>
      <w:r>
        <w:t>3.4  The formulas (both demand and lead-time variability enter every norm)</w:t>
      </w:r>
    </w:p>
    <w:p>
      <w:pPr>
        <w:spacing w:after="40"/>
        <w:ind w:left="648"/>
      </w:pPr>
      <w:r>
        <w:rPr>
          <w:rFonts w:ascii="Consolas" w:hAnsi="Consolas"/>
          <w:b/>
          <w:color w:val="0D366B"/>
          <w:sz w:val="21"/>
        </w:rPr>
        <w:t>SS  =  z × √( LT·σd² + μd²·σLT² )</w:t>
      </w:r>
    </w:p>
    <w:p>
      <w:pPr>
        <w:spacing w:after="40"/>
        <w:ind w:left="648"/>
      </w:pPr>
      <w:r>
        <w:rPr>
          <w:rFonts w:ascii="Consolas" w:hAnsi="Consolas"/>
          <w:b/>
          <w:color w:val="0D366B"/>
          <w:sz w:val="21"/>
        </w:rPr>
        <w:t>ROP  =  μd × LT  +  SS</w:t>
      </w:r>
    </w:p>
    <w:p>
      <w:pPr>
        <w:spacing w:after="40"/>
        <w:ind w:left="648"/>
      </w:pPr>
      <w:r>
        <w:rPr>
          <w:rFonts w:ascii="Consolas" w:hAnsi="Consolas"/>
          <w:b/>
          <w:color w:val="0D366B"/>
          <w:sz w:val="21"/>
        </w:rPr>
        <w:t>DOC  =  ROP ÷ μd      (days of average last-6-months demand)</w:t>
      </w:r>
    </w:p>
    <w:p>
      <w:pPr>
        <w:spacing w:after="140"/>
      </w:pPr>
      <w:r>
        <w:rPr>
          <w:rFonts w:ascii="Segoe UI" w:hAnsi="Segoe UI"/>
          <w:b w:val="0"/>
          <w:i w:val="0"/>
          <w:color w:val="52514E"/>
          <w:sz w:val="19"/>
        </w:rPr>
        <w:t>μd = mean monthly sales ÷ 30 working days;  σd = std-dev of debiased forecast errors ÷ √30;  LT and σLT from Exhibit E (historical source predefined). Hub demand pools the CFA rows each hub serves — variances add because the case instructs CFA independence — so risk pooling keeps hub buffers small.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637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ier_par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63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98781"/>
          <w:sz w:val="17"/>
        </w:rPr>
        <w:t>Figure 3.2 — Exhibit F volume slabs classify 100 SKUs into tiers A(15) B(34) C(33) D(18)</w:t>
      </w:r>
    </w:p>
    <w:p>
      <w:r>
        <w:br w:type="page"/>
      </w:r>
    </w:p>
    <w:p>
      <w:pPr>
        <w:pStyle w:val="Heading1"/>
      </w:pPr>
      <w:r>
        <w:t>4 · Inventory norms — results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91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s_varia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98781"/>
          <w:sz w:val="17"/>
        </w:rPr>
        <w:t>Figure 4.1 — Each methodology fix, quantified. The recommended norm releases 1,839 kL (−56%)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712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s_by_t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98781"/>
          <w:sz w:val="17"/>
        </w:rPr>
        <w:t>Figure 4.2 — A/B keep protection; C/D sized to their exact fill-rate targets</w:t>
      </w:r>
    </w:p>
    <w:p>
      <w:pPr>
        <w:pStyle w:val="Heading2"/>
      </w:pPr>
      <w:r>
        <w:t>Norm totals (full 957-row and 151-row tables in Levisol_Plan_Output.xlsx)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2364"/>
        <w:gridCol w:w="2364"/>
        <w:gridCol w:w="2364"/>
        <w:gridCol w:w="2364"/>
      </w:tblGrid>
      <w:tr>
        <w:tc>
          <w:tcPr>
            <w:tcW w:type="dxa" w:w="3600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2088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Safety stock (kL)</w:t>
            </w:r>
          </w:p>
        </w:tc>
        <w:tc>
          <w:tcPr>
            <w:tcW w:type="dxa" w:w="2160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Reorder point (kL)</w:t>
            </w:r>
          </w:p>
        </w:tc>
        <w:tc>
          <w:tcPr>
            <w:tcW w:type="dxa" w:w="2880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Service basis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CFA network total (957 rows)</w:t>
            </w:r>
          </w:p>
        </w:tc>
        <w:tc>
          <w:tcPr>
            <w:tcW w:type="dxa" w:w="208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1,465.1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2,442.0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tier fill rates 98/97/92/92%</w:t>
            </w:r>
          </w:p>
        </w:tc>
      </w:tr>
      <w:tr>
        <w:tc>
          <w:tcPr>
            <w:tcW w:type="dxa" w:w="3600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— Tier A (15 SKUs)</w:t>
            </w:r>
          </w:p>
        </w:tc>
        <w:tc>
          <w:tcPr>
            <w:tcW w:type="dxa" w:w="208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811.3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—</w:t>
            </w:r>
          </w:p>
        </w:tc>
        <w:tc>
          <w:tcPr>
            <w:tcW w:type="dxa" w:w="288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CSL z = 2.054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— Tier B (34 SKUs)</w:t>
            </w:r>
          </w:p>
        </w:tc>
        <w:tc>
          <w:tcPr>
            <w:tcW w:type="dxa" w:w="208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621.5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CSL z = 1.881</w:t>
            </w:r>
          </w:p>
        </w:tc>
      </w:tr>
      <w:tr>
        <w:tc>
          <w:tcPr>
            <w:tcW w:type="dxa" w:w="3600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— Tier C (33 SKUs)</w:t>
            </w:r>
          </w:p>
        </w:tc>
        <w:tc>
          <w:tcPr>
            <w:tcW w:type="dxa" w:w="208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22.1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—</w:t>
            </w:r>
          </w:p>
        </w:tc>
        <w:tc>
          <w:tcPr>
            <w:tcW w:type="dxa" w:w="288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exact fill-rate (loss function)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— Tier D (18 SKUs)</w:t>
            </w:r>
          </w:p>
        </w:tc>
        <w:tc>
          <w:tcPr>
            <w:tcW w:type="dxa" w:w="208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10.2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exact fill-rate (loss function)</w:t>
            </w:r>
          </w:p>
        </w:tc>
      </w:tr>
      <w:tr>
        <w:tc>
          <w:tcPr>
            <w:tcW w:type="dxa" w:w="3600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Mother Hub West (100 SKUs)</w:t>
            </w:r>
          </w:p>
        </w:tc>
        <w:tc>
          <w:tcPr>
            <w:tcW w:type="dxa" w:w="208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1,156.2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2,718.5</w:t>
            </w:r>
          </w:p>
        </w:tc>
        <w:tc>
          <w:tcPr>
            <w:tcW w:type="dxa" w:w="288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98% SL, z = 2.054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Mother Hub East (51 SKUs)</w:t>
            </w:r>
          </w:p>
        </w:tc>
        <w:tc>
          <w:tcPr>
            <w:tcW w:type="dxa" w:w="208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332.0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737.8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98% SL, z = 2.054</w:t>
            </w:r>
          </w:p>
        </w:tc>
      </w:tr>
    </w:tbl>
    <w:p>
      <w:pPr>
        <w:spacing w:after="40"/>
      </w:pPr>
    </w:p>
    <w:p>
      <w:pPr>
        <w:pStyle w:val="Heading2"/>
      </w:pPr>
      <w:r>
        <w:t>Worked example — SKU_001 (Tier A, 20 × 900 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3168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CFA</w:t>
            </w:r>
          </w:p>
        </w:tc>
        <w:tc>
          <w:tcPr>
            <w:tcW w:type="dxa" w:w="1728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LT (days)</w:t>
            </w:r>
          </w:p>
        </w:tc>
        <w:tc>
          <w:tcPr>
            <w:tcW w:type="dxa" w:w="2304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Safety stock (kL)</w:t>
            </w:r>
          </w:p>
        </w:tc>
        <w:tc>
          <w:tcPr>
            <w:tcW w:type="dxa" w:w="1728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ROP (kL)</w:t>
            </w:r>
          </w:p>
        </w:tc>
        <w:tc>
          <w:tcPr>
            <w:tcW w:type="dxa" w:w="2016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Days of cover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Kolkata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9.74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13.94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3.3</w:t>
            </w:r>
          </w:p>
        </w:tc>
      </w:tr>
      <w:tr>
        <w:tc>
          <w:tcPr>
            <w:tcW w:type="dxa" w:w="316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Kanpur</w:t>
            </w:r>
          </w:p>
        </w:tc>
        <w:tc>
          <w:tcPr>
            <w:tcW w:type="dxa" w:w="172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4</w:t>
            </w:r>
          </w:p>
        </w:tc>
        <w:tc>
          <w:tcPr>
            <w:tcW w:type="dxa" w:w="230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55.94</w:t>
            </w:r>
          </w:p>
        </w:tc>
        <w:tc>
          <w:tcPr>
            <w:tcW w:type="dxa" w:w="172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102.80</w:t>
            </w:r>
          </w:p>
        </w:tc>
        <w:tc>
          <w:tcPr>
            <w:tcW w:type="dxa" w:w="2016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8.8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Haryana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4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37.42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69.63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8.6</w:t>
            </w:r>
          </w:p>
        </w:tc>
      </w:tr>
      <w:tr>
        <w:tc>
          <w:tcPr>
            <w:tcW w:type="dxa" w:w="316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Bhiwandi</w:t>
            </w:r>
          </w:p>
        </w:tc>
        <w:tc>
          <w:tcPr>
            <w:tcW w:type="dxa" w:w="172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</w:t>
            </w:r>
          </w:p>
        </w:tc>
        <w:tc>
          <w:tcPr>
            <w:tcW w:type="dxa" w:w="230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10.53</w:t>
            </w:r>
          </w:p>
        </w:tc>
        <w:tc>
          <w:tcPr>
            <w:tcW w:type="dxa" w:w="172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14.14</w:t>
            </w:r>
          </w:p>
        </w:tc>
        <w:tc>
          <w:tcPr>
            <w:tcW w:type="dxa" w:w="2016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3.9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Hub MHE (pools 4 CFAs)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21.36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56.66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3.2</w:t>
            </w:r>
          </w:p>
        </w:tc>
      </w:tr>
      <w:tr>
        <w:tc>
          <w:tcPr>
            <w:tcW w:type="dxa" w:w="316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Hub MHW (pools 6 CFAs)</w:t>
            </w:r>
          </w:p>
        </w:tc>
        <w:tc>
          <w:tcPr>
            <w:tcW w:type="dxa" w:w="172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</w:t>
            </w:r>
          </w:p>
        </w:tc>
        <w:tc>
          <w:tcPr>
            <w:tcW w:type="dxa" w:w="230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23.14</w:t>
            </w:r>
          </w:p>
        </w:tc>
        <w:tc>
          <w:tcPr>
            <w:tcW w:type="dxa" w:w="172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67.23</w:t>
            </w:r>
          </w:p>
        </w:tc>
        <w:tc>
          <w:tcPr>
            <w:tcW w:type="dxa" w:w="2016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3.1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673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oc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98781"/>
          <w:sz w:val="17"/>
        </w:rPr>
        <w:t>Figure 4.3 — Days of cover: lean and reviewable (median 6 days)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58"/>
      </w:tblGrid>
      <w:tr>
        <w:tc>
          <w:tcPr>
            <w:tcW w:type="dxa" w:w="9792"/>
            <w:shd w:val="clear" w:fill="E2F4EA"/>
            <w:tcBorders>
              <w:left w:val="single" w:sz="24" w:color="0CA30C"/>
            </w:tcBorders>
          </w:tcPr>
          <w:p>
            <w:pPr>
              <w:spacing w:before="80" w:after="80"/>
            </w:pPr>
            <w:r/>
            <w:r>
              <w:rPr>
                <w:rFonts w:ascii="Segoe UI Semibold" w:hAnsi="Segoe UI Semibold"/>
                <w:b/>
                <w:color w:val="006300"/>
                <w:sz w:val="20"/>
              </w:rPr>
              <w:t xml:space="preserve">EXCEPTIONS BY DESIGN  </w:t>
            </w:r>
            <w:r>
              <w:rPr>
                <w:rFonts w:ascii="Segoe UI" w:hAnsi="Segoe UI"/>
                <w:color w:val="0B0B0B"/>
                <w:sz w:val="19"/>
              </w:rPr>
              <w:t>Every anomaly is flagged, never silently normed: 16 rows with no sales history (norms suppressed), 211 rows with forecast bias (fix the forecast, not the stock), 7 slow movers with &gt;90 days cover (manual review). All appear on the tool's Exceptions sheet each month.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 · The optimisation model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1"/>
        </w:rPr>
        <w:t>A mixed-integer linear program decides, for every SKU: how many 25 kL batches to make at which plant, how to route them through the hubs, and — if capacity ever binds — what NOT to supply, ranked by commercial priority.</w:t>
      </w:r>
    </w:p>
    <w:p>
      <w:pPr>
        <w:pStyle w:val="Heading2"/>
      </w:pPr>
      <w:r>
        <w:t>Objective (minimise)</w:t>
      </w:r>
    </w:p>
    <w:p>
      <w:pPr>
        <w:spacing w:after="140"/>
      </w:pPr>
      <w:r>
        <w:rPr>
          <w:rFonts w:ascii="Segoe UI" w:hAnsi="Segoe UI"/>
          <w:b/>
          <w:i w:val="0"/>
          <w:color w:val="0D366B"/>
          <w:sz w:val="21"/>
        </w:rPr>
        <w:t>production cost  +  primary freight  +  secondary freight  +  penalty × (3× if contractual) × unmet demand  +  0.25 × penalty × safety-stock shortfall</w:t>
      </w:r>
    </w:p>
    <w:p>
      <w:pPr>
        <w:pStyle w:val="Heading2"/>
      </w:pPr>
      <w:r>
        <w:t>Constraints in plain business language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Batch rule.  </w:t>
      </w:r>
      <w:r>
        <w:rPr>
          <w:rFonts w:ascii="Segoe UI" w:hAnsi="Segoe UI"/>
          <w:sz w:val="20"/>
        </w:rPr>
        <w:t>A plant ships exactly what it produces; production is in whole 25 kL batches (integer variables).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Line capacity.  </w:t>
      </w:r>
      <w:r>
        <w:rPr>
          <w:rFonts w:ascii="Segoe UI" w:hAnsi="Segoe UI"/>
          <w:sz w:val="20"/>
        </w:rPr>
        <w:t>Per plant per line, production cannot exceed Exhibit A capacity (50 LT products can only be made at AHM).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Hub balance.  </w:t>
      </w:r>
      <w:r>
        <w:rPr>
          <w:rFonts w:ascii="Segoe UI" w:hAnsi="Segoe UI"/>
          <w:sz w:val="20"/>
        </w:rPr>
        <w:t>A hub cannot ship more than opening stock plus inbound; hub stock never goes negative and should end the month at its 98% safety-stock target (soft, reported when shorted).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Demand first.  </w:t>
      </w:r>
      <w:r>
        <w:rPr>
          <w:rFonts w:ascii="Segoe UI" w:hAnsi="Segoe UI"/>
          <w:sz w:val="20"/>
        </w:rPr>
        <w:t>Unmet demand costs the full Exhibit-D penalty (₹130k–330k/kL); an unfilled buffer top-up carries a 0.25 weight — high enough to fill buffers whenever capacity economically allows, low enough that real demand always wins under scarcity. Contractual SKUs get a 3× multiplier.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58"/>
      </w:tblGrid>
      <w:tr>
        <w:tc>
          <w:tcPr>
            <w:tcW w:type="dxa" w:w="9792"/>
            <w:shd w:val="clear" w:fill="E8F0FB"/>
            <w:tcBorders>
              <w:left w:val="single" w:sz="24" w:color="2A78D6"/>
            </w:tcBorders>
          </w:tcPr>
          <w:p>
            <w:pPr>
              <w:spacing w:before="80" w:after="80"/>
            </w:pPr>
            <w:r/>
            <w:r>
              <w:rPr>
                <w:rFonts w:ascii="Segoe UI Semibold" w:hAnsi="Segoe UI Semibold"/>
                <w:b/>
                <w:color w:val="0D366B"/>
                <w:sz w:val="20"/>
              </w:rPr>
              <w:t xml:space="preserve">WHY THIS IS THE OPTIMUM  </w:t>
            </w:r>
            <w:r>
              <w:rPr>
                <w:rFonts w:ascii="Segoe UI" w:hAnsi="Segoe UI"/>
                <w:color w:val="0B0B0B"/>
                <w:sz w:val="19"/>
              </w:rPr>
              <w:t>Exactness, not heuristics: SKUs interact only through line capacities and each SKU belongs to exactly one line — so the MILP separates into 5 independent problems, each solved to proven optimality (gap 0.0) with HiGHS. A monolithic cross-solve found nothing better (₹119.64M vs our ₹119.38M objective); the LP bound shows the remaining 13.6% over the fractional ideal is precisely the priced cost of the 25 kL batch rule.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191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anded_c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9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98781"/>
          <w:sz w:val="17"/>
        </w:rPr>
        <w:t>Figure 5.1 — Landed economics that drive the routing: KOL owns the East, BOM owns the West, AHM swings</w:t>
      </w:r>
    </w:p>
    <w:p>
      <w:r>
        <w:br w:type="page"/>
      </w:r>
    </w:p>
    <w:p>
      <w:pPr>
        <w:pStyle w:val="Heading1"/>
      </w:pPr>
      <w:r>
        <w:t>6 · Production plan — January 2026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1"/>
        </w:rPr>
        <w:t>Total production: 7,725 kL = 309 batches of exactly 25 kL. The cheapest capacity works hardest: every KOL line runs at 100%; BOM's ≤1.5 LT line saturates; AHM, the most expensive plant, keeps 3,420 kL of slack — the network's shock absorber.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6023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pacity_ut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98781"/>
          <w:sz w:val="17"/>
        </w:rPr>
        <w:t>Figure 6.1 — Production vs line capacity (full SKU × plant detail in the output workbook)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2160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Plant</w:t>
            </w:r>
          </w:p>
        </w:tc>
        <w:tc>
          <w:tcPr>
            <w:tcW w:type="dxa" w:w="1872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Production (kL)</w:t>
            </w:r>
          </w:p>
        </w:tc>
        <w:tc>
          <w:tcPr>
            <w:tcW w:type="dxa" w:w="1296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Batches</w:t>
            </w:r>
          </w:p>
        </w:tc>
        <w:tc>
          <w:tcPr>
            <w:tcW w:type="dxa" w:w="2448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Production cost (₹)</w:t>
            </w:r>
          </w:p>
        </w:tc>
        <w:tc>
          <w:tcPr>
            <w:tcW w:type="dxa" w:w="3312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BOM  Mumbai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4,325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173</w:t>
            </w:r>
          </w:p>
        </w:tc>
        <w:tc>
          <w:tcPr>
            <w:tcW w:type="dxa" w:w="244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51,900,000</w:t>
            </w:r>
          </w:p>
        </w:tc>
        <w:tc>
          <w:tcPr>
            <w:tcW w:type="dxa" w:w="331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backbone of MHW / West-South</w:t>
            </w:r>
          </w:p>
        </w:tc>
      </w:tr>
      <w:tr>
        <w:tc>
          <w:tcPr>
            <w:tcW w:type="dxa" w:w="2160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KOL  Kolkata</w:t>
            </w:r>
          </w:p>
        </w:tc>
        <w:tc>
          <w:tcPr>
            <w:tcW w:type="dxa" w:w="187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2,550</w:t>
            </w:r>
          </w:p>
        </w:tc>
        <w:tc>
          <w:tcPr>
            <w:tcW w:type="dxa" w:w="1296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102</w:t>
            </w:r>
          </w:p>
        </w:tc>
        <w:tc>
          <w:tcPr>
            <w:tcW w:type="dxa" w:w="244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22,950,000</w:t>
            </w:r>
          </w:p>
        </w:tc>
        <w:tc>
          <w:tcPr>
            <w:tcW w:type="dxa" w:w="331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cheapest ₹/kL — runs 100% full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AHM  Ahmedabad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850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34</w:t>
            </w:r>
          </w:p>
        </w:tc>
        <w:tc>
          <w:tcPr>
            <w:tcW w:type="dxa" w:w="2448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10,625,000</w:t>
            </w:r>
          </w:p>
        </w:tc>
        <w:tc>
          <w:tcPr>
            <w:tcW w:type="dxa" w:w="331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swing plant + only 50 LT line</w:t>
            </w:r>
          </w:p>
        </w:tc>
      </w:tr>
      <w:tr>
        <w:tc>
          <w:tcPr>
            <w:tcW w:type="dxa" w:w="2160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TOTAL</w:t>
            </w:r>
          </w:p>
        </w:tc>
        <w:tc>
          <w:tcPr>
            <w:tcW w:type="dxa" w:w="187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7,725</w:t>
            </w:r>
          </w:p>
        </w:tc>
        <w:tc>
          <w:tcPr>
            <w:tcW w:type="dxa" w:w="1296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309</w:t>
            </w:r>
          </w:p>
        </w:tc>
        <w:tc>
          <w:tcPr>
            <w:tcW w:type="dxa" w:w="2448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85,475,000</w:t>
            </w:r>
          </w:p>
        </w:tc>
        <w:tc>
          <w:tcPr>
            <w:tcW w:type="dxa" w:w="331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zero non-25 kL batches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 · Distribution plan — plant → hub → CFA</w:t>
      </w:r>
    </w:p>
    <w:p>
      <w:pPr>
        <w:pStyle w:val="Heading2"/>
      </w:pPr>
      <w:r>
        <w:t>Primary leg (plant → hub) — ₹10,719,136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2364"/>
        <w:gridCol w:w="2364"/>
        <w:gridCol w:w="2364"/>
        <w:gridCol w:w="2364"/>
      </w:tblGrid>
      <w:tr>
        <w:tc>
          <w:tcPr>
            <w:tcW w:type="dxa" w:w="2448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Lane</w:t>
            </w:r>
          </w:p>
        </w:tc>
        <w:tc>
          <w:tcPr>
            <w:tcW w:type="dxa" w:w="2016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Volume (kL)</w:t>
            </w:r>
          </w:p>
        </w:tc>
        <w:tc>
          <w:tcPr>
            <w:tcW w:type="dxa" w:w="1872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Rate (₹/kL)</w:t>
            </w:r>
          </w:p>
        </w:tc>
        <w:tc>
          <w:tcPr>
            <w:tcW w:type="dxa" w:w="2304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Cost (₹)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BOM → MHW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4,323.8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1,000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4,323,787</w:t>
            </w:r>
          </w:p>
        </w:tc>
      </w:tr>
      <w:tr>
        <w:tc>
          <w:tcPr>
            <w:tcW w:type="dxa" w:w="244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AHM → MHW</w:t>
            </w:r>
          </w:p>
        </w:tc>
        <w:tc>
          <w:tcPr>
            <w:tcW w:type="dxa" w:w="2016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771.2</w:t>
            </w:r>
          </w:p>
        </w:tc>
        <w:tc>
          <w:tcPr>
            <w:tcW w:type="dxa" w:w="187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4,000</w:t>
            </w:r>
          </w:p>
        </w:tc>
        <w:tc>
          <w:tcPr>
            <w:tcW w:type="dxa" w:w="230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3,084,975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KOL → MHE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2,538.6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1,100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2,792,407</w:t>
            </w:r>
          </w:p>
        </w:tc>
      </w:tr>
      <w:tr>
        <w:tc>
          <w:tcPr>
            <w:tcW w:type="dxa" w:w="244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KOL → MHW</w:t>
            </w:r>
          </w:p>
        </w:tc>
        <w:tc>
          <w:tcPr>
            <w:tcW w:type="dxa" w:w="2016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11.4</w:t>
            </w:r>
          </w:p>
        </w:tc>
        <w:tc>
          <w:tcPr>
            <w:tcW w:type="dxa" w:w="187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10,000</w:t>
            </w:r>
          </w:p>
        </w:tc>
        <w:tc>
          <w:tcPr>
            <w:tcW w:type="dxa" w:w="230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114,479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AHM → MHE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78.8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5,000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393,781</w:t>
            </w:r>
          </w:p>
        </w:tc>
      </w:tr>
      <w:tr>
        <w:tc>
          <w:tcPr>
            <w:tcW w:type="dxa" w:w="244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BOM → MHE</w:t>
            </w:r>
          </w:p>
        </w:tc>
        <w:tc>
          <w:tcPr>
            <w:tcW w:type="dxa" w:w="2016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1.2</w:t>
            </w:r>
          </w:p>
        </w:tc>
        <w:tc>
          <w:tcPr>
            <w:tcW w:type="dxa" w:w="187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8,000</w:t>
            </w:r>
          </w:p>
        </w:tc>
        <w:tc>
          <w:tcPr>
            <w:tcW w:type="dxa" w:w="230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9,706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Segoe UI" w:hAnsi="Segoe UI"/>
          <w:b w:val="0"/>
          <w:i w:val="0"/>
          <w:color w:val="52514E"/>
          <w:sz w:val="19"/>
        </w:rPr>
        <w:t>The two counter-intuitive lanes (KOL→MHW, BOM→MHE, 12.6 kL combined) are batch remainders already paid for at the cheap plant, shipped to where they are useful — verified individually rational.</w:t>
      </w:r>
    </w:p>
    <w:p>
      <w:pPr>
        <w:pStyle w:val="Heading2"/>
      </w:pPr>
      <w:r>
        <w:t>Secondary leg (hub → CFA) — ₹18,217,648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2364"/>
        <w:gridCol w:w="2364"/>
        <w:gridCol w:w="2364"/>
        <w:gridCol w:w="2364"/>
      </w:tblGrid>
      <w:tr>
        <w:tc>
          <w:tcPr>
            <w:tcW w:type="dxa" w:w="2448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CFA</w:t>
            </w:r>
          </w:p>
        </w:tc>
        <w:tc>
          <w:tcPr>
            <w:tcW w:type="dxa" w:w="2160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From MHW (kL)</w:t>
            </w:r>
          </w:p>
        </w:tc>
        <w:tc>
          <w:tcPr>
            <w:tcW w:type="dxa" w:w="2160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From MHE (kL)</w:t>
            </w:r>
          </w:p>
        </w:tc>
        <w:tc>
          <w:tcPr>
            <w:tcW w:type="dxa" w:w="2592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Total received (kL)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Kolkata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62.2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1,032.8</w:t>
            </w:r>
          </w:p>
        </w:tc>
        <w:tc>
          <w:tcPr>
            <w:tcW w:type="dxa" w:w="259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1,095.0</w:t>
            </w:r>
          </w:p>
        </w:tc>
      </w:tr>
      <w:tr>
        <w:tc>
          <w:tcPr>
            <w:tcW w:type="dxa" w:w="244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Hyderabad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941.6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4.5</w:t>
            </w:r>
          </w:p>
        </w:tc>
        <w:tc>
          <w:tcPr>
            <w:tcW w:type="dxa" w:w="259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946.1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Bhiwandi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894.3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—</w:t>
            </w:r>
          </w:p>
        </w:tc>
        <w:tc>
          <w:tcPr>
            <w:tcW w:type="dxa" w:w="259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894.3</w:t>
            </w:r>
          </w:p>
        </w:tc>
      </w:tr>
      <w:tr>
        <w:tc>
          <w:tcPr>
            <w:tcW w:type="dxa" w:w="244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Kanpur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132.1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755.9</w:t>
            </w:r>
          </w:p>
        </w:tc>
        <w:tc>
          <w:tcPr>
            <w:tcW w:type="dxa" w:w="259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888.0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Haryana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706.8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106.6</w:t>
            </w:r>
          </w:p>
        </w:tc>
        <w:tc>
          <w:tcPr>
            <w:tcW w:type="dxa" w:w="259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813.4</w:t>
            </w:r>
          </w:p>
        </w:tc>
      </w:tr>
      <w:tr>
        <w:tc>
          <w:tcPr>
            <w:tcW w:type="dxa" w:w="244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Bangalore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684.6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48.7</w:t>
            </w:r>
          </w:p>
        </w:tc>
        <w:tc>
          <w:tcPr>
            <w:tcW w:type="dxa" w:w="259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733.3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Rajpura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305.0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70.9</w:t>
            </w:r>
          </w:p>
        </w:tc>
        <w:tc>
          <w:tcPr>
            <w:tcW w:type="dxa" w:w="259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375.9</w:t>
            </w:r>
          </w:p>
        </w:tc>
      </w:tr>
      <w:tr>
        <w:tc>
          <w:tcPr>
            <w:tcW w:type="dxa" w:w="244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Ahmedabad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279.1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3.8</w:t>
            </w:r>
          </w:p>
        </w:tc>
        <w:tc>
          <w:tcPr>
            <w:tcW w:type="dxa" w:w="259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282.9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Guwahati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24.2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197.5</w:t>
            </w:r>
          </w:p>
        </w:tc>
        <w:tc>
          <w:tcPr>
            <w:tcW w:type="dxa" w:w="259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221.7</w:t>
            </w:r>
          </w:p>
        </w:tc>
      </w:tr>
      <w:tr>
        <w:tc>
          <w:tcPr>
            <w:tcW w:type="dxa" w:w="244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Jamshedpur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49.3</w:t>
            </w:r>
          </w:p>
        </w:tc>
        <w:tc>
          <w:tcPr>
            <w:tcW w:type="dxa" w:w="216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154.9</w:t>
            </w:r>
          </w:p>
        </w:tc>
        <w:tc>
          <w:tcPr>
            <w:tcW w:type="dxa" w:w="259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204.2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61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ub_sto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98781"/>
          <w:sz w:val="17"/>
        </w:rPr>
        <w:t>Figure 7.1 — Month-end hub stock vs the 98% safety-stock targets: both hubs finish above norm</w:t>
      </w:r>
    </w:p>
    <w:p>
      <w:r>
        <w:br w:type="page"/>
      </w:r>
    </w:p>
    <w:p>
      <w:pPr>
        <w:pStyle w:val="Heading1"/>
      </w:pPr>
      <w:r>
        <w:t>8 · Cost of the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3153"/>
        <w:gridCol w:w="3153"/>
        <w:gridCol w:w="3153"/>
      </w:tblGrid>
      <w:tr>
        <w:tc>
          <w:tcPr>
            <w:tcW w:type="dxa" w:w="4320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Cost element</w:t>
            </w:r>
          </w:p>
        </w:tc>
        <w:tc>
          <w:tcPr>
            <w:tcW w:type="dxa" w:w="2880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₹</w:t>
            </w:r>
          </w:p>
        </w:tc>
        <w:tc>
          <w:tcPr>
            <w:tcW w:type="dxa" w:w="2016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Share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Production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85,475,000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74.7%</w:t>
            </w:r>
          </w:p>
        </w:tc>
      </w:tr>
      <w:tr>
        <w:tc>
          <w:tcPr>
            <w:tcW w:type="dxa" w:w="4320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Plant → Hub freight</w:t>
            </w:r>
          </w:p>
        </w:tc>
        <w:tc>
          <w:tcPr>
            <w:tcW w:type="dxa" w:w="288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10,719,136</w:t>
            </w:r>
          </w:p>
        </w:tc>
        <w:tc>
          <w:tcPr>
            <w:tcW w:type="dxa" w:w="2016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9.4%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Hub → CFA freight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18,217,648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15.9%</w:t>
            </w:r>
          </w:p>
        </w:tc>
      </w:tr>
      <w:tr>
        <w:tc>
          <w:tcPr>
            <w:tcW w:type="dxa" w:w="4320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Penalty — unmet demand</w:t>
            </w:r>
          </w:p>
        </w:tc>
        <w:tc>
          <w:tcPr>
            <w:tcW w:type="dxa" w:w="288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0</w:t>
            </w:r>
          </w:p>
        </w:tc>
        <w:tc>
          <w:tcPr>
            <w:tcW w:type="dxa" w:w="2016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0.0%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0B0B0B"/>
                <w:sz w:val="19"/>
              </w:rPr>
              <w:t>TOTAL CASH COST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114,411,784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100%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58"/>
      </w:tblGrid>
      <w:tr>
        <w:tc>
          <w:tcPr>
            <w:tcW w:type="dxa" w:w="9792"/>
            <w:shd w:val="clear" w:fill="FDF1D7"/>
            <w:tcBorders>
              <w:left w:val="single" w:sz="24" w:color="B47A00"/>
            </w:tcBorders>
          </w:tcPr>
          <w:p>
            <w:pPr>
              <w:spacing w:before="80" w:after="80"/>
            </w:pPr>
            <w:r/>
            <w:r>
              <w:rPr>
                <w:rFonts w:ascii="Segoe UI Semibold" w:hAnsi="Segoe UI Semibold"/>
                <w:b/>
                <w:color w:val="B47A00"/>
                <w:sz w:val="20"/>
              </w:rPr>
              <w:t xml:space="preserve">HONEST ACCOUNTING  </w:t>
            </w:r>
            <w:r>
              <w:rPr>
                <w:rFonts w:ascii="Segoe UI" w:hAnsi="Segoe UI"/>
                <w:color w:val="0B0B0B"/>
                <w:sz w:val="19"/>
              </w:rPr>
              <w:t>Two memo items are reported for transparency but are NOT cash: risk-weighted hub safety-stock shortfall ₹1,412,331 (31.5 kL) and CFA top-up shortfall ₹3,156,280 (68.1 kL). These are prioritisation weights (0.25 × penalty) on ≈1.2% of buffer volume that batch economics left unfilled — every case was checked: filling it would cost more than the risk it removes.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Segoe UI" w:hAnsi="Segoe UI"/>
          <w:b w:val="0"/>
          <w:i w:val="0"/>
          <w:color w:val="52514E"/>
          <w:sz w:val="19"/>
        </w:rPr>
        <w:t>Benchmark: the theoretical fractional-batch ideal (LP bound) is ₹105.09M — the gap to ₹114.41M is the unavoidable, correctly-priced cost of the 25 kL batch rule plus the residual buffer risk, not sub-optimality.</w:t>
      </w:r>
    </w:p>
    <w:p>
      <w:pPr>
        <w:pStyle w:val="Heading1"/>
      </w:pPr>
      <w:r>
        <w:t>9 · Validation &amp; verification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1"/>
        </w:rPr>
        <w:t>Assume there are errors — then go hunting. Four independent audits (norms recomputation, feasibility, optimality, methodology) plus a fresh-code recheck of the revised norms: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2364"/>
        <w:gridCol w:w="2364"/>
        <w:gridCol w:w="2364"/>
        <w:gridCol w:w="2364"/>
      </w:tblGrid>
      <w:tr>
        <w:tc>
          <w:tcPr>
            <w:tcW w:type="dxa" w:w="2232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384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312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080"/>
            <w:shd w:val="clear" w:fill="0D366B"/>
          </w:tcPr>
          <w:p>
            <w:pPr>
              <w:spacing w:after="40" w:before="40"/>
              <w:jc w:val="right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Batch size</w:t>
            </w:r>
          </w:p>
        </w:tc>
        <w:tc>
          <w:tcPr>
            <w:tcW w:type="dxa" w:w="338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all production in 25 kL multiples</w:t>
            </w:r>
          </w:p>
        </w:tc>
        <w:tc>
          <w:tcPr>
            <w:tcW w:type="dxa" w:w="331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309 batches, 0 violations</w:t>
            </w:r>
          </w:p>
        </w:tc>
        <w:tc>
          <w:tcPr>
            <w:tcW w:type="dxa" w:w="10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PASS</w:t>
            </w:r>
          </w:p>
        </w:tc>
      </w:tr>
      <w:tr>
        <w:tc>
          <w:tcPr>
            <w:tcW w:type="dxa" w:w="2232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Line capacity</w:t>
            </w:r>
          </w:p>
        </w:tc>
        <w:tc>
          <w:tcPr>
            <w:tcW w:type="dxa" w:w="338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≤ Exhibit A per plant × line</w:t>
            </w:r>
          </w:p>
        </w:tc>
        <w:tc>
          <w:tcPr>
            <w:tcW w:type="dxa" w:w="331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max 100.0%, 0 violations</w:t>
            </w:r>
          </w:p>
        </w:tc>
        <w:tc>
          <w:tcPr>
            <w:tcW w:type="dxa" w:w="108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PASS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Plant balance</w:t>
            </w:r>
          </w:p>
        </w:tc>
        <w:tc>
          <w:tcPr>
            <w:tcW w:type="dxa" w:w="338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production = plant outbound</w:t>
            </w:r>
          </w:p>
        </w:tc>
        <w:tc>
          <w:tcPr>
            <w:tcW w:type="dxa" w:w="331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exact per SKU × plant</w:t>
            </w:r>
          </w:p>
        </w:tc>
        <w:tc>
          <w:tcPr>
            <w:tcW w:type="dxa" w:w="10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PASS</w:t>
            </w:r>
          </w:p>
        </w:tc>
      </w:tr>
      <w:tr>
        <w:tc>
          <w:tcPr>
            <w:tcW w:type="dxa" w:w="2232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Hub balance</w:t>
            </w:r>
          </w:p>
        </w:tc>
        <w:tc>
          <w:tcPr>
            <w:tcW w:type="dxa" w:w="338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open + in − out = close ≥ 0</w:t>
            </w:r>
          </w:p>
        </w:tc>
        <w:tc>
          <w:tcPr>
            <w:tcW w:type="dxa" w:w="331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exact; no negatives</w:t>
            </w:r>
          </w:p>
        </w:tc>
        <w:tc>
          <w:tcPr>
            <w:tcW w:type="dxa" w:w="108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PASS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Demand service</w:t>
            </w:r>
          </w:p>
        </w:tc>
        <w:tc>
          <w:tcPr>
            <w:tcW w:type="dxa" w:w="338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serve Jan forecast net of opening</w:t>
            </w:r>
          </w:p>
        </w:tc>
        <w:tc>
          <w:tcPr>
            <w:tcW w:type="dxa" w:w="331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0 kL unmet of 5,136.3 at-risk</w:t>
            </w:r>
          </w:p>
        </w:tc>
        <w:tc>
          <w:tcPr>
            <w:tcW w:type="dxa" w:w="10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PASS</w:t>
            </w:r>
          </w:p>
        </w:tc>
      </w:tr>
      <w:tr>
        <w:tc>
          <w:tcPr>
            <w:tcW w:type="dxa" w:w="2232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Hub 98% buffers</w:t>
            </w:r>
          </w:p>
        </w:tc>
        <w:tc>
          <w:tcPr>
            <w:tcW w:type="dxa" w:w="338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close month ≥ hub SS</w:t>
            </w:r>
          </w:p>
        </w:tc>
        <w:tc>
          <w:tcPr>
            <w:tcW w:type="dxa" w:w="331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138/151 fully met; 31.5 kL reported</w:t>
            </w:r>
          </w:p>
        </w:tc>
        <w:tc>
          <w:tcPr>
            <w:tcW w:type="dxa" w:w="108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PASS*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Contractual SKUs</w:t>
            </w:r>
          </w:p>
        </w:tc>
        <w:tc>
          <w:tcPr>
            <w:tcW w:type="dxa" w:w="338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protected first</w:t>
            </w:r>
          </w:p>
        </w:tc>
        <w:tc>
          <w:tcPr>
            <w:tcW w:type="dxa" w:w="331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zero contractual shortfall</w:t>
            </w:r>
          </w:p>
        </w:tc>
        <w:tc>
          <w:tcPr>
            <w:tcW w:type="dxa" w:w="10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PASS</w:t>
            </w:r>
          </w:p>
        </w:tc>
      </w:tr>
      <w:tr>
        <w:tc>
          <w:tcPr>
            <w:tcW w:type="dxa" w:w="2232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Norm recomputation</w:t>
            </w:r>
          </w:p>
        </w:tc>
        <w:tc>
          <w:tcPr>
            <w:tcW w:type="dxa" w:w="338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independent code path</w:t>
            </w:r>
          </w:p>
        </w:tc>
        <w:tc>
          <w:tcPr>
            <w:tcW w:type="dxa" w:w="331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max deviation ≤ 1.4×10⁻¹⁴ kL</w:t>
            </w:r>
          </w:p>
        </w:tc>
        <w:tc>
          <w:tcPr>
            <w:tcW w:type="dxa" w:w="108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PASS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Cost arithmetic</w:t>
            </w:r>
          </w:p>
        </w:tc>
        <w:tc>
          <w:tcPr>
            <w:tcW w:type="dxa" w:w="3384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recompute all 5 components</w:t>
            </w:r>
          </w:p>
        </w:tc>
        <w:tc>
          <w:tcPr>
            <w:tcW w:type="dxa" w:w="3312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&lt; 10⁻⁶ relative error</w:t>
            </w:r>
          </w:p>
        </w:tc>
        <w:tc>
          <w:tcPr>
            <w:tcW w:type="dxa" w:w="1080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PASS</w:t>
            </w:r>
          </w:p>
        </w:tc>
      </w:tr>
      <w:tr>
        <w:tc>
          <w:tcPr>
            <w:tcW w:type="dxa" w:w="2232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Optimality</w:t>
            </w:r>
          </w:p>
        </w:tc>
        <w:tc>
          <w:tcPr>
            <w:tcW w:type="dxa" w:w="3384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no cheaper feasible plan</w:t>
            </w:r>
          </w:p>
        </w:tc>
        <w:tc>
          <w:tcPr>
            <w:tcW w:type="dxa" w:w="3312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gap 0.0 + LP bound + cross-solve</w:t>
            </w:r>
          </w:p>
        </w:tc>
        <w:tc>
          <w:tcPr>
            <w:tcW w:type="dxa" w:w="1080"/>
            <w:shd w:val="clear" w:fill="F0F4FA"/>
          </w:tcPr>
          <w:p>
            <w:pPr>
              <w:spacing w:after="40" w:before="40"/>
              <w:jc w:val="right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PASS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Segoe UI" w:hAnsi="Segoe UI"/>
          <w:b w:val="0"/>
          <w:i/>
          <w:color w:val="898781"/>
          <w:sz w:val="17"/>
        </w:rPr>
        <w:t>* Soft by design — the case asks for shortfalls to be reported with cost, which the Exceptions sheet does line-by-line.</w:t>
      </w:r>
    </w:p>
    <w:p>
      <w:r>
        <w:br w:type="page"/>
      </w:r>
    </w:p>
    <w:p>
      <w:pPr>
        <w:pStyle w:val="Heading1"/>
      </w:pPr>
      <w:r>
        <w:t>10 · Robustness — assessment-day scenarios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1"/>
        </w:rPr>
        <w:t>On assessment day the tool must replan a modified input set in minutes. We simulated three shocks end-to-end through the tool — no crashes, shortages ranked by commercial priority, full cost transparency: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42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en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2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98781"/>
          <w:sz w:val="17"/>
        </w:rPr>
        <w:t>Figure 10.1 — Three shocks through the tool: demand is protected first, buffers absorb the hit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3153"/>
        <w:gridCol w:w="3153"/>
        <w:gridCol w:w="3153"/>
      </w:tblGrid>
      <w:tr>
        <w:tc>
          <w:tcPr>
            <w:tcW w:type="dxa" w:w="1944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3744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What changed</w:t>
            </w:r>
          </w:p>
        </w:tc>
        <w:tc>
          <w:tcPr>
            <w:tcW w:type="dxa" w:w="4320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S1 capacity shock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≤1.5 LT capacity cut 1,500 kL (BOM 1200→800, AHM 1600→500)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only 9.3 kL unmet (5 lowest-penalty non-contractual lines); buffers absorb 488 kL; cost ₹10.57 cr</w:t>
            </w:r>
          </w:p>
        </w:tc>
      </w:tr>
      <w:tr>
        <w:tc>
          <w:tcPr>
            <w:tcW w:type="dxa" w:w="1944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S2 demand spike</w:t>
            </w:r>
          </w:p>
        </w:tc>
        <w:tc>
          <w:tcPr>
            <w:tcW w:type="dxa" w:w="3744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all January forecasts +40%</w:t>
            </w:r>
          </w:p>
        </w:tc>
        <w:tc>
          <w:tcPr>
            <w:tcW w:type="dxa" w:w="4320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production scales to 10,250 kL; 6.6 kL unmet; ₹16.06 cr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S3 freight shock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BOM→MHW rate ₹1,000 → ₹6,000/kL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sourcing re-routes automatically; zero unmet; ₹12.81 cr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58"/>
      </w:tblGrid>
      <w:tr>
        <w:tc>
          <w:tcPr>
            <w:tcW w:type="dxa" w:w="9792"/>
            <w:shd w:val="clear" w:fill="E2F4EA"/>
            <w:tcBorders>
              <w:left w:val="single" w:sz="24" w:color="0CA30C"/>
            </w:tcBorders>
          </w:tcPr>
          <w:p>
            <w:pPr>
              <w:spacing w:before="80" w:after="80"/>
            </w:pPr>
            <w:r/>
            <w:r>
              <w:rPr>
                <w:rFonts w:ascii="Segoe UI Semibold" w:hAnsi="Segoe UI Semibold"/>
                <w:b/>
                <w:color w:val="006300"/>
                <w:sz w:val="20"/>
              </w:rPr>
              <w:t xml:space="preserve">PRIORITY LOGIC PROVEN  </w:t>
            </w:r>
            <w:r>
              <w:rPr>
                <w:rFonts w:ascii="Segoe UI" w:hAnsi="Segoe UI"/>
                <w:color w:val="0B0B0B"/>
                <w:sz w:val="19"/>
              </w:rPr>
              <w:t>S1 is the designed behaviour under scarcity: the model sacrifices 488 kL of precautionary buffer before losing a single high-priority sale, and the 9.3 kL it cannot save are the cheapest-penalty, non-contractual lines.</w:t>
            </w:r>
          </w:p>
        </w:tc>
      </w:tr>
    </w:tbl>
    <w:p>
      <w:pPr>
        <w:spacing w:after="40"/>
      </w:pPr>
    </w:p>
    <w:p>
      <w:pPr>
        <w:pStyle w:val="Heading1"/>
      </w:pPr>
      <w:r>
        <w:t>11 · The planning tool</w:t>
      </w:r>
    </w:p>
    <w:p>
      <w:pPr>
        <w:spacing w:after="140"/>
      </w:pPr>
      <w:r>
        <w:rPr>
          <w:rFonts w:ascii="Segoe UI" w:hAnsi="Segoe UI"/>
          <w:b w:val="0"/>
          <w:i w:val="0"/>
          <w:color w:val="0B0B0B"/>
          <w:sz w:val="21"/>
        </w:rPr>
        <w:t>Levisol_Planning_Tool.py — double-click, browse to the month's workbook, press RUN PLAN. Under three minutes later the planner has a complete output workbook: production plan, routing plan, norms, hub stock positions, cost summary and an Exceptions sheet that explains every shortfall in business terms.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Everything is editable.  </w:t>
      </w:r>
      <w:r>
        <w:rPr>
          <w:rFonts w:ascii="Segoe UI" w:hAnsi="Segoe UI"/>
          <w:sz w:val="20"/>
        </w:rPr>
        <w:t>Demand, capacities, production costs, freight rates, lead times, service levels, opening stock — the tool re-reads the workbook every run; nothing is hard-coded.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It never just crashes.  </w:t>
      </w:r>
      <w:r>
        <w:rPr>
          <w:rFonts w:ascii="Segoe UI" w:hAnsi="Segoe UI"/>
          <w:sz w:val="20"/>
        </w:rPr>
        <w:t>Shortfall variables keep every instance feasible: capacity shortages become a ranked shortage report, zero-demand rows are flagged, empty lines are excluded automatically.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No specialist knowledge.  </w:t>
      </w:r>
      <w:r>
        <w:rPr>
          <w:rFonts w:ascii="Segoe UI" w:hAnsi="Segoe UI"/>
          <w:sz w:val="20"/>
        </w:rPr>
        <w:t>One input file, one button, one output file — with a README and flagged exceptions a planner can act 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4729"/>
        <w:gridCol w:w="4729"/>
      </w:tblGrid>
      <w:tr>
        <w:tc>
          <w:tcPr>
            <w:tcW w:type="dxa" w:w="4896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You change (Excel sheet)</w:t>
            </w:r>
          </w:p>
        </w:tc>
        <w:tc>
          <w:tcPr>
            <w:tcW w:type="dxa" w:w="4896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The tool redoes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J — demand forecast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requirements, plan, costs</w:t>
            </w:r>
          </w:p>
        </w:tc>
      </w:tr>
      <w:tr>
        <w:tc>
          <w:tcPr>
            <w:tcW w:type="dxa" w:w="489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A — capacities / production cost</w:t>
            </w:r>
          </w:p>
        </w:tc>
        <w:tc>
          <w:tcPr>
            <w:tcW w:type="dxa" w:w="489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sourcing, batch plan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B · C — freight rates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routing</w:t>
            </w:r>
          </w:p>
        </w:tc>
      </w:tr>
      <w:tr>
        <w:tc>
          <w:tcPr>
            <w:tcW w:type="dxa" w:w="489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E / F / G / H — lead times, service levels, history</w:t>
            </w:r>
          </w:p>
        </w:tc>
        <w:tc>
          <w:tcPr>
            <w:tcW w:type="dxa" w:w="489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all inventory norms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I — opening inventory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net requirements &amp; buffer top-ups</w:t>
            </w:r>
          </w:p>
        </w:tc>
      </w:tr>
    </w:tbl>
    <w:p>
      <w:pPr>
        <w:spacing w:after="40"/>
      </w:pPr>
    </w:p>
    <w:p>
      <w:pPr>
        <w:pStyle w:val="Heading1"/>
      </w:pPr>
      <w:r>
        <w:t>12 · Assumptions, limitations &amp; recommendations</w:t>
      </w:r>
    </w:p>
    <w:p>
      <w:pPr>
        <w:pStyle w:val="Heading2"/>
      </w:pPr>
      <w:r>
        <w:t>Assumptions (every one disclosed, none invented)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8D2"/>
          <w:left w:val="single" w:sz="4" w:color="D9D8D2"/>
          <w:bottom w:val="single" w:sz="4" w:color="D9D8D2"/>
          <w:right w:val="single" w:sz="4" w:color="D9D8D2"/>
          <w:insideH w:val="single" w:sz="4" w:color="D9D8D2"/>
          <w:insideV w:val="single" w:sz="4" w:color="D9D8D2"/>
        </w:tblBorders>
      </w:tblPr>
      <w:tblGrid>
        <w:gridCol w:w="3153"/>
        <w:gridCol w:w="3153"/>
        <w:gridCol w:w="3153"/>
      </w:tblGrid>
      <w:tr>
        <w:tc>
          <w:tcPr>
            <w:tcW w:type="dxa" w:w="576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#</w:t>
            </w:r>
          </w:p>
        </w:tc>
        <w:tc>
          <w:tcPr>
            <w:tcW w:type="dxa" w:w="4752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Assumption</w:t>
            </w:r>
          </w:p>
        </w:tc>
        <w:tc>
          <w:tcPr>
            <w:tcW w:type="dxa" w:w="4608"/>
            <w:shd w:val="clear" w:fill="0D366B"/>
          </w:tcPr>
          <w:p>
            <w:pPr>
              <w:spacing w:after="40" w:before="40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Impact / mitigation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1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Tiered fill-rate translation (A/B CSL; C/D exact fill-rate)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case delegates the conversion; all-CSL variant quantified (+285 kL)</w:t>
            </w:r>
          </w:p>
        </w:tc>
      </w:tr>
      <w:tr>
        <w:tc>
          <w:tcPr>
            <w:tcW w:type="dxa" w:w="57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2</w:t>
            </w:r>
          </w:p>
        </w:tc>
        <w:tc>
          <w:tcPr>
            <w:tcW w:type="dxa" w:w="4752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σ from 6 monthly observations, √30 daily scaling</w:t>
            </w:r>
          </w:p>
        </w:tc>
        <w:tc>
          <w:tcPr>
            <w:tcW w:type="dxa" w:w="46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re-estimated automatically every month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3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Hub = decoupling point (CFA LT = hub→CFA leg)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hubs hold mandated 98% buffers; end-to-end variant reported per row</w:t>
            </w:r>
          </w:p>
        </w:tc>
      </w:tr>
      <w:tr>
        <w:tc>
          <w:tcPr>
            <w:tcW w:type="dxa" w:w="57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4</w:t>
            </w:r>
          </w:p>
        </w:tc>
        <w:tc>
          <w:tcPr>
            <w:tcW w:type="dxa" w:w="4752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Buffer weight 0.25 × penalty; contractual ×3</w:t>
            </w:r>
          </w:p>
        </w:tc>
        <w:tc>
          <w:tcPr>
            <w:tcW w:type="dxa" w:w="46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zero effect this month (no unmet demand); exposed dials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5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No holding cost priced (case provides none)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holding_cost_per_kl dial available, default 0</w:t>
            </w:r>
          </w:p>
        </w:tc>
      </w:tr>
      <w:tr>
        <w:tc>
          <w:tcPr>
            <w:tcW w:type="dxa" w:w="576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6</w:t>
            </w:r>
          </w:p>
        </w:tc>
        <w:tc>
          <w:tcPr>
            <w:tcW w:type="dxa" w:w="4752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CFA demands independent at hubs</w:t>
            </w:r>
          </w:p>
        </w:tc>
        <w:tc>
          <w:tcPr>
            <w:tcW w:type="dxa" w:w="4608"/>
            <w:shd w:val="clear" w:fill="F0F4FA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color w:val="0B0B0B"/>
                <w:sz w:val="19"/>
              </w:rPr>
              <w:t>explicit case instruction</w:t>
            </w:r>
          </w:p>
        </w:tc>
      </w:tr>
    </w:tbl>
    <w:p>
      <w:pPr>
        <w:spacing w:after="40"/>
      </w:pPr>
    </w:p>
    <w:p>
      <w:pPr>
        <w:pStyle w:val="Heading2"/>
      </w:pPr>
      <w:r>
        <w:t>Recommendations beyond January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Fix the 211 biased forecasts.  </w:t>
      </w:r>
      <w:r>
        <w:rPr>
          <w:rFonts w:ascii="Segoe UI" w:hAnsi="Segoe UI"/>
          <w:sz w:val="20"/>
        </w:rPr>
        <w:t>The largest structural cash lever found — stop buffering bias with inventory.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Re-estimate norms monthly.  </w:t>
      </w:r>
      <w:r>
        <w:rPr>
          <w:rFonts w:ascii="Segoe UI" w:hAnsi="Segoe UI"/>
          <w:sz w:val="20"/>
        </w:rPr>
        <w:t>The tool recomputes σ and tiers on every run; revisit the C/D fill-rate choice after 3 months of post-shock data.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Watch the ≤1.5 LT line.  </w:t>
      </w:r>
      <w:r>
        <w:rPr>
          <w:rFonts w:ascii="Segoe UI" w:hAnsi="Segoe UI"/>
          <w:sz w:val="20"/>
        </w:rPr>
        <w:t>BOM and KOL run it at 100%; it is the first line to short under any demand upside (S2). AHM slack is the shock absorber.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D366B"/>
          <w:sz w:val="20"/>
        </w:rPr>
        <w:t xml:space="preserve">Price working capital.  </w:t>
      </w:r>
      <w:r>
        <w:rPr>
          <w:rFonts w:ascii="Segoe UI" w:hAnsi="Segoe UI"/>
          <w:sz w:val="20"/>
        </w:rPr>
        <w:t>If management wants hub stock builds inside the objective, set the holding-cost dial — today's 698 kL build is batch arithmetic, not policy.</w:t>
      </w:r>
    </w:p>
    <w:p/>
    <w:p>
      <w:pPr>
        <w:spacing w:after="140"/>
        <w:jc w:val="center"/>
      </w:pPr>
      <w:r>
        <w:rPr>
          <w:rFonts w:ascii="Segoe UI" w:hAnsi="Segoe UI"/>
          <w:b w:val="0"/>
          <w:i/>
          <w:color w:val="898781"/>
          <w:sz w:val="18"/>
        </w:rPr>
        <w:t>— Prepared by the Supply Chain Transformation Taskforce · verified end-to-end · reproducible from the raw case workbook via run_solution.py</w:t>
      </w:r>
    </w:p>
    <w:sectPr w:rsidR="00FC693F" w:rsidRPr="0006063C" w:rsidSect="00034616">
      <w:footerReference w:type="default" r:id="rId20"/>
      <w:pgSz w:w="11906" w:h="16838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98781"/>
        <w:sz w:val="16"/>
      </w:rPr>
      <w:t xml:space="preserve">Levisol India · Project 2 · Production, Distribution &amp; Inventory Optimisation   —   page </w:t>
    </w:r>
    <w:fldSimple w:instr="PAGE">
      <w:r>
        <w:rPr>
          <w:sz w:val="16"/>
          <w:color w:val="89878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Segoe UI" w:hAnsi="Segoe UI"/>
      <w:color w:val="0B0B0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D366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2A78D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