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11111"/>
          <w:sz w:val="34"/>
          <w:szCs w:val="34"/>
        </w:rPr>
        <w:t xml:space="preserve">SHREYASH GONDANE</w:t>
      </w:r>
    </w:p>
    <w:p>
      <w:pPr>
        <w:spacing w:after="18"/>
        <w:jc w:val="center"/>
      </w:pPr>
      <w:r>
        <w:rPr>
          <w:rFonts w:ascii="Arial" w:cs="Arial" w:eastAsia="Arial" w:hAnsi="Arial"/>
          <w:color w:val="333333"/>
          <w:sz w:val="17"/>
          <w:szCs w:val="17"/>
        </w:rPr>
        <w:t xml:space="preserve">Staff / Principal Platform Engineer  —  MCP · Auth &amp; Identity · Agentic AI · API Infrastructure</w:t>
      </w:r>
    </w:p>
    <w:p>
      <w:pPr>
        <w:spacing w:after="120"/>
        <w:jc w:val="center"/>
      </w:pPr>
      <w:r>
        <w:rPr>
          <w:rFonts w:ascii="Arial" w:cs="Arial" w:eastAsia="Arial" w:hAnsi="Arial"/>
          <w:color w:val="555555"/>
          <w:sz w:val="14"/>
          <w:szCs w:val="14"/>
        </w:rPr>
        <w:t xml:space="preserve">(+1) 929-527-9683  ·  sg6874@nyu.edu  ·  pdffillr.ai/documentation  ·  Jersey City, NJ  ·  GitHub  ·  LinkedIn</w:t>
      </w:r>
    </w:p>
    <w:p>
      <w:pPr>
        <w:pBdr>
          <w:bottom w:val="single" w:color="1A56DB" w:sz="6"/>
        </w:pBdr>
        <w:spacing w:after="42" w:before="150"/>
      </w:pPr>
      <w:r>
        <w:rPr>
          <w:rFonts w:ascii="Arial" w:cs="Arial" w:eastAsia="Arial" w:hAnsi="Arial"/>
          <w:b/>
          <w:bCs/>
          <w:caps/>
          <w:color w:val="1A56DB"/>
          <w:sz w:val="18"/>
          <w:szCs w:val="18"/>
        </w:rPr>
        <w:t xml:space="preserve">Professional Summary</w:t>
      </w:r>
    </w:p>
    <w:p>
      <w:pPr>
        <w:spacing w:after="70" w:before="35"/>
      </w:pPr>
      <w:r>
        <w:rPr>
          <w:rFonts w:ascii="Arial" w:cs="Arial" w:eastAsia="Arial" w:hAnsi="Arial"/>
          <w:sz w:val="16"/>
          <w:szCs w:val="16"/>
        </w:rPr>
        <w:t xml:space="preserve">Platform engineer (4+ years, 1,519+ commits, 543+ PRs, 10+ production repos) with compounded scope across identity security, agentic AI, and distributed infrastructure. Built and maintained production MCP integrations and A2A Protocol infrastructure connecting Classification, Extraction, Mapping, and Validation agents. Designed and built a complete multi-tenant Identity Provider from scratch in Go/Echo across 8 phases (JWT, SAML 2.0 with JIT provisioning, RBAC, MFA, SSO, AI agent security registry) — an Auth0-equivalent platform, achieving zero CVEs at sub-5ms token verification. Shipped a standalone Agentic Intelligence Center (LangGraph, Human-in-the-Loop escalation) deployed across three production verticals. Authored multi-cloud Terraform (AWS/GCP/Azure), published SDKs to PyPI and npm, and contributed directly to Scale AI's LLM Engine. Cross-language production ownership: Java, Go, TypeScript/Node, Python. 4 direct reports managed through probation. M.S. Computer Science, NYU. 2 Springer AI publications.</w:t>
      </w:r>
    </w:p>
    <w:p>
      <w:pPr>
        <w:pBdr>
          <w:bottom w:val="single" w:color="1A56DB" w:sz="6"/>
        </w:pBdr>
        <w:spacing w:after="42" w:before="150"/>
      </w:pPr>
      <w:r>
        <w:rPr>
          <w:rFonts w:ascii="Arial" w:cs="Arial" w:eastAsia="Arial" w:hAnsi="Arial"/>
          <w:b/>
          <w:bCs/>
          <w:caps/>
          <w:color w:val="1A56DB"/>
          <w:sz w:val="18"/>
          <w:szCs w:val="18"/>
        </w:rPr>
        <w:t xml:space="preserve">Technical Skills</w:t>
      </w:r>
    </w:p>
    <w:p>
      <w:pPr>
        <w:spacing w:after="0" w:before="2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Languages</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Java 11/Spring Boot (expert, 4+ yrs), Go/Echo (advanced), TypeScript/Node.js (advanced), Python (primary, 4+ yrs), SQL, Bash, Rust (familiar)</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Identity &amp; Connectivity</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Multi-tenant IdP design (Go/Echo, Auth0-equivalent), MCP proxy design, A2A Protocol orchestration, JWT, SAML 2.0 + JIT provisioning, OAuth2/OIDC, MFA, SSO, RBAC, HMAC webhooks, KMS/PGP, zero CVE track record at ≤5ms token latency, k6 load testing, distroless Docker, 2 external pen tests passed</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Agentic AI &amp; LLM</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LangGraph (HITL agent graphs), LangChain, MCP agent implementations, multi-model orchestration (Claude 3.5, GPT-4o, Bedrock Titan, Llama 3.2), RAG (Aurora pgvector + OpenSearch), RHFL fine-tuning, model eval harnesses, token cost governance, vLLM</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Platform &amp; Cloud</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AWS (EKS, Lambda, S3, DynamoDB, Aurora, KMS, SQS, SNS, EventBridge, SES, Bedrock, CloudFront), Kubernetes, Docker, Helm, multi-cloud Terraform (AWS/GCP/Azure), GitHub Actions, Jenkins, Cloudflare Workers</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Data &amp; Messaging</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PostgreSQL (RLS, Kysely, pgvector), DynamoDB, Redis, Kafka, OpenSearch, MySQL, SQS/SNS, OpenAPI 3.1, campaign orchestration engines, exactly-once event processing</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Platform Acceleration</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OpenTelemetry, Prometheus, Grafana (Tempo), Datadog APM, CloudWatch, Sentry, logback structured logging, SLO/SLA design, CI/CD automation, developer SDK authoring (PyPI, npm)</w:t>
            </w:r>
          </w:p>
        </w:tc>
      </w:tr>
      <w:tr>
        <w:tc>
          <w:tcPr>
            <w:tcW w:type="dxa" w:w="2000"/>
            <w:tcBorders>
              <w:top w:val="none" w:color="FFFFFF" w:sz="0"/>
              <w:left w:val="none" w:color="FFFFFF" w:sz="0"/>
              <w:bottom w:val="none" w:color="FFFFFF" w:sz="0"/>
              <w:right w:val="none" w:color="FFFFFF" w:sz="0"/>
            </w:tcBorders>
            <w:tcMar>
              <w:top w:type="dxa" w:w="28"/>
              <w:left w:type="dxa" w:w="0"/>
              <w:bottom w:type="dxa" w:w="28"/>
              <w:right w:type="dxa" w:w="80"/>
            </w:tcMar>
          </w:tcPr>
          <w:p>
            <w:r>
              <w:rPr>
                <w:rFonts w:ascii="Arial" w:cs="Arial" w:eastAsia="Arial" w:hAnsi="Arial"/>
                <w:b/>
                <w:bCs/>
                <w:sz w:val="15"/>
                <w:szCs w:val="15"/>
              </w:rPr>
              <w:t xml:space="preserve">Compliance</w:t>
            </w:r>
          </w:p>
        </w:tc>
        <w:tc>
          <w:tcPr>
            <w:tcW w:type="dxa" w:w="7360"/>
            <w:tcBorders>
              <w:top w:val="none" w:color="FFFFFF" w:sz="0"/>
              <w:left w:val="none" w:color="FFFFFF" w:sz="0"/>
              <w:bottom w:val="none" w:color="FFFFFF" w:sz="0"/>
              <w:right w:val="none" w:color="FFFFFF" w:sz="0"/>
            </w:tcBorders>
            <w:tcMar>
              <w:top w:type="dxa" w:w="28"/>
              <w:left w:type="dxa" w:w="0"/>
              <w:bottom w:type="dxa" w:w="28"/>
              <w:right w:type="dxa" w:w="0"/>
            </w:tcMar>
          </w:tcPr>
          <w:p>
            <w:r>
              <w:rPr>
                <w:rFonts w:ascii="Arial" w:cs="Arial" w:eastAsia="Arial" w:hAnsi="Arial"/>
                <w:sz w:val="15"/>
                <w:szCs w:val="15"/>
              </w:rPr>
              <w:t xml:space="preserve">FINRA, SOC-2, SEC 17a-4, FedRAMP-adjacent, audit-trail-compliant logging, IAM least-privilege, role-segregated access, immutable S3 audit storage</w:t>
            </w:r>
          </w:p>
        </w:tc>
      </w:tr>
    </w:tbl>
    <w:p>
      <w:pPr>
        <w:pBdr>
          <w:bottom w:val="single" w:color="1A56DB" w:sz="6"/>
        </w:pBdr>
        <w:spacing w:after="42" w:before="150"/>
      </w:pPr>
      <w:r>
        <w:rPr>
          <w:rFonts w:ascii="Arial" w:cs="Arial" w:eastAsia="Arial" w:hAnsi="Arial"/>
          <w:b/>
          <w:bCs/>
          <w:caps/>
          <w:color w:val="1A56DB"/>
          <w:sz w:val="18"/>
          <w:szCs w:val="18"/>
        </w:rPr>
        <w:t xml:space="preserve">Industry Experience</w:t>
      </w:r>
    </w:p>
    <w:p>
      <w:pPr>
        <w:tabs>
          <w:tab w:val="right" w:pos="9360"/>
        </w:tabs>
        <w:spacing w:after="16" w:before="115"/>
      </w:pPr>
      <w:r>
        <w:rPr>
          <w:rFonts w:ascii="Arial" w:cs="Arial" w:eastAsia="Arial" w:hAnsi="Arial"/>
          <w:b/>
          <w:bCs/>
          <w:sz w:val="18"/>
          <w:szCs w:val="18"/>
        </w:rPr>
        <w:t xml:space="preserve">Principal / Staff Platform Engineer</w:t>
      </w:r>
      <w:r>
        <w:rPr>
          <w:rFonts w:ascii="Arial" w:cs="Arial" w:eastAsia="Arial" w:hAnsi="Arial"/>
          <w:color w:val="333333"/>
          <w:sz w:val="16"/>
          <w:szCs w:val="16"/>
        </w:rPr>
        <w:t xml:space="preserve">  ·  Engineersmind Corp.  —  Jersey City, NJ</w:t>
      </w:r>
      <w:r>
        <w:rPr>
          <w:rFonts w:ascii="Arial" w:cs="Arial" w:eastAsia="Arial" w:hAnsi="Arial"/>
          <w:i/>
          <w:iCs/>
          <w:color w:val="777777"/>
          <w:sz w:val="14"/>
          <w:szCs w:val="14"/>
        </w:rPr>
        <w:t xml:space="preserve">	Feb 2024 – Present  ·  1,519+ commits  ·  4 direct reports</w:t>
      </w:r>
    </w:p>
    <w:p>
      <w:pPr>
        <w:tabs>
          <w:tab w:val="right" w:pos="9360"/>
        </w:tabs>
        <w:spacing w:after="3" w:before="80"/>
      </w:pPr>
      <w:r>
        <w:rPr>
          <w:rFonts w:ascii="Arial" w:cs="Arial" w:eastAsia="Arial" w:hAnsi="Arial"/>
          <w:b/>
          <w:bCs/>
          <w:sz w:val="17"/>
          <w:szCs w:val="17"/>
          <w:u w:val="single"/>
        </w:rPr>
        <w:t xml:space="preserve">EMC-Auth-Server  —  Multi-Tenant Identity Provider, Auth0 Replacement  (Principal Architect)</w:t>
      </w:r>
      <w:r>
        <w:rPr>
          <w:rFonts w:ascii="Arial" w:cs="Arial" w:eastAsia="Arial" w:hAnsi="Arial"/>
          <w:i/>
          <w:iCs/>
          <w:color w:val="888888"/>
          <w:sz w:val="13"/>
          <w:szCs w:val="13"/>
        </w:rPr>
        <w:t xml:space="preserve">	May 2026 – Present</w:t>
      </w:r>
    </w:p>
    <w:p>
      <w:pPr>
        <w:spacing w:after="10" w:before="0"/>
      </w:pPr>
      <w:r>
        <w:rPr>
          <w:rFonts w:ascii="Arial" w:cs="Arial" w:eastAsia="Arial" w:hAnsi="Arial"/>
          <w:i/>
          <w:iCs/>
          <w:color w:val="555555"/>
          <w:sz w:val="13"/>
          <w:szCs w:val="13"/>
        </w:rPr>
        <w:t xml:space="preserve">Go  ·  Echo  ·  JWT  ·  SAML 2.0  ·  RBAC  ·  OAuth2  ·  React/Vite  ·  PostgreSQL  ·  k6  ·  Docker (distroless)  ·  Prometheus</w:t>
      </w:r>
    </w:p>
    <w:p>
      <w:pPr>
        <w:pStyle w:val="ListParagraph"/>
        <w:numPr>
          <w:ilvl w:val="0"/>
          <w:numId w:val="2"/>
        </w:numPr>
        <w:spacing w:after="9" w:before="9"/>
      </w:pPr>
      <w:r>
        <w:rPr>
          <w:rFonts w:ascii="Arial" w:cs="Arial" w:eastAsia="Arial" w:hAnsi="Arial"/>
          <w:sz w:val="16"/>
          <w:szCs w:val="16"/>
        </w:rPr>
        <w:t xml:space="preserve">Designed and built a complete multi-tenant Identity Provider from scratch in Go/Echo across 8 independent phases — the exact Auth &amp; Identity infrastructure a platform connectivity team would own: core JWT/cookie auth, RBAC with fine-grained scoping, multi-tenancy with tenant isolation, SAML 2.0 SP with JIT provisioning</w:t>
      </w:r>
    </w:p>
    <w:p>
      <w:pPr>
        <w:pStyle w:val="ListParagraph"/>
        <w:numPr>
          <w:ilvl w:val="0"/>
          <w:numId w:val="2"/>
        </w:numPr>
        <w:spacing w:after="9" w:before="9"/>
      </w:pPr>
      <w:r>
        <w:rPr>
          <w:rFonts w:ascii="Arial" w:cs="Arial" w:eastAsia="Arial" w:hAnsi="Arial"/>
          <w:sz w:val="16"/>
          <w:szCs w:val="16"/>
        </w:rPr>
        <w:t xml:space="preserve">AI agent security registry: cryptographic agent IDs, role-claim injection at issuance, lifecycle tracking, real-time activity monitoring, and anomaly detection for autonomous AI agents accessing internal services — purpose-built for the multi-agent platform era</w:t>
      </w:r>
    </w:p>
    <w:p>
      <w:pPr>
        <w:pStyle w:val="ListParagraph"/>
        <w:numPr>
          <w:ilvl w:val="0"/>
          <w:numId w:val="2"/>
        </w:numPr>
        <w:spacing w:after="9" w:before="9"/>
      </w:pPr>
      <w:r>
        <w:rPr>
          <w:rFonts w:ascii="Arial" w:cs="Arial" w:eastAsia="Arial" w:hAnsi="Arial"/>
          <w:sz w:val="16"/>
          <w:szCs w:val="16"/>
        </w:rPr>
        <w:t xml:space="preserve">React/Vite admin UI via embed.FS SPA (single binary deployment); k6 load testing validating sub-5ms token verification at 10K concurrent requests; distroless Docker eliminating attack surface; role-based monitoring dashboard; zero CVEs across security review</w:t>
      </w:r>
    </w:p>
    <w:p>
      <w:pPr>
        <w:tabs>
          <w:tab w:val="right" w:pos="9360"/>
        </w:tabs>
        <w:spacing w:after="3" w:before="80"/>
      </w:pPr>
      <w:r>
        <w:rPr>
          <w:rFonts w:ascii="Arial" w:cs="Arial" w:eastAsia="Arial" w:hAnsi="Arial"/>
          <w:b/>
          <w:bCs/>
          <w:sz w:val="17"/>
          <w:szCs w:val="17"/>
          <w:u w:val="single"/>
        </w:rPr>
        <w:t xml:space="preserve">PDFfillr.ai  —  AI Platform: MCP &amp; A2A Connectivity Infrastructure  (Lead Platform Architect)</w:t>
      </w:r>
      <w:r>
        <w:rPr>
          <w:rFonts w:ascii="Arial" w:cs="Arial" w:eastAsia="Arial" w:hAnsi="Arial"/>
          <w:i/>
          <w:iCs/>
          <w:color w:val="888888"/>
          <w:sz w:val="13"/>
          <w:szCs w:val="13"/>
        </w:rPr>
        <w:t xml:space="preserve">	Jan 2024 – Present</w:t>
      </w:r>
    </w:p>
    <w:p>
      <w:pPr>
        <w:spacing w:after="10" w:before="0"/>
      </w:pPr>
      <w:r>
        <w:rPr>
          <w:rFonts w:ascii="Arial" w:cs="Arial" w:eastAsia="Arial" w:hAnsi="Arial"/>
          <w:i/>
          <w:iCs/>
          <w:color w:val="555555"/>
          <w:sz w:val="13"/>
          <w:szCs w:val="13"/>
        </w:rPr>
        <w:t xml:space="preserve">Python  ·  MCP  ·  A2A Protocol  ·  LangChain  ·  LangGraph  ·  Pydantic  ·  Step Functions  ·  SQS  ·  OpenSearch  ·  Terraform (AWS/GCP/Azure)  ·  OTel  ·  Prometheus</w:t>
      </w:r>
    </w:p>
    <w:p>
      <w:pPr>
        <w:pStyle w:val="ListParagraph"/>
        <w:numPr>
          <w:ilvl w:val="0"/>
          <w:numId w:val="2"/>
        </w:numPr>
        <w:spacing w:after="9" w:before="9"/>
      </w:pPr>
      <w:r>
        <w:rPr>
          <w:rFonts w:ascii="Arial" w:cs="Arial" w:eastAsia="Arial" w:hAnsi="Arial"/>
          <w:sz w:val="16"/>
          <w:szCs w:val="16"/>
        </w:rPr>
        <w:t xml:space="preserve">MCP &amp; Connectivity Infrastructure: designed and deployed production Model Context Protocol integrations and Agent-to-Agent (A2A) communication layer connecting Classification, Extraction, Mapping, and Validation agents; built the proxy routing layer, session management, and fallback patterns for agent-to-service communication with enterprise reliability</w:t>
      </w:r>
    </w:p>
    <w:p>
      <w:pPr>
        <w:pStyle w:val="ListParagraph"/>
        <w:numPr>
          <w:ilvl w:val="0"/>
          <w:numId w:val="2"/>
        </w:numPr>
        <w:spacing w:after="9" w:before="9"/>
      </w:pPr>
      <w:r>
        <w:rPr>
          <w:rFonts w:ascii="Arial" w:cs="Arial" w:eastAsia="Arial" w:hAnsi="Arial"/>
          <w:sz w:val="16"/>
          <w:szCs w:val="16"/>
        </w:rPr>
        <w:t xml:space="preserve">API Distributability: multi-cloud Terraform modules (AWS, GCP, Azure) for cloud-agnostic deployment of the full platform stack; local development parity via Docker Compose; CI/CD-ready with drift detection — 15 days to 5 minutes processing time, 97% field accuracy, a 0-to-1 platform build</w:t>
      </w:r>
    </w:p>
    <w:p>
      <w:pPr>
        <w:pStyle w:val="ListParagraph"/>
        <w:numPr>
          <w:ilvl w:val="0"/>
          <w:numId w:val="2"/>
        </w:numPr>
        <w:spacing w:after="9" w:before="9"/>
      </w:pPr>
      <w:r>
        <w:rPr>
          <w:rFonts w:ascii="Arial" w:cs="Arial" w:eastAsia="Arial" w:hAnsi="Arial"/>
          <w:sz w:val="16"/>
          <w:szCs w:val="16"/>
        </w:rPr>
        <w:t xml:space="preserve">Platform Acceleration: automated CI/CD with security scanning, OTel + Prometheus + Grafana observability, SLO enforcement and cost governance cutting compute cost ~50%; SDKs published to PyPI and npm with versioned documentation; OpenAPI 3.1 spec; persona-based AI training infrastructure</w:t>
      </w:r>
    </w:p>
    <w:p>
      <w:pPr>
        <w:pStyle w:val="ListParagraph"/>
        <w:numPr>
          <w:ilvl w:val="0"/>
          <w:numId w:val="2"/>
        </w:numPr>
        <w:spacing w:after="9" w:before="9"/>
      </w:pPr>
      <w:r>
        <w:rPr>
          <w:rFonts w:ascii="Arial" w:cs="Arial" w:eastAsia="Arial" w:hAnsi="Arial"/>
          <w:sz w:val="16"/>
          <w:szCs w:val="16"/>
        </w:rPr>
        <w:t xml:space="preserve">Platform Intelligence: RHFL with Researcher-in-the-Loop and vLLM inference updates for continuous accuracy improvement (87% auto-fill, 90% to 97% field accuracy); multi-model orchestration (Claude 3.5, GPT-4o, Llama 3.2, HuggingFace) with per-request token tracking and cost attribution; architectural RFCs, build-vs-buy decisions, mentored 4 engineers, PR acceptance +30%</w:t>
      </w:r>
    </w:p>
    <w:p>
      <w:pPr>
        <w:tabs>
          <w:tab w:val="right" w:pos="9360"/>
        </w:tabs>
        <w:spacing w:after="3" w:before="80"/>
      </w:pPr>
      <w:r>
        <w:rPr>
          <w:rFonts w:ascii="Arial" w:cs="Arial" w:eastAsia="Arial" w:hAnsi="Arial"/>
          <w:b/>
          <w:bCs/>
          <w:sz w:val="17"/>
          <w:szCs w:val="17"/>
          <w:u w:val="single"/>
        </w:rPr>
        <w:t xml:space="preserve">Revi AI  —  Agentic Intelligence Center &amp; Multi-Vertical Lead Management  (Engineering Lead)</w:t>
      </w:r>
      <w:r>
        <w:rPr>
          <w:rFonts w:ascii="Arial" w:cs="Arial" w:eastAsia="Arial" w:hAnsi="Arial"/>
          <w:i/>
          <w:iCs/>
          <w:color w:val="888888"/>
          <w:sz w:val="13"/>
          <w:szCs w:val="13"/>
        </w:rPr>
        <w:t xml:space="preserve">	May 2026 – Present</w:t>
      </w:r>
    </w:p>
    <w:p>
      <w:pPr>
        <w:spacing w:after="10" w:before="0"/>
      </w:pPr>
      <w:r>
        <w:rPr>
          <w:rFonts w:ascii="Arial" w:cs="Arial" w:eastAsia="Arial" w:hAnsi="Arial"/>
          <w:i/>
          <w:iCs/>
          <w:color w:val="555555"/>
          <w:sz w:val="13"/>
          <w:szCs w:val="13"/>
        </w:rPr>
        <w:t xml:space="preserve">Node.js  ·  TypeScript  ·  Kysely  ·  PostgreSQL  ·  SQS  ·  EzTexting  ·  GPT-4o  ·  Claude  ·  Bedrock  ·  LangGraph  ·  AWS SES  ·  Redis</w:t>
      </w:r>
    </w:p>
    <w:p>
      <w:pPr>
        <w:pStyle w:val="ListParagraph"/>
        <w:numPr>
          <w:ilvl w:val="0"/>
          <w:numId w:val="2"/>
        </w:numPr>
        <w:spacing w:after="9" w:before="9"/>
      </w:pPr>
      <w:r>
        <w:rPr>
          <w:rFonts w:ascii="Arial" w:cs="Arial" w:eastAsia="Arial" w:hAnsi="Arial"/>
          <w:sz w:val="16"/>
          <w:szCs w:val="16"/>
        </w:rPr>
        <w:t xml:space="preserve">Standalone LangGraph agent graph with Human-in-the-Loop (HITL) escalation, confidence-threshold routing, per-conversation context, streaming AI response — deployed across TRCM Investor Relations, Fitness &amp; GYM lead management, and Healthcare Portal verticals with broadcast and campaign services</w:t>
      </w:r>
    </w:p>
    <w:p>
      <w:pPr>
        <w:pStyle w:val="ListParagraph"/>
        <w:numPr>
          <w:ilvl w:val="0"/>
          <w:numId w:val="2"/>
        </w:numPr>
        <w:spacing w:after="9" w:before="9"/>
      </w:pPr>
      <w:r>
        <w:rPr>
          <w:rFonts w:ascii="Arial" w:cs="Arial" w:eastAsia="Arial" w:hAnsi="Arial"/>
          <w:sz w:val="16"/>
          <w:szCs w:val="16"/>
        </w:rPr>
        <w:t xml:space="preserve">Campaign Orchestration: SQS fan-out engine for SMS + email broadcast at scale (AWS SES, EzTexting), audience segmentation, delivery tracking; EzTexting integration: OAuth2 circuit-breaker, HMAC webhooks, E.164 normalization, 2-way SMS inbox — 18K events/hr sub-second latency; full Kysely typed SQL data layer</w:t>
      </w:r>
    </w:p>
    <w:p>
      <w:pPr>
        <w:tabs>
          <w:tab w:val="right" w:pos="9360"/>
        </w:tabs>
        <w:spacing w:after="3" w:before="80"/>
      </w:pPr>
      <w:r>
        <w:rPr>
          <w:rFonts w:ascii="Arial" w:cs="Arial" w:eastAsia="Arial" w:hAnsi="Arial"/>
          <w:b/>
          <w:bCs/>
          <w:sz w:val="17"/>
          <w:szCs w:val="17"/>
          <w:u w:val="single"/>
        </w:rPr>
        <w:t xml:space="preserve">Revi AI Backend  —  Auth &amp; Identity + API Infrastructure at Scale  (Staff Platform Engineer)</w:t>
      </w:r>
      <w:r>
        <w:rPr>
          <w:rFonts w:ascii="Arial" w:cs="Arial" w:eastAsia="Arial" w:hAnsi="Arial"/>
          <w:i/>
          <w:iCs/>
          <w:color w:val="888888"/>
          <w:sz w:val="13"/>
          <w:szCs w:val="13"/>
        </w:rPr>
        <w:t xml:space="preserve">	Sept 2024 – Present</w:t>
      </w:r>
    </w:p>
    <w:p>
      <w:pPr>
        <w:spacing w:after="10" w:before="0"/>
      </w:pPr>
      <w:r>
        <w:rPr>
          <w:rFonts w:ascii="Arial" w:cs="Arial" w:eastAsia="Arial" w:hAnsi="Arial"/>
          <w:i/>
          <w:iCs/>
          <w:color w:val="555555"/>
          <w:sz w:val="13"/>
          <w:szCs w:val="13"/>
        </w:rPr>
        <w:t xml:space="preserve">Python  ·  TypeScript  ·  Auth0  ·  Okta  ·  Cognito  ·  EKS  ·  Kafka  ·  Redis  ·  OTel  ·  Datadog  ·  Cloudflare Workers</w:t>
      </w:r>
    </w:p>
    <w:p>
      <w:pPr>
        <w:pStyle w:val="ListParagraph"/>
        <w:numPr>
          <w:ilvl w:val="0"/>
          <w:numId w:val="2"/>
        </w:numPr>
        <w:spacing w:after="9" w:before="9"/>
      </w:pPr>
      <w:r>
        <w:rPr>
          <w:rFonts w:ascii="Arial" w:cs="Arial" w:eastAsia="Arial" w:hAnsi="Arial"/>
          <w:sz w:val="16"/>
          <w:szCs w:val="16"/>
        </w:rPr>
        <w:t xml:space="preserve">Auth &amp; Identity Platform: multi-tenant Auth0/Okta + AWS Cognito (JWT, SAML, MFA, RBAC, SSO) at ≤3ms token latency, zero CVEs across 6 microservices; PostgreSQL RLS with tenant/role claims; Cloudflare Workers HS256/RS256 JWT verification at the edge</w:t>
      </w:r>
    </w:p>
    <w:p>
      <w:pPr>
        <w:pStyle w:val="ListParagraph"/>
        <w:numPr>
          <w:ilvl w:val="0"/>
          <w:numId w:val="2"/>
        </w:numPr>
        <w:spacing w:after="9" w:before="9"/>
      </w:pPr>
      <w:r>
        <w:rPr>
          <w:rFonts w:ascii="Arial" w:cs="Arial" w:eastAsia="Arial" w:hAnsi="Arial"/>
          <w:sz w:val="16"/>
          <w:szCs w:val="16"/>
        </w:rPr>
        <w:t xml:space="preserve">Connectivity &amp; API Gateway: geo-sharded routing via Cloudflare Workers; Logpush → S3 → OTel Collector; Webhooks → SQS → Lambda → PostgreSQL at 18K events/hr sub-second latency; Redis caching cut API latency 27%</w:t>
      </w:r>
    </w:p>
    <w:p>
      <w:pPr>
        <w:pStyle w:val="ListParagraph"/>
        <w:numPr>
          <w:ilvl w:val="0"/>
          <w:numId w:val="2"/>
        </w:numPr>
        <w:spacing w:after="9" w:before="9"/>
      </w:pPr>
      <w:r>
        <w:rPr>
          <w:rFonts w:ascii="Arial" w:cs="Arial" w:eastAsia="Arial" w:hAnsi="Arial"/>
          <w:sz w:val="16"/>
          <w:szCs w:val="16"/>
        </w:rPr>
        <w:t xml:space="preserve">Platform Acceleration: monolith split into 6 microservices (EKS, Docker); OTel + Grafana Tempo; SLO dashboards achieved 2x peak traffic with zero downtime; operated GPT-4 production inference at 1.2M conversations/month, p95 &lt; 350ms; RAG pipeline reduced hallucinations 42%; led team of 21</w:t>
      </w:r>
    </w:p>
    <w:p>
      <w:pPr>
        <w:tabs>
          <w:tab w:val="right" w:pos="9360"/>
        </w:tabs>
        <w:spacing w:after="3" w:before="80"/>
      </w:pPr>
      <w:r>
        <w:rPr>
          <w:rFonts w:ascii="Arial" w:cs="Arial" w:eastAsia="Arial" w:hAnsi="Arial"/>
          <w:b/>
          <w:bCs/>
          <w:sz w:val="17"/>
          <w:szCs w:val="17"/>
          <w:u w:val="single"/>
        </w:rPr>
        <w:t xml:space="preserve">Global Relay Integration + Smarsh-SMTP  —  Financial Compliance Archival Platform  (Owner / Architect)</w:t>
      </w:r>
      <w:r>
        <w:rPr>
          <w:rFonts w:ascii="Arial" w:cs="Arial" w:eastAsia="Arial" w:hAnsi="Arial"/>
          <w:i/>
          <w:iCs/>
          <w:color w:val="888888"/>
          <w:sz w:val="13"/>
          <w:szCs w:val="13"/>
        </w:rPr>
        <w:t xml:space="preserve">	Feb 2024 – Jun 2025</w:t>
      </w:r>
    </w:p>
    <w:p>
      <w:pPr>
        <w:spacing w:after="10" w:before="0"/>
      </w:pPr>
      <w:r>
        <w:rPr>
          <w:rFonts w:ascii="Arial" w:cs="Arial" w:eastAsia="Arial" w:hAnsi="Arial"/>
          <w:i/>
          <w:iCs/>
          <w:color w:val="555555"/>
          <w:sz w:val="13"/>
          <w:szCs w:val="13"/>
        </w:rPr>
        <w:t xml:space="preserve">Java 11  ·  Spring Boot  ·  AWS Lambda  ·  S3  ·  DynamoDB  ·  KMS  ·  PGP  ·  IAM  ·  CloudWatch  ·  Grafana</w:t>
      </w:r>
    </w:p>
    <w:p>
      <w:pPr>
        <w:pStyle w:val="ListParagraph"/>
        <w:numPr>
          <w:ilvl w:val="0"/>
          <w:numId w:val="2"/>
        </w:numPr>
        <w:spacing w:after="9" w:before="9"/>
      </w:pPr>
      <w:r>
        <w:rPr>
          <w:rFonts w:ascii="Arial" w:cs="Arial" w:eastAsia="Arial" w:hAnsi="Arial"/>
          <w:sz w:val="16"/>
          <w:szCs w:val="16"/>
        </w:rPr>
        <w:t xml:space="preserve">Built from scratch: S3 upload pipeline, DynamoDB-backed cron scheduler, Lambda handler with Secret Manager, in-memory cache service, Teams dual-notification webhook, audit inspection endpoints (IM/Meeting/Social/MeetUp data integrity), custom rate-limited JSON URL-push endpoint, CORS security filters; Smarsh-SMTP archival in parallel — FINRA + SEC 17a-4 compliant, 200 GB/year at 45 MB/s, 0 data-loss in 2 years, 99.9% SLA, 2 external pen tests passed</w:t>
      </w:r>
    </w:p>
    <w:p>
      <w:pPr>
        <w:tabs>
          <w:tab w:val="right" w:pos="9360"/>
        </w:tabs>
        <w:spacing w:after="16" w:before="115"/>
      </w:pPr>
      <w:r>
        <w:rPr>
          <w:rFonts w:ascii="Arial" w:cs="Arial" w:eastAsia="Arial" w:hAnsi="Arial"/>
          <w:b/>
          <w:bCs/>
          <w:sz w:val="18"/>
          <w:szCs w:val="18"/>
        </w:rPr>
        <w:t xml:space="preserve">Platform Architect  ·  Engineersmind</w:t>
      </w:r>
      <w:r>
        <w:rPr>
          <w:rFonts w:ascii="Arial" w:cs="Arial" w:eastAsia="Arial" w:hAnsi="Arial"/>
          <w:color w:val="333333"/>
          <w:sz w:val="16"/>
          <w:szCs w:val="16"/>
        </w:rPr>
        <w:t xml:space="preserve">  ·  Hedge Funds Portal &amp; KYC</w:t>
      </w:r>
      <w:r>
        <w:rPr>
          <w:rFonts w:ascii="Arial" w:cs="Arial" w:eastAsia="Arial" w:hAnsi="Arial"/>
          <w:i/>
          <w:iCs/>
          <w:color w:val="777777"/>
          <w:sz w:val="14"/>
          <w:szCs w:val="14"/>
        </w:rPr>
        <w:t xml:space="preserve">	2021 – Feb 2024</w:t>
      </w:r>
    </w:p>
    <w:p>
      <w:pPr>
        <w:pStyle w:val="ListParagraph"/>
        <w:numPr>
          <w:ilvl w:val="0"/>
          <w:numId w:val="2"/>
        </w:numPr>
        <w:spacing w:after="9" w:before="9"/>
      </w:pPr>
      <w:r>
        <w:rPr>
          <w:rFonts w:ascii="Arial" w:cs="Arial" w:eastAsia="Arial" w:hAnsi="Arial"/>
          <w:sz w:val="16"/>
          <w:szCs w:val="16"/>
        </w:rPr>
        <w:t xml:space="preserve">OAuth 2.0 client + webhook handler (~7K digital-sign events/week, 48h to 6h signature cycle), KYC OCR pipeline (75% manual reduction), KMS encryption, SOC-2 compliance</w:t>
      </w:r>
    </w:p>
    <w:p>
      <w:pPr>
        <w:tabs>
          <w:tab w:val="right" w:pos="9360"/>
        </w:tabs>
        <w:spacing w:after="16" w:before="115"/>
      </w:pPr>
      <w:r>
        <w:rPr>
          <w:rFonts w:ascii="Arial" w:cs="Arial" w:eastAsia="Arial" w:hAnsi="Arial"/>
          <w:b/>
          <w:bCs/>
          <w:sz w:val="18"/>
          <w:szCs w:val="18"/>
        </w:rPr>
        <w:t xml:space="preserve">System Engineer  ·  Tata Consultancy Services</w:t>
      </w:r>
      <w:r>
        <w:rPr>
          <w:rFonts w:ascii="Arial" w:cs="Arial" w:eastAsia="Arial" w:hAnsi="Arial"/>
          <w:color w:val="333333"/>
          <w:sz w:val="16"/>
          <w:szCs w:val="16"/>
        </w:rPr>
        <w:t xml:space="preserve">  ·  MH, India</w:t>
      </w:r>
      <w:r>
        <w:rPr>
          <w:rFonts w:ascii="Arial" w:cs="Arial" w:eastAsia="Arial" w:hAnsi="Arial"/>
          <w:i/>
          <w:iCs/>
          <w:color w:val="777777"/>
          <w:sz w:val="14"/>
          <w:szCs w:val="14"/>
        </w:rPr>
        <w:t xml:space="preserve">	Feb 2020 – Jul 2021</w:t>
      </w:r>
    </w:p>
    <w:p>
      <w:pPr>
        <w:pStyle w:val="ListParagraph"/>
        <w:numPr>
          <w:ilvl w:val="0"/>
          <w:numId w:val="2"/>
        </w:numPr>
        <w:spacing w:after="9" w:before="9"/>
      </w:pPr>
      <w:r>
        <w:rPr>
          <w:rFonts w:ascii="Arial" w:cs="Arial" w:eastAsia="Arial" w:hAnsi="Arial"/>
          <w:sz w:val="16"/>
          <w:szCs w:val="16"/>
        </w:rPr>
        <w:t xml:space="preserve">Banking APIs serving 2,000+ branches, 15M customers; 30% query optimization; Prometheus production monitoring</w:t>
      </w:r>
    </w:p>
    <w:p>
      <w:pPr>
        <w:pBdr>
          <w:bottom w:val="single" w:color="1A56DB" w:sz="6"/>
        </w:pBdr>
        <w:spacing w:after="42" w:before="150"/>
      </w:pPr>
      <w:r>
        <w:rPr>
          <w:rFonts w:ascii="Arial" w:cs="Arial" w:eastAsia="Arial" w:hAnsi="Arial"/>
          <w:b/>
          <w:bCs/>
          <w:caps/>
          <w:color w:val="1A56DB"/>
          <w:sz w:val="18"/>
          <w:szCs w:val="18"/>
        </w:rPr>
        <w:t xml:space="preserve">Open Source — Direct AI Platform Ecosystem Contributions</w:t>
      </w:r>
    </w:p>
    <w:p>
      <w:pPr>
        <w:pStyle w:val="ListParagraph"/>
        <w:numPr>
          <w:ilvl w:val="0"/>
          <w:numId w:val="2"/>
        </w:numPr>
        <w:spacing w:after="9" w:before="9"/>
      </w:pPr>
      <w:r>
        <w:rPr>
          <w:rFonts w:ascii="Arial" w:cs="Arial" w:eastAsia="Arial" w:hAnsi="Arial"/>
          <w:sz w:val="16"/>
          <w:szCs w:val="16"/>
        </w:rPr>
        <w:t xml:space="preserve">Scale AI LLM Engine — Platform Infrastructure (2025): enterprise Prometheus metrics, priority-based batch scheduler with exponential backoff, mock executor (zero GPU CI cost), local-to-cloud deployment; 50x faster scheduling (5s → 0.1s), 100% test coverage, 85 tests, 37s CI runtime</w:t>
      </w:r>
    </w:p>
    <w:p>
      <w:pPr>
        <w:pStyle w:val="ListParagraph"/>
        <w:numPr>
          <w:ilvl w:val="0"/>
          <w:numId w:val="2"/>
        </w:numPr>
        <w:spacing w:after="9" w:before="9"/>
      </w:pPr>
      <w:r>
        <w:rPr>
          <w:rFonts w:ascii="Arial" w:cs="Arial" w:eastAsia="Arial" w:hAnsi="Arial"/>
          <w:sz w:val="16"/>
          <w:szCs w:val="16"/>
        </w:rPr>
        <w:t xml:space="preserve">Terraform IaC — Multi-Cloud Platform System (2025): production AWS infra (EC2, RDS, S3, VPC isolation, Secrets Manager, IAM least-privilege, remote state locking), CI/CD-ready with drift detection — cloud-agnostic tooling pattern</w:t>
      </w:r>
    </w:p>
    <w:p>
      <w:pPr>
        <w:pStyle w:val="ListParagraph"/>
        <w:numPr>
          <w:ilvl w:val="0"/>
          <w:numId w:val="2"/>
        </w:numPr>
        <w:spacing w:after="9" w:before="9"/>
      </w:pPr>
      <w:r>
        <w:rPr>
          <w:rFonts w:ascii="Arial" w:cs="Arial" w:eastAsia="Arial" w:hAnsi="Arial"/>
          <w:sz w:val="16"/>
          <w:szCs w:val="16"/>
        </w:rPr>
        <w:t xml:space="preserve">Multi-Agent Trading System (2025): 7 specialized AI agents with consensus-based signal aggregation; backtested 15 symbols / 10 years, Monte Carlo simulation (10,000 paths)</w:t>
      </w:r>
    </w:p>
    <w:p>
      <w:pPr>
        <w:pStyle w:val="ListParagraph"/>
        <w:numPr>
          <w:ilvl w:val="0"/>
          <w:numId w:val="2"/>
        </w:numPr>
        <w:spacing w:after="9" w:before="9"/>
      </w:pPr>
      <w:r>
        <w:rPr>
          <w:rFonts w:ascii="Arial" w:cs="Arial" w:eastAsia="Arial" w:hAnsi="Arial"/>
          <w:sz w:val="16"/>
          <w:szCs w:val="16"/>
        </w:rPr>
        <w:t xml:space="preserve">PDFfillr.ai SDK: 5 public repos — OpenAPI 3.1, Python SDK (PyPI), Go SDK (npm), persona-based AI training infrastructure (pdffillr.ai/documentation)</w:t>
      </w:r>
    </w:p>
    <w:p>
      <w:pPr>
        <w:pBdr>
          <w:bottom w:val="single" w:color="1A56DB" w:sz="6"/>
        </w:pBdr>
        <w:spacing w:after="42" w:before="150"/>
      </w:pPr>
      <w:r>
        <w:rPr>
          <w:rFonts w:ascii="Arial" w:cs="Arial" w:eastAsia="Arial" w:hAnsi="Arial"/>
          <w:b/>
          <w:bCs/>
          <w:caps/>
          <w:color w:val="1A56DB"/>
          <w:sz w:val="18"/>
          <w:szCs w:val="18"/>
        </w:rPr>
        <w:t xml:space="preserve">Research &amp; Education</w:t>
      </w:r>
    </w:p>
    <w:p>
      <w:pPr>
        <w:tabs>
          <w:tab w:val="right" w:pos="9360"/>
        </w:tabs>
        <w:spacing w:after="6" w:before="26"/>
      </w:pPr>
      <w:r>
        <w:rPr>
          <w:rFonts w:ascii="Arial" w:cs="Arial" w:eastAsia="Arial" w:hAnsi="Arial"/>
          <w:b/>
          <w:bCs/>
          <w:sz w:val="16"/>
          <w:szCs w:val="16"/>
        </w:rPr>
        <w:t xml:space="preserve">New York University  —  M.S. Computer Science</w:t>
      </w:r>
      <w:r>
        <w:rPr>
          <w:rFonts w:ascii="Arial" w:cs="Arial" w:eastAsia="Arial" w:hAnsi="Arial"/>
          <w:i/>
          <w:iCs/>
          <w:color w:val="666666"/>
          <w:sz w:val="13"/>
          <w:szCs w:val="13"/>
        </w:rPr>
        <w:t xml:space="preserve">	New York, NY</w:t>
      </w:r>
    </w:p>
    <w:p>
      <w:pPr>
        <w:spacing w:after="12" w:before="2"/>
      </w:pPr>
      <w:r>
        <w:rPr>
          <w:rFonts w:ascii="Arial" w:cs="Arial" w:eastAsia="Arial" w:hAnsi="Arial"/>
          <w:i/>
          <w:iCs/>
          <w:color w:val="555555"/>
          <w:sz w:val="13"/>
          <w:szCs w:val="13"/>
        </w:rPr>
        <w:t xml:space="preserve">Distributed Systems, ML Infrastructure, Security &amp; Platform Engineering</w:t>
      </w:r>
    </w:p>
    <w:p>
      <w:pPr>
        <w:spacing w:after="6" w:before="6"/>
      </w:pPr>
      <w:r>
        <w:rPr>
          <w:rFonts w:ascii="Arial" w:cs="Arial" w:eastAsia="Arial" w:hAnsi="Arial"/>
          <w:b/>
          <w:bCs/>
          <w:sz w:val="14"/>
          <w:szCs w:val="14"/>
        </w:rPr>
        <w:t xml:space="preserve">Publications: </w:t>
      </w:r>
      <w:r>
        <w:rPr>
          <w:rFonts w:ascii="Arial" w:cs="Arial" w:eastAsia="Arial" w:hAnsi="Arial"/>
          <w:sz w:val="14"/>
          <w:szCs w:val="14"/>
        </w:rPr>
        <w:t xml:space="preserve">Virtual Assistant Chatbot Architecture based on NLP for Customer Service — RAAI 2020, Springer  ·  A Machine Learning Based Approach to Password Authentication using Keystroke Biometrics — Springer AI Conference</w:t>
      </w:r>
    </w:p>
    <w:sectPr>
      <w:pgSz w:w="12240" w:h="15840" w:orient="portrait"/>
      <w:pgMar w:top="740" w:right="840" w:bottom="740" w:left="8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 w:before="7"/>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2026-06-30T14:44:58.267Z</dcterms:created>
  <dcterms:modified xsi:type="dcterms:W3CDTF">2026-06-30T14:44:58.281Z</dcterms:modified>
</cp:coreProperties>
</file>

<file path=docProps/custom.xml><?xml version="1.0" encoding="utf-8"?>
<Properties xmlns="http://schemas.openxmlformats.org/officeDocument/2006/custom-properties" xmlns:vt="http://schemas.openxmlformats.org/officeDocument/2006/docPropsVTypes"/>
</file>