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lineRule="auto"/>
        <w:ind w:left="567" w:right="567"/>
        <w:jc w:val="center"/>
      </w:pPr>
      <w:r>
        <w:rPr>
          <w:rFonts w:ascii="Calibri" w:cs="Calibri" w:eastAsia="Calibri" w:hAnsi="Calibri"/>
          <w:b/>
          <w:bCs/>
          <w:i w:val="false"/>
          <w:iCs w:val="false"/>
          <w:color w:val="000000"/>
          <w:sz w:val="28"/>
          <w:szCs w:val="28"/>
        </w:rPr>
        <w:t xml:space="preserve">Module III</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Right to equality (Articles 14 to 18)</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 Equality before law and equal protection of laws (Article 14)</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Right to Equality is the bedrock of Indian constitutionalism. Among the six categories of Fundamental Rights guaranteed under Part III, the right to equality occupies the first position, reflecting the framers' belief that an ordered and just society cannot exist where discrimination, arbitrariness, and privilege are constitutionally permitted. Article 14, which embodies this right, has evolved from a relatively narrow guarantee against arbitrary classification into the principal constitutional weapon against every form of unreasonable and arbitrary State action.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14 is notable in several respects. First, unlike many Fundamental Rights that protect only citizens, Article 14 extends its guarantee to 'any person,' which the Supreme Court has interpreted to include citizens, foreign nationals, companies, corporations, and other juristic entities. Second, it does not demand that every person be treated identically; instead, it demands that equals be treated equally and that unequals be treated proportionately differently. Third, the scope of Article 14 has expanded dramatically through judicial interpretation, moving from the doctrine of reasonable classification to the broader anti-arbitrariness doctrine articulated in E.P. Royappa v. State of Tamil Nadu. Today, Article 14 is a guarantee not only against discriminatory classification but against every form of arbitrary, unreasonable, and unfair State action.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According to M.P. Jain, Article 14 has become 'the genus from which many constitutional protections have evolved,' because it embodies the principle of fairness in governance. D.D. Basu describes it as the 'guarantee against arbitrary State action' and one of the most dynamic provisions of the Constitution.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14: text and explanation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14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not deny to any person equality before the law or the equal protection of the laws within the territory of India.</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14 contains two complementary concepts: equality before the law, a negative concept borrowed from Dicey's Rule of Law requiring the absence of special privilege and equal subjection of all to the ordinary law; and equal protection of the laws, a positive concept borrowed from the Fourteenth Amendment to the United States Constitution requiring that similarly situated persons be treated similarly. Together these two principles ensure both formal equality (no arbitrary distinctions) and substantive equality (affirmative measures to address structural disadvantage). The Article extends to all legislative action, executive action, administrative decisions, and quasi-judicial proceedings of every authority that falls within the meaning of 'State' under Article 12.</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Equality before law and equal protection of laws</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736"/>
        <w:gridCol w:w="3078"/>
        <w:gridCol w:w="3078"/>
      </w:tblGrid>
      <w:tr>
        <w:trPr>
          <w:tblHeader/>
        </w:trP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Equality before law</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Equal protection of laws</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Origin</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English concept; A.V. Dicey's Rule of Law</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Borrowed from the Fourteenth Amendment to the US Constitution</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Nature</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Negative concept: prohibits special privileges</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Positive concept: requires equal treatment of similarly situated persons</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Content</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 person above the law; equal subjection to ordinary courts</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Permits reasonable classification where persons are differently situated</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Focus</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Absence of arbitrary power and privilege</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Active removal of discrimination; supports affirmative action</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Equality and absolute equality</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736"/>
        <w:gridCol w:w="3078"/>
        <w:gridCol w:w="3078"/>
      </w:tblGrid>
      <w:tr>
        <w:trPr>
          <w:tblHeader/>
        </w:trP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Equality under Article 14</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Absolute equality</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Meaning</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Equal treatment of similarly situated persons</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Identical treatment of every person regardless of circumstances</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Constitutional recognition</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Recognised; basis of Part III</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Not recognised by the Constitution</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Classification</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Reasonable classification permitted</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 classification permitted</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Practicality</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Realistic and flexible</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Impractical and unachievable in a complex society</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Interpretation of Article 14 over the years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Phase I: doctrine of reasonable classification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In the early years after the Constitution came into force, the Supreme Court interpreted Article 14 primarily through the doctrine of reasonable classification. Classification — the grouping of persons or objects having similar characteristics for different legal treatment — was recognised as not only permissible but necessary for practical governance. The Court held that class legislation is prohibited but classification for legitimate purposes is permitted, provided the classification satisfies the two conditions developed in the leading case of Budhan Choudhry v. State of Bihar: first, the classification must be founded on an intelligible differentia that distinguishes the persons or things in the class from those outside it; and second, the differentia must have a rational nexus with the object sought to be achieved by the legislation.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Phase II: anti-arbitrariness doctrine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 revolutionary expansion occurred in E.P. Royappa v. State of Tamil Nadu, where Justice P.N. Bhagwati held that 'equality is antithetic to arbitrariness.' The decision shifted the focus from examining whether a classification was reasonable to asking whether the State action was arbitrary. Arbitrariness, the Court reasoned, is inherently unequal and therefore violates Article 14. This new approach was consolidated in Maneka Gandhi v. Union of India, where the Supreme Court held that Articles 14, 19, and 21 form an integrated constitutional code and that any law depriving a person of life or personal liberty must be fair, just, reasonable, and non-arbitrary. Today, the anti-arbitrariness doctrine governs virtually every exercise of State power, whether legislative, executive, or administrative.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Doctrine of intelligible differentia</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doctrine of intelligible differentia requires that when the State classifies persons or situations for different treatment, the basis for the classification must be clear, discernible, and substantial. An intelligible differentia is a real and substantial distinction that separates persons in one class from those outside it. The differentia must be more than a mere administrative convenience: it must rest on some genuine difference of condition or circumstance that justifies distinct treatment. Once an intelligible differentia exists, it must also have a rational nexus with the object of the legislation — that is, the purpose served by treating the two groups differently must be rationally connected to the difference that exists between them. A failure to satisfy either element renders the classification arbitrary and unconstitutional.</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7. Doctrine of legitimate expectation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doctrine of legitimate expectation protects individuals who have a reasonable expectation that a public authority will act fairly, consistently, and in accordance with its declared policies or established practices. The expectation may arise from an express promise, a consistent past practice, an established governmental policy, or a representation by an administrative authority. Although a legitimate expectation does not create a judicially enforceable substantive right to a particular outcome, it entitles the affected person to procedural fairness — the right to be heard before the expectation is defeated — and may restrain the authority from acting inconsistently with its prior representations without adequate justification. The doctrine promotes administrative consistency, protects public confidence in governmental action, and reinforces the Rule of Law as elements of Article 14.</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8. Exceptions to Article 14</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Constitution does not require absolute equality in every circumstance. Several provisions create limited exceptions to the guarantee in Article 14 where necessary for the effective functioning of constitutional institutions, the protection of diplomatic relations, or the promotion of substantive equality.</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Presidential and gubernatorial immunity (Article 361)</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361 grants immunity to the President and Governors from personal liability in courts for acts performed in the exercise of their official powers and duties. During their term, they cannot be subjected to criminal proceedings or arrested. Civil proceedings in respect of acts done in a personal capacity may be initiated only after two months' prior notice. These immunities protect the independence of constitutional offices and smooth executive functioning; they do not, however, place the President or Governors above the Constitution, and governmental actions taken in their name remain subject to judicial review.</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Parliamentary privileges (Articles 105 and 194)</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Members of Parliament and State Legislatures enjoy freedom of speech within their respective Houses and immunity from legal proceedings for anything said or any vote given during legislative proceedings. These privileges protect legislative independence and the effective discharge of parliamentary functions; they are institutional rather than personal in character.</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Diplomatic immunity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Diplomatic representatives accredited to India enjoy privileges and immunities under international law and the Diplomatic Relations (Vienna Convention) Act, 1972. These immunities facilitate friendly international relations and protect the independence of diplomatic missions. They represent a constitutionally recognised exception to the principle of equal subjection to law.</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Protective discrimination (Articles 15 and 16)</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Constitution expressly permits special provisions for women and children (Article 15(3)), for socially and educationally backward classes, Scheduled Castes, and Scheduled Tribes (Articles 15(4), (5), and 16(4)), and for Economically Weaker Sections (Articles 15(6) and 16(6)). These provisions are not exceptions to equality in the negative sense; rather, they are constitutional mechanisms for achieving substantive equality by addressing historical and structural disadvantages.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9.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State of West Bengal v. Anwar Ali Sarkar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1952 SC 75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West Bengal Special Courts Act, 1950, empowered the State Government to refer any case or class of cases to a Special Court without specifying objective criteria. Cases so referred would be tried by the Special Court under a modified and expedited procedure.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Act violated Article 14 by conferring unguided and arbitrary discretion on the executive to select cases for special treatment.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Act conferred excessive and unguided discretion on the executive and lacked an intelligible differentia. A law that authorises differential treatment without prescribing any basis for the differentiation violates Article 14. The Court struck down the provisions as unconstitutional.</w:t>
      </w:r>
    </w:p>
    <w:p>
      <w:pPr>
        <w:spacing w:after="40" w:before="200" w:line="240" w:lineRule="auto"/>
        <w:ind w:left="567" w:right="567"/>
      </w:pPr>
      <w:r>
        <w:rPr>
          <w:rFonts w:ascii="Calibri" w:cs="Calibri" w:eastAsia="Calibri" w:hAnsi="Calibri"/>
          <w:b/>
          <w:bCs/>
          <w:i w:val="false"/>
          <w:iCs w:val="false"/>
          <w:color w:val="000000"/>
          <w:sz w:val="28"/>
          <w:szCs w:val="28"/>
        </w:rPr>
        <w:t xml:space="preserve">Budhan Choudhry v. State of Bihar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1955 SC 191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a provision prescribing a different criminal procedure for habitual offenders was challenged as discriminatory under Article 14.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differential criminal procedure for habitual offenders satisfied the requirements of Article 14.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formulated the classic two-fold test for valid classification: the classification must be founded on an intelligible differentia distinguishing persons grouped together from those left out, and the differentia must have a rational nexus with the object of the legislation. The classification of habitual offenders for different treatment was upheld as satisfying both requirements. The judgment remains the foundational authority on the doctrine of reasonable classification.</w:t>
      </w:r>
    </w:p>
    <w:p>
      <w:pPr>
        <w:spacing w:after="40" w:before="200" w:line="240" w:lineRule="auto"/>
        <w:ind w:left="567" w:right="567"/>
      </w:pPr>
      <w:r>
        <w:rPr>
          <w:rFonts w:ascii="Calibri" w:cs="Calibri" w:eastAsia="Calibri" w:hAnsi="Calibri"/>
          <w:b/>
          <w:bCs/>
          <w:i w:val="false"/>
          <w:iCs w:val="false"/>
          <w:color w:val="000000"/>
          <w:sz w:val="28"/>
          <w:szCs w:val="28"/>
        </w:rPr>
        <w:t xml:space="preserve">E.P. Royappa v. State of Tamil Nadu</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(1974) 4 SCC 3</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senior IAS officer challenged his transfer from the post of Chief Secretary to a comparatively less significant position, contending that the transfer was arbitrary and motivated by extraneous considerations.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arbitrariness in the exercise of State power constitutes a violation of Article 14 independently of the doctrine of reasonable classification.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Justice P.N. Bhagwati articulated the landmark proposition that 'equality is antithetic to arbitrariness' and that Article 14 is a guarantee against arbitrary State action beyond the narrow confines of classification law. The decision expanded the scope of Article 14 from scrutiny of the reasonableness of classifications to scrutiny of the fairness and non-arbitrariness of every exercise of State power.</w:t>
      </w:r>
    </w:p>
    <w:p>
      <w:pPr>
        <w:spacing w:after="40" w:before="200" w:line="240" w:lineRule="auto"/>
        <w:ind w:left="567" w:right="567"/>
      </w:pPr>
      <w:r>
        <w:rPr>
          <w:rFonts w:ascii="Calibri" w:cs="Calibri" w:eastAsia="Calibri" w:hAnsi="Calibri"/>
          <w:b/>
          <w:bCs/>
          <w:i w:val="false"/>
          <w:iCs w:val="false"/>
          <w:color w:val="000000"/>
          <w:sz w:val="28"/>
          <w:szCs w:val="28"/>
        </w:rPr>
        <w:t xml:space="preserve">Maneka Gandhi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(1978) 1 SCC 248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petitioner's passport was impounded by the Central Government 'in the public interest' without furnishing reasons. The petitioner challenged the order as violating Articles 14, 19, and 21.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Articles 14, 19, and 21 should be read together, and whether the procedure prescribed for depriving a person of liberty must be fair, just, and reasonable.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Articles 14, 19, and 21 are interconnected and must be read as an integrated constitutional code. Any law or executive action depriving a person of life or personal liberty must satisfy Article 14 (non-arbitrariness), Article 19 (reasonableness), and Article 21 (fair and just procedure). The judgment transformed Indian constitutional jurisprudence and remains one of the most important decisions in the history of the Supreme Court.</w:t>
      </w:r>
    </w:p>
    <w:p>
      <w:pPr>
        <w:spacing w:after="40" w:before="200" w:line="240" w:lineRule="auto"/>
        <w:ind w:left="567" w:right="567"/>
      </w:pPr>
      <w:r>
        <w:rPr>
          <w:rFonts w:ascii="Calibri" w:cs="Calibri" w:eastAsia="Calibri" w:hAnsi="Calibri"/>
          <w:b/>
          <w:bCs/>
          <w:i w:val="false"/>
          <w:iCs w:val="false"/>
          <w:color w:val="000000"/>
          <w:sz w:val="28"/>
          <w:szCs w:val="28"/>
        </w:rPr>
        <w:t xml:space="preserve">Shayara Bano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(2017) 9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the practice of instant triple talaq, by which a Muslim husband could irrevocably dissolve the marriage by pronouncing talaq three times in rapid succession, was challenged on the ground that it was arbitrary and discriminatory against Muslim women.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practice of instant triple talaq violated the constitutional guarantee of equality under Article 14.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majority of three to two declared the practice of instant triple talaq unconstitutional on the ground that it was manifestly arbitrary: the absolute power to dissolve a marriage instantly without any cause, deliberation, or possibility of reconciliation placed Muslim women in a position of total vulnerability inconsistent with the guarantee of equality. The decision reaffirmed that the anti-arbitrariness doctrine under Article 14 extends to personal law practices.</w:t>
      </w:r>
    </w:p>
    <w:p>
      <w:pPr>
        <w:spacing w:after="40" w:before="200" w:line="240" w:lineRule="auto"/>
        <w:ind w:left="567" w:right="567"/>
      </w:pPr>
      <w:r>
        <w:rPr>
          <w:rFonts w:ascii="Calibri" w:cs="Calibri" w:eastAsia="Calibri" w:hAnsi="Calibri"/>
          <w:b/>
          <w:bCs/>
          <w:i w:val="false"/>
          <w:iCs w:val="false"/>
          <w:color w:val="000000"/>
          <w:sz w:val="28"/>
          <w:szCs w:val="28"/>
        </w:rPr>
        <w:t xml:space="preserve">Navtej Singh Johar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(2018) 10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Section 377 of the Indian Penal Code, which criminalised consensual same-sex relations between adults, was challenged as unconstitutional.</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Section 377, to the extent it criminalised consensual same-sex relations between adults, violated Articles 14, 15, 19, and 21.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Constitution Bench unanimously held that the criminalisation of consensual same-sex relations between adults was arbitrary, irrational, and incompatible with constitutional morality. The decision held that sexual orientation is a protected characteristic under Articles 14 and 15 and read down Section 377 to decriminalise consensual acts between adults. The judgment affirmed that equality, dignity, and individual autonomy are inseparable constitutional values.</w:t>
      </w:r>
    </w:p>
    <w:p>
      <w:pPr>
        <w:spacing w:after="40" w:before="200" w:line="240" w:lineRule="auto"/>
        <w:ind w:left="567" w:right="567"/>
      </w:pPr>
      <w:r>
        <w:rPr>
          <w:rFonts w:ascii="Calibri" w:cs="Calibri" w:eastAsia="Calibri" w:hAnsi="Calibri"/>
          <w:b/>
          <w:bCs/>
          <w:i w:val="false"/>
          <w:iCs w:val="false"/>
          <w:color w:val="000000"/>
          <w:sz w:val="28"/>
          <w:szCs w:val="28"/>
        </w:rPr>
        <w:t xml:space="preserve">Joseph Shine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(2019) 3 SCC 39</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Section 497 of the Indian Penal Code, which criminalised adultery but treated it as an offence only against the husband of the woman and not actionable by or against the woman herself, was challenged as discriminatory and paternalistic.</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Section 497 violated Articles 14, 15, and 21 by treating women as chattel and subjecting them to a law premised on patriarchal notions of honour.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unanimously struck down Section 497 as manifestly arbitrary and unconstitutional, holding that it was based on outdated stereotypical assumptions about women's identity being determined by marriage and that it denied women equal status as autonomous individuals. The decision reinforced Article 14 as a guarantee of both formal and substantive equality and gender justice.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10.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14 is the constitutional foundation of equal governance in India. Its dual guarantee of equality before the law and equal protection of the laws ensures that all persons are treated with fairness, dignity, and justice. The evolution from the early doctrine of reasonable classification to the modern anti-arbitrariness doctrine reflects the Court's growing understanding that equality means not just an absence of explicit discrimination but a positive requirement of fairness, reasonableness, and non-arbitrariness in every exercise of State power.</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Recent decisions including Shayara Bano, Navtej Singh Johar, and Joseph Shine demonstrate that Article 14 continues to evolve as a vehicle for substantive equality and constitutional morality. As M.P. Jain and D.D. Basu each emphasise, the Article functions as the constitutional cornerstone of the Rule of Law, ensuring that governmental power is always exercised within the limits of fairness, reasonableness, and equal justice.</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II: Prohibition of discrimination (Article 15)</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15 builds directly upon the general principle of equality in Article 14 by prohibiting discrimination on specific named grounds and by authorising affirmative action to remedy historical disadvantage. India's social history — marked for centuries by discrimination based on religion, caste, sex, and place of birth — made it imperative for the framers to move beyond a formal guarantee of equality and to address the social and structural conditions that perpetuated inequality. Article 15 serves both purposes: it prohibits the State from treating citizens unequally on the prohibited grounds, and it authorises special provisions for women, children, and socially and educationally backward classes.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prohibition in Article 15(1) extends to the State, while Article 15(2) is unusual among Fundamental Rights in also binding private persons with respect to access to public places and facilities. The affirmative provisions in Articles 15(3) through 15(6) demonstrate the Constitution's commitment to substantive equality, recognising that identical treatment cannot by itself overcome deeply entrenched structural disadvantages. As M.P. Jain observes, Article 15 is one of the most significant instruments for achieving the constitutional goal of social equality. D.D. Basu similarly observes that it transforms the abstract principle of equality under Article 14 into concrete constitutional guarantees.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15: text and explanation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15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 The State shall not discriminate against any citizen on grounds only of religion, race, caste, sex, place of birth or any of them.</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(2) No citizen shall, on grounds only of religion, race, caste, sex, place of birth or any of them, be subject to any disability, liability, restriction or condition with regard to— (a) access to shops, public restaurants, hotels and places of public entertainment; or (b) the use of wells, tanks, bathing ghats, roads and places of public resort maintained wholly or partly out of State funds or dedicated to the use of the general public.</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(3) Nothing in this article shall prevent the State from making any special provision for women and children.</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(4) Nothing in this article or in clause (2) of article 29 shall prevent the State from making any special provision for the advancement of any socially and educationally backward classes of citizens or for the Scheduled Castes and the Scheduled Tribes.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(5) Nothing in this article or in sub-clause (g) of clause (1) of article 19 shall prevent the State from making any special provision, by law, for the advancement of any socially and educationally backward classes of citizens or for the Scheduled Castes or the Scheduled Tribes in so far as such special provisions relate to their admission to educational institutions including private educational institutions, whether aided or unaided by the State, other than the minority educational institutions referred to in clause (1) of article 30.</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(6) Nothing in this article or sub-clause (g) of clause (1) of article 19 or clause (2) of article 29 shall prevent the State from making,— (a) any special provision for the advancement of any economically weaker sections of citizens other than the classes mentioned in clauses (4) and (5); and (b) any special provision for the advancement of any economically weaker sections of citizens other than the classes mentioned in clauses (4) and (5) in so far as such special provisions relate to their admission to educational institutions including private educational institutions, whether aided or unaided by the State, other than the minority educational institutions referred to in clause (1) of article 30, which in the case of reservation would be in addition to the existing reservations and subject to a maximum of ten per cent. of the total seats in each category.</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Clause (1) prohibits State discrimination against any citizen 'on grounds only of' the five prohibited grounds. The word 'only' is significant: differential treatment is unconstitutional only when it is based exclusively on a prohibited ground. Clause (2) uniquely binds private persons as well as the State with respect to access to public places and publicly funded or dedicated facilities, reflecting the specific history of caste-based exclusion from public spaces. Clauses (3) through (6) are enabling provisions authorising various forms of affirmative action, each added by constitutional amendment to respond to judicial decisions or changing social needs.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Constitutional amendments to Article 15</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2762"/>
        <w:gridCol w:w="1578"/>
        <w:gridCol w:w="3552"/>
      </w:tblGrid>
      <w:tr>
        <w:trPr>
          <w:tblHeader/>
        </w:trPr>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Amendment</w:t>
            </w:r>
          </w:p>
        </w:tc>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Clause inserted</w:t>
            </w:r>
          </w:p>
        </w:tc>
        <w:tc>
          <w:tcPr>
            <w:tcW w:type="dxa" w:w="355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Purpose</w:t>
            </w:r>
          </w:p>
        </w:tc>
      </w:tr>
      <w:tr>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First Amendment Act, 1951</w:t>
            </w:r>
          </w:p>
        </w:tc>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Article 15(4)</w:t>
            </w:r>
          </w:p>
        </w:tc>
        <w:tc>
          <w:tcPr>
            <w:tcW w:type="dxa" w:w="355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Inserted after Champakam Dorairajan to enable reservation for SEBCs, SCs, and STs in education</w:t>
            </w:r>
          </w:p>
        </w:tc>
      </w:tr>
      <w:tr>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Ninety-third Amendment Act, 2005</w:t>
            </w:r>
          </w:p>
        </w:tc>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Article 15(5)</w:t>
            </w:r>
          </w:p>
        </w:tc>
        <w:tc>
          <w:tcPr>
            <w:tcW w:type="dxa" w:w="355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Extended reservation to private unaided educational institutions except minority institutions under Article 30(1)</w:t>
            </w:r>
          </w:p>
        </w:tc>
      </w:tr>
      <w:tr>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One Hundred and Third Amendment Act, 2019</w:t>
            </w:r>
          </w:p>
        </w:tc>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Article 15(6)</w:t>
            </w:r>
          </w:p>
        </w:tc>
        <w:tc>
          <w:tcPr>
            <w:tcW w:type="dxa" w:w="355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Enabled up to 10% reservation for Economically Weaker Sections (EWS) not covered by clauses (4) and (5)</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State of Madras v. Champakam Dorairajan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1951 SC 226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Government of Madras followed a Communal Government Order that allocated seats in medical and engineering colleges among different religious and caste communities in specified proportions.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communal G.O. violated Article 15(1) by denying admission to an applicant solely on grounds of religion and caste.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struck down the Communal G.O. as unconstitutional, holding that it discriminated solely on prohibited grounds in violation of Article 15(1). The decision directly led to the First Constitutional Amendment of 1951, which inserted Article 15(4) to enable the State to make special provisions for backward classes in education.</w:t>
      </w:r>
    </w:p>
    <w:p>
      <w:pPr>
        <w:spacing w:after="40" w:before="200" w:line="240" w:lineRule="auto"/>
        <w:ind w:left="567" w:right="567"/>
      </w:pPr>
      <w:r>
        <w:rPr>
          <w:rFonts w:ascii="Calibri" w:cs="Calibri" w:eastAsia="Calibri" w:hAnsi="Calibri"/>
          <w:b/>
          <w:bCs/>
          <w:i w:val="false"/>
          <w:iCs w:val="false"/>
          <w:color w:val="000000"/>
          <w:sz w:val="28"/>
          <w:szCs w:val="28"/>
        </w:rPr>
        <w:t xml:space="preserve">M.R. Balaji v. State of Mysore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1963 SC 649</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State of Mysore reserved sixty-eight percent of seats in medical and engineering colleges for backward classes, Scheduled Castes, and Scheduled Tribes, leaving only thirty-two percent for open competition.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reserving sixty-eight percent of seats was constitutionally valid, and what the outer limit for reservation under Article 15(4) is.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reservations must be reasonable and that ordinarily they should not exceed fifty percent of the total seats available, as any reservation beyond that proportion would cease to be a special provision and become the rule rather than the exception. The reservation policy was struck down as excessive.</w:t>
      </w:r>
    </w:p>
    <w:p>
      <w:pPr>
        <w:spacing w:after="40" w:before="200" w:line="240" w:lineRule="auto"/>
        <w:ind w:left="567" w:right="567"/>
      </w:pPr>
      <w:r>
        <w:rPr>
          <w:rFonts w:ascii="Calibri" w:cs="Calibri" w:eastAsia="Calibri" w:hAnsi="Calibri"/>
          <w:b/>
          <w:bCs/>
          <w:i w:val="false"/>
          <w:iCs w:val="false"/>
          <w:color w:val="000000"/>
          <w:sz w:val="28"/>
          <w:szCs w:val="28"/>
        </w:rPr>
        <w:t xml:space="preserve">Indra Sawhney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1992 Supp (3) SCC 217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the implementation of the Mandal Commission report, which recommended twenty-seven percent reservation for Other Backward Classes in Central Government services, was challenged.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reservation for OBCs in public employment was constitutionally valid, whether the creamy layer among OBCs should be excluded, and what the maximum permissible reservation was.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OBC reservation in public employment under Article 16(4), introduced the creamy layer doctrine requiring the exclusion of economically advanced members of backward classes from reservation benefits, and reaffirmed that reservations should ordinarily not exceed fifty percent. The decision is the foundational modern authority on reservations in India.</w:t>
      </w:r>
    </w:p>
    <w:p>
      <w:pPr>
        <w:spacing w:after="40" w:before="200" w:line="240" w:lineRule="auto"/>
        <w:ind w:left="567" w:right="567"/>
      </w:pPr>
      <w:r>
        <w:rPr>
          <w:rFonts w:ascii="Calibri" w:cs="Calibri" w:eastAsia="Calibri" w:hAnsi="Calibri"/>
          <w:b/>
          <w:bCs/>
          <w:i w:val="false"/>
          <w:iCs w:val="false"/>
          <w:color w:val="000000"/>
          <w:sz w:val="28"/>
          <w:szCs w:val="28"/>
        </w:rPr>
        <w:t xml:space="preserve">Ashoka Kumar Thakur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(2008) 6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Article 15(5) and the Central Educational Institutions (Reservation in Admission) Act, 2006, providing OBC reservation in Central educational institutions, was challenged.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Article 15(5) violated the Basic Structure of the Constitution.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Article 15(5) and confirmed that the creamy layer principle applies to OBC reservations. The judgment strengthened affirmative action in higher education while retaining the constitutional limitation that the genuinely advanced within a backward class should not benefit from reservation.</w:t>
      </w:r>
    </w:p>
    <w:p>
      <w:pPr>
        <w:spacing w:after="40" w:before="200" w:line="240" w:lineRule="auto"/>
        <w:ind w:left="567" w:right="567"/>
      </w:pPr>
      <w:r>
        <w:rPr>
          <w:rFonts w:ascii="Calibri" w:cs="Calibri" w:eastAsia="Calibri" w:hAnsi="Calibri"/>
          <w:b/>
          <w:bCs/>
          <w:i w:val="false"/>
          <w:iCs w:val="false"/>
          <w:color w:val="000000"/>
          <w:sz w:val="28"/>
          <w:szCs w:val="28"/>
        </w:rPr>
        <w:t xml:space="preserve">Janhit Abhiyan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(2023) 5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the One Hundred and Third Amendment Act, 2019, which inserted Articles 15(6) and 16(6) to enable ten percent reservation for Economically Weaker Sections, was challenged as violating the Basic Structure.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EWS reservation violated the equality code and the basic structure of the Constitution.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by a majority of three to two, upheld the One Hundred and Third Amendment. The majority held that economic criteria can be a constitutionally valid basis for affirmative action, that the amendment does not destroy the equality code, and that EWS reservation is separate from and additional to existing reservations for SC, ST, and OBC communities.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15 occupies a central position in India's constitutional framework by addressing both the prohibition of discrimination and the positive duty to correct historical disadvantage. The interplay between its prohibitory clauses and its enabling provisions reflects a sophisticated constitutional philosophy: formal equality (Article 15(1) and (2)) is necessary but not sufficient; substantive equality (Articles 15(3) through (6)) is required to address the structural conditions that produced inequality. The progressive expansion of the article through constitutional amendments, and its interpretation in landmark decisions from Champakam Dorairajan to Janhit Abhiyan, demonstrates the Constitution's continuing effort to balance individual rights with the demands of social justice.</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III: Equality of opportunity in public employment (Article 16)</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16 translates the general principle of equality under Article 14 into a specific and enforceable guarantee of equal opportunity in public employment. Public employment is not merely a source of livelihood; it is an arena of social mobility, economic empowerment, and participation in governance. Historically, recruitment to public service in India was influenced by caste, religion, and social status; the framers resolved that the new Republic's administration must be built on the foundations of merit, fairness, and non-discrimination. At the same time, they recognised that historical inequalities in access to education and social mobility had left certain communities systematically under-represented in public services, and they provided for reservations as a constitutionally sanctioned corrective.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16 has been amended five times to expand or refine the constitutional framework for reservations and related matters. The Seventy-seventh, Eighty-first, Eighty-second, Eighty-fifth, and One Hundred and Third Amendments have collectively extended reservation to promotion, protected backlog vacancies, permitted relaxation of qualifying marks for SCs and STs, introduced consequential seniority, and expanded affirmative action to Economically Weaker Sections. According to M.P. Jain, Article 16 represents a careful constitutional balance between merit and social justice. D.D. Basu similarly observes that it prevents arbitrary discrimination while permitting reasonable affirmative action for disadvantaged classes.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16: text and explanation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16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 There shall be equality of opportunity for all citizens in matters relating to employment or appointment to any office under the State.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(2) No citizen shall, on grounds only of religion, race, caste, sex, descent, place of birth, residence or any of them, be ineligible for, or discriminated against in respect of, any employment or office under the State.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(3) Nothing in this article shall prevent Parliament from making any law prescribing, in regard to a class or classes of employment or appointment to an office under the Government of, or any local or other authority within, a State or Union territory, any requirement as to residence within that State or Union territory prior to such employment or appointment.</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(4) Nothing in this article shall prevent the State from making any provision for the reservation of appointments or posts in favour of any backward class of citizens which, in the opinion of the State, is not adequately represented in the services under the State.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(4A) Nothing in this article shall prevent the State from making any provision for reservation in matters of promotion, with consequential seniority, to any class or classes of posts in the services under the State in favour of the Scheduled Castes and the Scheduled Tribes which, in the opinion of the State, are not adequately represented in the services under the State.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(4B) Nothing in this article shall prevent the State from considering any unfilled vacancies of a year which are reserved for being filled up in that year in accordance with any provision for reservation made under clause (4) or clause (4A) as a separate class of vacancies to be filled up in any succeeding year or years and such class of vacancies shall not be considered together with the vacancies of the year in which they are being filled up for determining the ceiling of fifty per cent. reservation on total number of vacancies of that year.</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(5) Nothing in this article shall affect the operation of any law which provides that the incumbent of an office in connection with the affairs of any religious or denominational institution or any member of the governing body thereof shall be a person professing a particular religion or belonging to a particular denomination.</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(6) Nothing in this article shall prevent the State from making any provision for the reservation of appointments or posts in favour of any economically weaker sections of citizens other than the classes mentioned in clause (4), in addition to the existing reservation and subject to a maximum of ten per cent. of the posts in each category.</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16(1) is the general guarantee: every citizen has an equal opportunity to compete for public employment on non-discriminatory terms. Article 16(2) specifies the prohibited grounds of discrimination, which are wider than those in Article 15(1) and include descent and residence in addition to religion, race, caste, sex, and place of birth. Clauses (4) through (6) are enabling provisions. Clause (4) empowers the State to provide reservation in appointments for backward classes inadequately represented in State services. Clause (4A), inserted by the Seventy-seventh Amendment, extends this to promotion with consequential seniority for SCs and STs. Clause (4B), inserted by the Eighty-first Amendment, allows backlog vacancies to be carried forward without being counted in the fifty percent ceiling for the year they are filled. Clause (6), inserted by the One Hundred and Third Amendment, enables up to ten percent reservation in public employment for Economically Weaker Sections not covered by clause (4).</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Catch-up rule and carry-forward rule</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736"/>
        <w:gridCol w:w="3078"/>
        <w:gridCol w:w="3078"/>
      </w:tblGrid>
      <w:tr>
        <w:trPr>
          <w:tblHeader/>
        </w:trP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Catch-up rule</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Carry-forward rule</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Subject matter</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Seniority after promotion through reservation</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Unfilled reserved vacancies</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Nature</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Judicial doctrine, subsequently modified by constitutional amendment</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Constitutional provision under Article 16(4B)</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Effect</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Senior general category employee may regain seniority where reserved category employee was accelerated through reservation</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Backlog vacancies from earlier years may be carried forward and filled in later recruitment years</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Constitutional basis</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Judicial interpretation, modified by the Eighty-fifth Amendment (consequential seniority)</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Article 16(4B) inserted by the Eighty-first Amendment, 2000</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General Manager, Southern Railway v. Rangachari</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1962 SC 36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scope of reservation in promotion under Article 16(4) was challenged, with the argument that Article 16(4) authorised reservation only in initial appointments and not in promotions.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expression 'matters relating to employment' in Article 16(1) and the word 'appointments' in Article 16(4) include promotions.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interpreted Article 16(4) broadly and held that reservation in promotion was permissible under the prevailing constitutional framework. This position was subsequently departed from in Indra Sawhney, which held that Article 16(4) by itself did not authorise reservation in promotion, leading to the Seventy-seventh Constitutional Amendment inserting Article 16(4A).</w:t>
      </w:r>
    </w:p>
    <w:p>
      <w:pPr>
        <w:spacing w:after="40" w:before="200" w:line="240" w:lineRule="auto"/>
        <w:ind w:left="567" w:right="567"/>
      </w:pPr>
      <w:r>
        <w:rPr>
          <w:rFonts w:ascii="Calibri" w:cs="Calibri" w:eastAsia="Calibri" w:hAnsi="Calibri"/>
          <w:b/>
          <w:bCs/>
          <w:i w:val="false"/>
          <w:iCs w:val="false"/>
          <w:color w:val="000000"/>
          <w:sz w:val="28"/>
          <w:szCs w:val="28"/>
        </w:rPr>
        <w:t xml:space="preserve">State of Kerala v. N.M. Thomas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(1976) 2 SCC 310</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validity of relaxation of qualifying tests for Scheduled Castes and Scheduled Tribes in promotions was challenged.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differential treatment in the form of relaxed qualifying standards violates Article 16.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relaxation, holding that substantive equality may require differential treatment and that the guarantee of equality of opportunity does not preclude affirmative action measures. The decision significantly influenced later reservation jurisprudence.</w:t>
      </w:r>
    </w:p>
    <w:p>
      <w:pPr>
        <w:spacing w:after="40" w:before="200" w:line="240" w:lineRule="auto"/>
        <w:ind w:left="567" w:right="567"/>
      </w:pPr>
      <w:r>
        <w:rPr>
          <w:rFonts w:ascii="Calibri" w:cs="Calibri" w:eastAsia="Calibri" w:hAnsi="Calibri"/>
          <w:b/>
          <w:bCs/>
          <w:i w:val="false"/>
          <w:iCs w:val="false"/>
          <w:color w:val="000000"/>
          <w:sz w:val="28"/>
          <w:szCs w:val="28"/>
        </w:rPr>
        <w:t xml:space="preserve">Indra Sawhney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1992 Supp (3) SCC 217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implementation of the Mandal Commission recommendations providing twenty-seven percent reservation for OBCs in Central Government services was challenged.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OBC reservation in public employment was valid, what the outer limit of reservations is, and whether reservation in promotions is permissible.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OBC reservation under Article 16(4), introduced the creamy layer doctrine, held that reservations ordinarily should not exceed fifty percent of the total vacancies, and held that Article 16(4) does not itself authorise reservation in promotions — leading to the Seventy-seventh Amendment. The decision remains the leading judgment on reservations in public employment.</w:t>
      </w:r>
    </w:p>
    <w:p>
      <w:pPr>
        <w:spacing w:after="40" w:before="200" w:line="240" w:lineRule="auto"/>
        <w:ind w:left="567" w:right="567"/>
      </w:pPr>
      <w:r>
        <w:rPr>
          <w:rFonts w:ascii="Calibri" w:cs="Calibri" w:eastAsia="Calibri" w:hAnsi="Calibri"/>
          <w:b/>
          <w:bCs/>
          <w:i w:val="false"/>
          <w:iCs w:val="false"/>
          <w:color w:val="000000"/>
          <w:sz w:val="28"/>
          <w:szCs w:val="28"/>
        </w:rPr>
        <w:t xml:space="preserve">M. Nagaraj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(2006) 8 SCC 212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the Seventy-seventh, Eighty-first, Eighty-second, and Eighty-fifth Constitutional Amendments, which related to reservation in promotion and related matters, was challenged.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these amendments destroyed the Basic Structure of the Constitution by abrogating equality of opportunity.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amendments but held that before providing reservation in promotion, the State must satisfy constitutional requirements by collecting relevant data on backwardness of the group and demonstrating its inadequate representation in public services, while keeping in mind the requirements of administrative efficiency under Article 335. The judgment laid down the conditions for constitutionally valid reservation in promotion.</w:t>
      </w:r>
    </w:p>
    <w:p>
      <w:pPr>
        <w:spacing w:after="40" w:before="200" w:line="240" w:lineRule="auto"/>
        <w:ind w:left="567" w:right="567"/>
      </w:pPr>
      <w:r>
        <w:rPr>
          <w:rFonts w:ascii="Calibri" w:cs="Calibri" w:eastAsia="Calibri" w:hAnsi="Calibri"/>
          <w:b/>
          <w:bCs/>
          <w:i w:val="false"/>
          <w:iCs w:val="false"/>
          <w:color w:val="000000"/>
          <w:sz w:val="28"/>
          <w:szCs w:val="28"/>
        </w:rPr>
        <w:t xml:space="preserve">Jarnail Singh v. Lachhmi Narain Gupta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(2018) 10 SCC 396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challenge was brought to revisit aspects of the M. Nagaraj decision, particularly the requirement that the State collect quantifiable data on backwardness before providing reservation in promotion for SCs and STs.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States are required to establish backwardness of SCs and STs before providing reservation in promotion, and whether this requirement in M. Nagaraj should be revisited.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partly modified M. Nagaraj, holding that States are not required to collect quantifiable data to establish the backwardness of SCs and STs before providing reservation in promotion, since their backwardness is constitutionally recognised. However, the requirement to demonstrate inadequate representation and to comply with Article 335's requirement of administrative efficiency was retained.</w:t>
      </w:r>
    </w:p>
    <w:p>
      <w:pPr>
        <w:spacing w:after="40" w:before="200" w:line="240" w:lineRule="auto"/>
        <w:ind w:left="567" w:right="567"/>
      </w:pPr>
      <w:r>
        <w:rPr>
          <w:rFonts w:ascii="Calibri" w:cs="Calibri" w:eastAsia="Calibri" w:hAnsi="Calibri"/>
          <w:b/>
          <w:bCs/>
          <w:i w:val="false"/>
          <w:iCs w:val="false"/>
          <w:color w:val="000000"/>
          <w:sz w:val="28"/>
          <w:szCs w:val="28"/>
        </w:rPr>
        <w:t xml:space="preserve">B.K. Pavitra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(2019) 16 SCC 129</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Karnataka legislation providing consequential seniority in promotions for SCs and STs was challenged.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Karnataka law complied with the constitutional requirements laid down in M. Nagaraj and Jarnail Singh for reservation in promotion.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Karnataka legislation, finding that the State had complied with the applicable constitutional requirements. The decision clarified the application of the consequential seniority principle in the context of reservation in promotion.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16 embodies the constitutional promise that public employment will be based on merit, fairness, and non-discrimination while simultaneously acknowledging that historical inequalities require structured affirmative action. The fifty-year evolution of Article 16 jurisprudence — from Rangachari through Indra Sawhney, M. Nagaraj, and Jarnail Singh — has produced a complex but coherent framework in which the goal of adequate representation of historically disadvantaged groups is pursued within the outer limits of constitutionally mandated equality of opportunity. As M.P. Jain and D.D. Basu each observe, Article 16 functions as the constitutional guarantee of inclusive and representative public administration.</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IV: Abolition of untouchability (Article 17)</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17 represents one of the most radical social reforms enacted through the Constitution. For centuries, the caste system imposed conditions of untouchability on millions of people — primarily members of communities now recognised as Scheduled Castes — subjecting them to exclusion from public places, religious institutions, sources of water, educational facilities, and ordinary social interaction. This system violated the fundamental dignity of entire communities, perpetuating economic exploitation and social degradation. The Constituent Assembly, largely on the insistence of Dr. B.R. Ambedkar, resolved that untouchability must be not merely prohibited but made an offence punishable by law.</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17 is unusual among Fundamental Rights in several respects. It is absolute — it admits of no exceptions and no reasonable restrictions. It operates against private individuals as much as the State, creating a public law obligation in a domain traditionally governed by private social norms. And it specifically mandates penal consequences, directing Parliament to give the prohibition practical teeth through criminal legislation. This mandate was fulfilled through the Untouchability (Offences) Act, 1955, later renamed the Protection of Civil Rights Act, 1955, and subsequently through the Scheduled Castes and Scheduled Tribes (Prevention of Atrocities) Act, 1989.</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17: text and explanation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17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'Untouchability' is abolished and its practice in any form is forbidden. The enforcement of any disability arising out of 'Untouchability' shall be an offence punishable in accordance with law.</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17 operates at three levels. First, it constitutionally abolishes untouchability itself, making it an invalid social institution with no legal recognition. Second, it prohibits the practice of untouchability in any form, meaning that no disability, restriction, or exclusion based on caste-based notions of impurity may be imposed. Third, it mandates criminal punishment for any person who enforces disabilities arising from untouchability. The expression 'in any form' ensures that the prohibition is not confined to traditional untouchability practices but extends to every caste-based exclusion rooted in the same social system.</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Implementing legislation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Protection of Civil Rights Act, 1955, originally enacted as the Untouchability (Offences) Act and renamed in 1976, gives criminal effect to Article 17 by making it an offence to enforce any disability arising out of untouchability. The Scheduled Castes and Scheduled Tribes (Prevention of Atrocities) Act, 1989, goes further: it creates a comprehensive framework for preventing caste-based atrocities, prescribing enhanced punishments, establishing special courts for speedy trial, providing for rehabilitation of victims, and protecting witnesses. The 2016 amendment to the Act further strengthened its provisions by inserting new offences and clarifying procedural aspects. Together these statutes translate the constitutional prohibition into an operational legal regime.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State of Karnataka v. Appa Balu Ingale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(1995) 2 SCC 273</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Members of Scheduled Castes were prevented from drawing water from a public well by upper-caste community members who invoked traditional caste-based notions of impurity and untouchability to justify the exclusion.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such exclusion from a public well on caste grounds amounted to the practice of untouchability prohibited under Article 17.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conviction of the accused, holding that Article 17 must receive a broad and purposive interpretation directed at eradicating the social evil of caste-based exclusion. The Court emphasised that untouchability is a direct assault on human dignity and that every form of caste-based exclusion in public facilities falls within the prohibition.</w:t>
      </w:r>
    </w:p>
    <w:p>
      <w:pPr>
        <w:spacing w:after="40" w:before="200" w:line="240" w:lineRule="auto"/>
        <w:ind w:left="567" w:right="567"/>
      </w:pPr>
      <w:r>
        <w:rPr>
          <w:rFonts w:ascii="Calibri" w:cs="Calibri" w:eastAsia="Calibri" w:hAnsi="Calibri"/>
          <w:b/>
          <w:bCs/>
          <w:i w:val="false"/>
          <w:iCs w:val="false"/>
          <w:color w:val="000000"/>
          <w:sz w:val="28"/>
          <w:szCs w:val="28"/>
        </w:rPr>
        <w:t xml:space="preserve">Safai Karamchari Andolan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(2014) 11 SCC 224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public interest petition highlighted the continued existence of manual scavenging — the practice of manually cleaning human excreta from dry latrines and sewers — which was performed almost exclusively by members of specific Scheduled Caste communities.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continued practice of manual scavenging was compatible with the constitutional guarantee under Article 17 and the right to life under Article 21.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manual scavenging is incompatible with Articles 14, 17, and 21 and issued comprehensive directions for the eradication of the practice, the prohibition of manual cleaning of sewers without proper safety equipment and protective gear, and the rehabilitation of manual scavengers and their families including their children's access to education.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17 embodies the Constitution's most direct commitment to social transformation. By abolishing untouchability and mandating its penalisation, it seeks to dismantle one of the most inhumane social systems known to history. The protection is absolute, universal, and enforceable against both public authorities and private persons. While significant progress has been made, the persistence of caste-based discrimination, manual scavenging, and social exclusion demonstrates the continuing importance of Article 17 and its implementing legislation. As M.P. Jain emphasises, the provision is not merely a statement of equality but an instrument of profound social reform.</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V: Abolition of titles (Article 18)</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18 addresses the republican character of the Indian Constitution by abolishing titles that create artificial social hierarchies. During the colonial period, the British Government frequently conferred honorific titles such as 'Rai Bahadur,' 'Khan Bahadur,' 'Diwan Bahadur,' and 'Sir' upon individuals as rewards for loyalty to the colonial administration. These titles created social prestige and encouraged dependence on the colonial regime. The framers of the Constitution considered such distinctions inconsistent with the principles of a democratic republic and therefore incorporated Article 18 to abolish them. At the same time, the provision expressly permits military and academic distinctions, recognising that gallantry awards and educational degrees serve legitimate purposes distinct from honorific titles that create privileged social classes.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18: text and explanation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18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 No title, not being a military or academic distinction, shall be conferred by the State.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(2) No citizen of India shall accept any title from any foreign State.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(3) No person who is not a citizen of India shall, while he holds any office of profit or trust under the State, accept without the consent of the President any title from any foreign State.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(4) No person holding any office of profit or trust under the State shall, without the consent of the President, accept any present, emolument, or office of any kind from or under any foreign State.</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Clause (1) prohibits the State from conferring titles except military distinctions (such as Param Vir Chakra) and academic distinctions (such as university degrees). Clause (2) prohibits Indian citizens from accepting titles from foreign States, protecting national allegiance and equality among citizens. Clauses (3) and (4) impose similar restrictions on non-citizens holding public office in India and on all persons holding offices of profit or trust, ensuring that foreign influence through titles, gifts, or remuneration does not compromise the independence and integrity of public service.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Civilian awards and Article 18</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Supreme Court in Balaji Raghavan v. Union of India definitively resolved the question whether national civilian awards such as the Bharat Ratna, Padma Vibhushan, Padma Bhushan, and Padma Shri violate Article 18. The Court held that these awards are not 'titles' within the meaning of Article 18, provided they are granted as recognition of exceptional service to the nation and are not used as prefixes or suffixes to names, and provided they do not become hereditary. The Court directed that awards must be conferred sparingly, only for genuinely exceptional achievement, and that their integrity and prestige must be preserved. On these conditions, civilian awards coexist harmoniously with the constitutional prohibition on titles because they reward merit rather than creating hereditary social privilege.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Landmark case law</w:t>
      </w:r>
    </w:p>
    <w:p>
      <w:pPr>
        <w:spacing w:after="40" w:before="200" w:line="240" w:lineRule="auto"/>
        <w:ind w:left="567" w:right="567"/>
      </w:pPr>
      <w:r>
        <w:rPr>
          <w:rFonts w:ascii="Calibri" w:cs="Calibri" w:eastAsia="Calibri" w:hAnsi="Calibri"/>
          <w:b/>
          <w:bCs/>
          <w:i w:val="false"/>
          <w:iCs w:val="false"/>
          <w:color w:val="000000"/>
          <w:sz w:val="28"/>
          <w:szCs w:val="28"/>
        </w:rPr>
        <w:t xml:space="preserve">Balaji Raghavan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(1996) 1 SCC 361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national civilian honours — the Bharat Ratna, Padma Vibhushan, Padma Bhushan, and Padma Shri — was challenged on the ground that they amounted to 'titles' prohibited by Article 18(1).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national civilian awards conferred by the State in recognition of exceptional service constitute 'titles' within the prohibition of Article 18(1).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civilian awards are not 'titles' within the meaning of Article 18 if they are conferred for outstanding national service, are not used as prefixes or suffixes to the recipient's name, and are not treated as hereditary distinctions. The awards serve the legitimate purpose of inspiring public service excellence without creating social hierarchy, provided the prescribed conditions are maintained. The constitutional validity of the Bharat Ratna and Padma Awards was upheld.</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18 reinforces the republican character of the Indian Constitution by ensuring that no person acquires a privileged social position by virtue of a title conferred by the State. By prohibiting honorific titles while permitting genuine academic and military distinctions, and by allowing civilian awards that recognise merit without creating hereditary privilege, the provision strikes a balance between recognising exceptional achievement and maintaining equality of status among citizens. As M.P. Jain observes, Article 18 is an essential safeguard against the revival of feudal and colonial distinctions. It ensures that in the Republic of India, recognition flows from merit and service to the nation rather than from artificial social hierarchy.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Calibri" w:cs="Calibri" w:eastAsia="Calibri" w:hAnsi="Calibri"/>
        <w:b w:val="false"/>
        <w:bCs w:val="false"/>
        <w:i w:val="false"/>
        <w:iCs w:val="false"/>
        <w:color w:val="000000"/>
        <w:sz w:val="28"/>
        <w:szCs w:val="28"/>
      </w:rPr>
      <w:t xml:space="preserve"/>
    </w:r>
    <w:r>
      <w:rPr>
        <w:rFonts w:ascii="Calibri" w:cs="Calibri" w:eastAsia="Calibri" w:hAnsi="Calibri"/>
        <w:color w:val="000000"/>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2026-07-01T12:41:55.727Z</dcterms:created>
  <dcterms:modified xsi:type="dcterms:W3CDTF">2026-07-01T12:41:55.727Z</dcterms:modified>
</cp:coreProperties>
</file>

<file path=docProps/custom.xml><?xml version="1.0" encoding="utf-8"?>
<Properties xmlns="http://schemas.openxmlformats.org/officeDocument/2006/custom-properties" xmlns:vt="http://schemas.openxmlformats.org/officeDocument/2006/docPropsVTypes"/>
</file>