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ind w:left="567" w:right="567"/>
        <w:jc w:val="center"/>
      </w:pPr>
      <w:r>
        <w:rPr>
          <w:rFonts w:ascii="Calibri" w:cs="Calibri" w:eastAsia="Calibri" w:hAnsi="Calibri"/>
          <w:b/>
          <w:bCs/>
          <w:i w:val="false"/>
          <w:iCs w:val="false"/>
          <w:color w:val="000000"/>
          <w:sz w:val="28"/>
          <w:szCs w:val="28"/>
        </w:rPr>
        <w:t xml:space="preserve">Module IV</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Right to freedom — Article 19 and the right to property</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 Freedom of speech and expression (Article 19(1)(a))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Freedom of speech and expression is the first freedom listed in Article 19(1) and is widely regarded as the cornerstone of every democratic society. It enables individuals to express their thoughts, opinions, beliefs, and criticisms without fear of arbitrary governmental interference. The Constitution recognises that democracy cannot flourish unless citizens are free to discuss public affairs, criticise governmental policies, exchange ideas, and participate meaningfully in public life. Accordingly, Article 19(1)(a) guarantees every citizen the right to freedom of speech and expression, subject to the reasonable restrictions authorised by Article 19(2).</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Although the Constitution does not expressly mention the freedom of the press, the Supreme Court has consistently held that it forms an integral part of Article 19(1)(a). Through judicial interpretation, the scope of this right has expanded dramatically: it now includes the right to receive information, commercial speech, artistic expression, the right to silence, internet-based expression, and various forms of digital communication. Article 19(1)(a) is available only to citizens; foreign nationals may not ordinarily invoke it, though they remain protected by other constitutional provisions. According to M.P. Jain, it constitutes one of the most fundamental guarantees of constitutional democracy. D.D. Basu describes freedom of speech as the lifeblood of democratic governance.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19(1)(a) and Article 19(2):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19(1)(a) and Article 19(2) of the Constitution of India provide: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19(1) All citizens shall have the right — (a) to freedom of speech and expression.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19(2) Nothing in sub-clause (a) of clause (1) shall affect the operation of any existing law, or prevent the State from making any law, in so far as such law imposes reasonable restrictions on the exercise of the right conferred by the said sub-clause in the interests of the sovereignty and integrity of India, the security of the State, friendly relations with foreign States, public order, decency or morality, or in relation to contempt of court, defamation or incitement to an offence.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19(1)(a) protects every lawful form of communicating ideas — spoken and written words, publications, broadcasts, internet communication, artistic expression, commercial speech, symbolic acts, and silence. Article 19(2) specifies nine grounds on which the State may impose reasonable restrictions. The word 'reasonable' means that restrictions must be proportionate, non-arbitrary, and must have a rational connection with the specified ground. The test of reasonableness is applied from the standpoint of the right of the citizen, balancing individual liberty against the specified public interest.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Scope of Article 19(1)(a): elements of free speech</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Supreme Court has recognised multiple dimensions of the right to freedom of speech and expression. These include the freedom to express opinions on political, social, religious, literary, or academic matters through any medium; freedom of the press including freedom of publication, circulation, and editorial independence; freedom of artistic expression through literature, painting, cinema, theatre, music, and dance; commercial speech conveying lawful information; the right to receive information as a corollary of the right to impart it; the right to know about governmental functioning, which influenced the enactment of the Right to Information Act, 2005; the right to silence, meaning the freedom not to speak; and the right to access the internet as a medium for the exercise of free expression, recognised in Anuradha Bhasin v. Union of India.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Freedom of the press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press performs an indispensable democratic function by disseminating information, forming public opinion, exposing corruption, and holding public authorities accountable. The Supreme Court has consistently held that press freedom is an integral part of Article 19(1)(a), even though the Constitution contains no separate press freedom clause. The freedom of the press includes the right to publish news and editorial opinions, the freedom to circulate publications, freedom from pre-censorship, and protection against indirect regulation through excessive taxation that impairs viability. The press remains subject to the reasonable restrictions under Article 19(2) but is protected against arbitrary censorship, excessive levies, and governmental control over content.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Reasonable restrictions under Article 19(2)</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nine grounds on which restrictions may be imposed are: sovereignty and integrity of India (inserted by the Sixteenth Amendment, 1963, to address secessionist movements); security of the State (covering serious threats such as terrorism and armed rebellion, but not ordinary law and order breaches); friendly relations with foreign States (protecting India's diplomatic interests); public order (the maintenance of public peace and tranquillity, which the Court has distinguished from mere law and order disturbances); decency (standards of civilised behaviour); morality (including constitutional morality); contempt of court (protecting the administration of justice and judicial authority); defamation (protecting individual reputation); and incitement to an offence (preventing speech that directly encourages commission of crimes). For a restriction to be valid, it must be imposed by law, pursue one of these specified grounds, and be reasonable and proportionate.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Romesh Thappar v. State of Madras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1950 SC 124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Government of Madras prohibited the circulation of the political journal 'Cross Roads' within the State.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prohibition violated Article 19(1)(a), and whether 'public safety' — the ground on which the ban was imposed — falls within the permissible restrictions.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'public safety' was not one of the grounds listed in Article 19(2) as it then stood. The ban was declared unconstitutional. The decision established the foundational principle that freedom of speech is the bedrock of democratic governance and that restrictions must fall squarely within the specified constitutional grounds.</w:t>
      </w:r>
    </w:p>
    <w:p>
      <w:pPr>
        <w:spacing w:after="40" w:before="200" w:line="240" w:lineRule="auto"/>
        <w:ind w:left="567" w:right="567"/>
      </w:pPr>
      <w:r>
        <w:rPr>
          <w:rFonts w:ascii="Calibri" w:cs="Calibri" w:eastAsia="Calibri" w:hAnsi="Calibri"/>
          <w:b/>
          <w:bCs/>
          <w:i w:val="false"/>
          <w:iCs w:val="false"/>
          <w:color w:val="000000"/>
          <w:sz w:val="28"/>
          <w:szCs w:val="28"/>
        </w:rPr>
        <w:t xml:space="preserve">Brij Bhushan v. State of Delhi</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1950 SC 129</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Chief Commissioner of Delhi imposed pre-censorship on an English weekly newspaper, requiring all content touching political matters to be submitted before publication.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prior restraint on the press violated Article 19(1)(a).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prior restraint on a newspaper constitutes a severe restriction on press freedom and struck down the censorship order. The decision strongly affirmed the principle that pre-publication censorship is incompatible with a free press guarantee.</w:t>
      </w:r>
    </w:p>
    <w:p>
      <w:pPr>
        <w:spacing w:after="40" w:before="200" w:line="240" w:lineRule="auto"/>
        <w:ind w:left="567" w:right="567"/>
      </w:pPr>
      <w:r>
        <w:rPr>
          <w:rFonts w:ascii="Calibri" w:cs="Calibri" w:eastAsia="Calibri" w:hAnsi="Calibri"/>
          <w:b/>
          <w:bCs/>
          <w:i w:val="false"/>
          <w:iCs w:val="false"/>
          <w:color w:val="000000"/>
          <w:sz w:val="28"/>
          <w:szCs w:val="28"/>
        </w:rPr>
        <w:t xml:space="preserve">Bennett Coleman and Co.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(1972) 2 SCC 788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Government restrictions on newspaper page limits and allocation of newsprint were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restrictions on the physical size of newspapers and their newsprint allocation violated press freedom.</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press freedom includes the freedom to circulate as many copies and to publish as many pages as the publisher wishes, and that restrictions affecting circulation indirectly restrict freedom of speech. The Newsprint Policy was declared unconstitutional.</w:t>
      </w:r>
    </w:p>
    <w:p>
      <w:pPr>
        <w:spacing w:after="40" w:before="200" w:line="240" w:lineRule="auto"/>
        <w:ind w:left="567" w:right="567"/>
      </w:pPr>
      <w:r>
        <w:rPr>
          <w:rFonts w:ascii="Calibri" w:cs="Calibri" w:eastAsia="Calibri" w:hAnsi="Calibri"/>
          <w:b/>
          <w:bCs/>
          <w:i w:val="false"/>
          <w:iCs w:val="false"/>
          <w:color w:val="000000"/>
          <w:sz w:val="28"/>
          <w:szCs w:val="28"/>
        </w:rPr>
        <w:t xml:space="preserve">Indian Express Newspapers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(1985) 1 SCC 641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Customs duties imposed on newsprint imported for newspaper production were challenged as unconstitutional burdens on press freedom.</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fiscal measures that substantially impair the economic viability of newspapers violate Article 19(1)(a).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while newspapers are subject to normal taxation, fiscal measures should not unreasonably burden press freedom. The Court affirmed that an independent press is vital to democracy and scrutinised the duty to assess its impact on press freedom.</w:t>
      </w:r>
    </w:p>
    <w:p>
      <w:pPr>
        <w:spacing w:after="40" w:before="200" w:line="240" w:lineRule="auto"/>
        <w:ind w:left="567" w:right="567"/>
      </w:pPr>
      <w:r>
        <w:rPr>
          <w:rFonts w:ascii="Calibri" w:cs="Calibri" w:eastAsia="Calibri" w:hAnsi="Calibri"/>
          <w:b/>
          <w:bCs/>
          <w:i w:val="false"/>
          <w:iCs w:val="false"/>
          <w:color w:val="000000"/>
          <w:sz w:val="28"/>
          <w:szCs w:val="28"/>
        </w:rPr>
        <w:t xml:space="preserve">Secretary, Ministry of Information and Broadcasting v. Cricket Association of Bengal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(1995) 2 SCC 161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Government asserted its exclusive authority to broadcast cricket matches on television through the state broadcaster.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broadcasting forms part of Article 19(1)(a), and whether private broadcasters may be excluded from the airwaves.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broadcasting is protected by Article 19(1)(a) and that the airwaves are public property that must be used in the public interest. The Government's monopoly over broadcasting was found to be inconsistent with constitutional principles. The decision opened electronic media to private broadcasting.</w:t>
      </w:r>
    </w:p>
    <w:p>
      <w:pPr>
        <w:spacing w:after="40" w:before="200" w:line="240" w:lineRule="auto"/>
        <w:ind w:left="567" w:right="567"/>
      </w:pPr>
      <w:r>
        <w:rPr>
          <w:rFonts w:ascii="Calibri" w:cs="Calibri" w:eastAsia="Calibri" w:hAnsi="Calibri"/>
          <w:b/>
          <w:bCs/>
          <w:i w:val="false"/>
          <w:iCs w:val="false"/>
          <w:color w:val="000000"/>
          <w:sz w:val="28"/>
          <w:szCs w:val="28"/>
        </w:rPr>
        <w:t xml:space="preserve">Shreya Singhal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(2015) 5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Section 66A of the Information Technology Act, 2000, which criminalised online communication that was 'grossly offensive' or caused 'annoyance' or 'inconvenience,' was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Section 66A's vague and overbroad provisions violated Article 19(1)(a).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Section 66A entirely, holding that the terms used were unconstitutionally vague and that the provision had a chilling effect on free speech far beyond anything justified by the permissible restrictions in Article 19(2). The Court also clarified that only speech constituting incitement may be restricted on public order grounds — mere discussion, advocacy, or annoying communication is constitutionally protected.</w:t>
      </w:r>
    </w:p>
    <w:p>
      <w:pPr>
        <w:spacing w:after="40" w:before="200" w:line="240" w:lineRule="auto"/>
        <w:ind w:left="567" w:right="567"/>
      </w:pPr>
      <w:r>
        <w:rPr>
          <w:rFonts w:ascii="Calibri" w:cs="Calibri" w:eastAsia="Calibri" w:hAnsi="Calibri"/>
          <w:b/>
          <w:bCs/>
          <w:i w:val="false"/>
          <w:iCs w:val="false"/>
          <w:color w:val="000000"/>
          <w:sz w:val="28"/>
          <w:szCs w:val="28"/>
        </w:rPr>
        <w:t xml:space="preserve">Anuradha Bhasin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(2020) 3 SCC 637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Restrictions on internet and telecommunications services in Jammu and Kashmir, imposed in connection with the revocation of Article 370, were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internet access falls within the protection of Article 19(1)(a) and Article 19(1)(g), and whether indefinite internet shutdowns are constitutionally permissible.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freedom of speech and expression and the freedom of profession through the internet enjoy constitutional protection under Articles 19(1)(a) and 19(1)(g). Internet restrictions must satisfy the tests of necessity and proportionality and are subject to judicial review. Indefinite or permanent shutdowns are impermissible. Orders restricting internet access must be reviewed periodically.</w:t>
      </w:r>
    </w:p>
    <w:p>
      <w:pPr>
        <w:spacing w:after="40" w:before="200" w:line="240" w:lineRule="auto"/>
        <w:ind w:left="567" w:right="567"/>
      </w:pPr>
      <w:r>
        <w:rPr>
          <w:rFonts w:ascii="Calibri" w:cs="Calibri" w:eastAsia="Calibri" w:hAnsi="Calibri"/>
          <w:b/>
          <w:bCs/>
          <w:i w:val="false"/>
          <w:iCs w:val="false"/>
          <w:color w:val="000000"/>
          <w:sz w:val="28"/>
          <w:szCs w:val="28"/>
        </w:rPr>
        <w:t xml:space="preserve">Kaushal Kishor v. State of Uttar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(2023) 4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Minister made controversial public statements about victims of a crime. The case raised questions about the constitutional responsibilities of public officials and the right to constitutional remedies for statements by government functionaries.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Minister's public statement can be treated as State action attracting Fundamental Rights remedies, and what the relationship is between free speech and ministerial responsibility.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 Minister's statement does not automatically become the State's statement simply because the person is a Minister; constitutional attribution requires examining whether the statement was made in official capacity. The decision clarified the boundaries of ministerial accountability under the Constitution while recognising that constitutional remedies may be available in appropriate cases.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19(1)(a) is the constitutional guarantee that makes democratic governance possible. By protecting the right to speak, publish, broadcast, and communicate through every medium including the internet, it preserves the free flow of information and the accountability of public institutions. The nine grounds of restriction in Article 19(2) provide the State with carefully calibrated authority to respond to genuine threats to security, order, and dignity without giving it a blank cheque for censorship. Decisions from Romesh Thappar and Brij Bhushan in 1950 to Shreya Singhal and Anuradha Bhasin in the digital age confirm that the Court treats freedom of expression as essential to constitutional democracy and scrutinises restrictions rigorously. As M.P. Jain and D.D. Basu each affirm, Article 19(1)(a) is indispensable for the exercise of all other Fundamental Rights and for the functioning of a genuinely democratic polity.</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 Freedom of peaceful assembly (Article 19(1)(b))</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Democracy requires not only individual expression but collective action. Citizens often achieve greater political and social impact by acting together, and the right to peaceful assembly enables them to demonstrate, deliberate, and mobilise in ways that individual speech cannot match. Article 19(1)(b) guarantees every citizen the right to assemble peaceably and without arms, subject to the reasonable restrictions in Article 19(3). It protects public meetings, protest marches, demonstrations, rallies, sit-ins organised in a lawful manner, and collective expressions of public opinion.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right has both political and social significance. Historically, peaceful public assembly has been the vehicle for social reform movements, labour rights campaigns, anti-discrimination protests, and civic engagement of all kinds. The Constitution protects this tradition while recognising that unchecked assemblies may threaten public order or the sovereignty and integrity of India. The distinction the Court has drawn consistently is between regulation — permissible control of time, place, and manner — and prohibition, which requires a much higher constitutional justification. According to M.P. Jain, the right to assemble peacefully is indispensable to participatory democracy. D.D. Basu observes that it enables citizens to express collective opinion while remaining subject to reasonable constitutional limitations.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19(1)(b) and Article 19(3):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19(1)(b) and Article 19(3) of the Constitution of India provide: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19(1) All citizens shall have the right — (b) to assemble peaceably and without arms.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19(3) Nothing in sub-clause (b) of the said clause shall affect the operation of any existing law in so far as it imposes, or prevent the State from making any law imposing, in the interests of the sovereignty and integrity of India or public order, reasonable restrictions on the exercise of the right conferred by the said sub-clause.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The right under Article 19(1)(b) is available only to citizens. For constitutional protection to attach, the assembly must be peaceful, without arms, and for a lawful purpose. Violent assemblies, armed processions, and unlawful assemblies are excluded. Article 19(3) permits restrictions only on two grounds — sovereignty and integrity of India, and public order — making it one of the narrower restriction clauses in Article 19. Restrictions must be imposed by law, serve one of the permitted grounds, and satisfy the tests of reasonableness and proportionality. The State may regulate the manner of assembly without prohibiting it entirely; blanket or indefinite prohibitions require exceptional justification.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Regulation versus prohibition</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973"/>
        <w:gridCol w:w="2960"/>
        <w:gridCol w:w="2959"/>
      </w:tblGrid>
      <w:tr>
        <w:trPr>
          <w:tblHeader/>
        </w:trP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Regulation (permissible)</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Prohibition (requires high justification)</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Controls the time, place, route, or manner of assembly</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Prevents the assembly from taking place at all</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Constitutional standard</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Reasonableness and proportionality</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Must be necessary and unavoidable</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Examples</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Requiring advance notice; specifying permitted routes; limiting noise levels</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Complete ban on assembly in a particular area or indefinitely</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Judicial approach</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Generally upheld if reasonable</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Carefully scrutinised; must be supported by material</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Himmat Lal K. Shah v. Commissioner of Police, Ahmedabad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(1973) 1 SCC 227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Commissioner of Police refused permission for the petitioner to hold a public meeting on a public street, relying on rules that conferred broad discretionary powers on the police to grant or refuse permission.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State may prohibit peaceful public meetings on public streets through unrestricted executive discretion.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impugned rule, holding that while the State may regulate the use of public spaces including streets in the interests of public order, it cannot vest police authorities with unguided discretion to prohibit peaceful assemblies. Citizens have a right to use public spaces for lawful assembly subject to reasonable regulation, and arbitrary denial of permission violates Article 19(1)(b).</w:t>
      </w:r>
    </w:p>
    <w:p>
      <w:pPr>
        <w:spacing w:after="40" w:before="200" w:line="240" w:lineRule="auto"/>
        <w:ind w:left="567" w:right="567"/>
      </w:pPr>
      <w:r>
        <w:rPr>
          <w:rFonts w:ascii="Calibri" w:cs="Calibri" w:eastAsia="Calibri" w:hAnsi="Calibri"/>
          <w:b/>
          <w:bCs/>
          <w:i w:val="false"/>
          <w:iCs w:val="false"/>
          <w:color w:val="000000"/>
          <w:sz w:val="28"/>
          <w:szCs w:val="28"/>
        </w:rPr>
        <w:t xml:space="preserve">Kameshwar Prasad v. State of Bihar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1962 SC 1166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Service rules imposed a blanket prohibition on government employees participating in any demonstration.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peaceful demonstrations form part of the rights under Articles 19(1)(a) and 19(1)(b) and whether a blanket prohibition is constitutionally permissible.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peaceful demonstrations are constitutionally protected while violent demonstrations are not. A blanket prohibition on all demonstrations — peaceful and violent alike — sweeps far beyond what is constitutionally permissible and was therefore struck down.</w:t>
      </w:r>
    </w:p>
    <w:p>
      <w:pPr>
        <w:spacing w:after="40" w:before="200" w:line="240" w:lineRule="auto"/>
        <w:ind w:left="567" w:right="567"/>
      </w:pPr>
      <w:r>
        <w:rPr>
          <w:rFonts w:ascii="Calibri" w:cs="Calibri" w:eastAsia="Calibri" w:hAnsi="Calibri"/>
          <w:b/>
          <w:bCs/>
          <w:i w:val="false"/>
          <w:iCs w:val="false"/>
          <w:color w:val="000000"/>
          <w:sz w:val="28"/>
          <w:szCs w:val="28"/>
        </w:rPr>
        <w:t xml:space="preserve">Babulal Parate v. State of Maharashtra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1961 SC 884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Prohibitory orders were issued under criminal law to prevent anticipated disturbances arising from a proposed public meeting.</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temporary restrictions imposed in good faith to prevent imminent threats to public order satisfy the constitutional standard.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temporary preventive orders on the facts, holding that reasonable restrictions aimed at preventing serious and imminent threats to public order are constitutionally permissible. The decision emphasised that preventive action must be based on sufficient material and must remain proportionate to the anticipated threat.</w:t>
      </w:r>
    </w:p>
    <w:p>
      <w:pPr>
        <w:spacing w:after="40" w:before="200" w:line="240" w:lineRule="auto"/>
        <w:ind w:left="567" w:right="567"/>
      </w:pPr>
      <w:r>
        <w:rPr>
          <w:rFonts w:ascii="Calibri" w:cs="Calibri" w:eastAsia="Calibri" w:hAnsi="Calibri"/>
          <w:b/>
          <w:bCs/>
          <w:i w:val="false"/>
          <w:iCs w:val="false"/>
          <w:color w:val="000000"/>
          <w:sz w:val="28"/>
          <w:szCs w:val="28"/>
        </w:rPr>
        <w:t xml:space="preserve">Ramlila Maidan Incident v. Home Secretary,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(2012) 5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Police dispersed a large peaceful gathering at Ramlila Maidan, Delhi, using force in the early hours of the morning, causing injuries to participants.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police action violated the constitutional rights of participants in a peaceful assembly.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police action was excessive and unjustified. The State has a constitutional duty to protect peaceful assemblies, and force may be used only where strictly necessary, lawful, and proportionate. The decision reaffirmed that peaceful protest is a fundamental democratic right that the State must actively protect, not merely tolerate.</w:t>
      </w:r>
    </w:p>
    <w:p>
      <w:pPr>
        <w:spacing w:after="40" w:before="200" w:line="240" w:lineRule="auto"/>
        <w:ind w:left="567" w:right="567"/>
      </w:pPr>
      <w:r>
        <w:rPr>
          <w:rFonts w:ascii="Calibri" w:cs="Calibri" w:eastAsia="Calibri" w:hAnsi="Calibri"/>
          <w:b/>
          <w:bCs/>
          <w:i w:val="false"/>
          <w:iCs w:val="false"/>
          <w:color w:val="000000"/>
          <w:sz w:val="28"/>
          <w:szCs w:val="28"/>
        </w:rPr>
        <w:t xml:space="preserve">Mazdoor Kisan Shakti Sangathan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(2018) 17 SCC 324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Restrictions on public protests at Jantar Mantar in New Delhi were challenged by civil society organisations who relied on the space for demonstrations.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blanket restrictions on protests at a designated public protest venue violated Article 19(1)(b).</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Court directed the authorities to develop a balanced regulatory framework rather than impose blanket restrictions. The decision emphasised the need to reconcile the democratic right to peaceful protest with the rights of local residents and the maintenance of public order, and rejected an approach that would effectively eliminate a designated protest space.</w:t>
      </w:r>
    </w:p>
    <w:p>
      <w:pPr>
        <w:spacing w:after="40" w:before="200" w:line="240" w:lineRule="auto"/>
        <w:ind w:left="567" w:right="567"/>
      </w:pPr>
      <w:r>
        <w:rPr>
          <w:rFonts w:ascii="Calibri" w:cs="Calibri" w:eastAsia="Calibri" w:hAnsi="Calibri"/>
          <w:b/>
          <w:bCs/>
          <w:i w:val="false"/>
          <w:iCs w:val="false"/>
          <w:color w:val="000000"/>
          <w:sz w:val="28"/>
          <w:szCs w:val="28"/>
        </w:rPr>
        <w:t xml:space="preserve">Amit Sahni v. Commissioner of Police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(2020) 10 SCC 439</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prolonged occupation of a public road in Shaheen Bagh, Delhi, in protest against the Citizenship Amendment Act blocked traffic and caused substantial inconvenience.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indefinite occupation of a public road for protest purposes is constitutionally protected under Article 19(1)(b).</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while peaceful protest is a constitutional right, demonstrations that indefinitely occupy public roads and unreasonably obstruct the rights of others are not protected. Protests must ordinarily take place at designated locations subject to reasonable regulation. The decision affirmed that the exercise of one person's rights must be reconciled with the rights of others and the larger public interest.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19(1)(b) recognises that collective expression is as essential to democratic governance as individual speech. The right to assemble peaceably — at public meetings, protests, marches, and demonstrations — translates constitutional values into lived civic practice. The cases from Himmat Lal and Kameshwar Prasad to Ramlila Maidan, Mazdoor Kisan Shakti Sangathan, and Amit Sahni trace a consistent principle: the State may regulate assembly to manage competing interests, but it must preserve the right's substance and may not use regulatory power to silence dissent. As M.P. Jain and D.D. Basu each observe, the freedom to assemble is indispensable to participatory democracy and must be protected against both arbitrary prohibition and disproportionate restriction.</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III: Freedom to form associations, unions, or co-operative societies (Article 19(1)(c))</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19(1)(c) protects the freedom of individuals to come together and organise themselves into voluntary bodies for lawful purposes. This right enables citizens to form political parties, trade unions, professional associations, cultural organisations, charitable institutions, non-governmental organisations, and co-operative societies. The right was strengthened by the Ninety-seventh Constitutional Amendment, 2011, which added 'co-operative societies' alongside 'associations' and 'unions,' though in Union of India v. Rajendra N. Shah the Supreme Court held that the extension of Part IXB to State-level co-operative societies was constitutionally invalid for want of State ratification, while the inclusion of co-operative societies in Article 19(1)(c) itself remained unaffected.</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right is not unlimited. Article 19(4) permits restrictions in the interests of the sovereignty and integrity of India, public order, and morality. The right includes not only the positive freedom to form and join associations but also a negative dimension — the freedom not to join or to leave an association. The Supreme Court has recognised that voluntary associations also enjoy a degree of organisational autonomy, including the right to determine their own membership and maintain their identity, as confirmed in Damyanti Naranga v. Union of India.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19(1)(c) and Article 19(4):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19(1)(c) and Article 19(4) of the Constitution of India provide: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19(1) All citizens shall have the right — (c) to form associations or unions or co-operative societies.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19(4) Nothing in sub-clause (c) of the said clause shall affect the operation of any existing law in so far as it saves, or prevent the State from making any law imposing, in the interests of the sovereignty and integrity of India or public order or morality, reasonable restrictions on the exercise of the right conferred by the said sub-clause.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19(1)(c) protects three distinct but related forms of collective organisation: associations (voluntary bodies for lawful purposes generally), unions (organisations protecting the collective interests of workers or professionals), and co-operative societies (voluntary economic organisations based on mutual benefit). The right includes the positive freedom to establish such bodies, join them, and maintain their organisational autonomy, as well as the negative freedom not to join or to resign. Article 19(4) restricts the grounds for limiting this right to sovereignty and integrity of India, public order, and morality. Importantly, the right to form an association does not automatically confer all the rights the association might seek to exercise — as held in All India Bank Employees, the right to form a trade union does not carry with it an absolute right to strike.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Madras v. V.G. Row</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1952 SC 196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Criminal Law Amendment Act declared certain associations unlawful without providing adequate opportunity for the affected organisation to contest the declaration.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restrictions on associations must satisfy the test of reasonableness under Article 19(4).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impugned provision, laying down the foundational test of reasonableness for restrictions under Article 19: the nature of the right, the purpose and extent of the restriction, and the circumstances in which it is imposed must all be considered. Blanket or arbitrary restrictions on associations violate Article 19(1)(c).</w:t>
      </w:r>
    </w:p>
    <w:p>
      <w:pPr>
        <w:spacing w:after="40" w:before="200" w:line="240" w:lineRule="auto"/>
        <w:ind w:left="567" w:right="567"/>
      </w:pPr>
      <w:r>
        <w:rPr>
          <w:rFonts w:ascii="Calibri" w:cs="Calibri" w:eastAsia="Calibri" w:hAnsi="Calibri"/>
          <w:b/>
          <w:bCs/>
          <w:i w:val="false"/>
          <w:iCs w:val="false"/>
          <w:color w:val="000000"/>
          <w:sz w:val="28"/>
          <w:szCs w:val="28"/>
        </w:rPr>
        <w:t xml:space="preserve">All India Bank Employees Association v. National Industrial Tribunal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1962 SC 171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contended that Article 19(1)(c) guaranteed not only the right to form a trade union but all the rights that a trade union would seek to exercise, including the right to strike.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 19(1)(c) includes every right that an association may seek to exercise.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right to form an association does not necessarily carry with it the right to achieve all the objectives of the association. There is no fundamental right to strike derivable from Article 19(1)(c). The right guaranteed is the right of formation, not a guarantee of every consequential activity.</w:t>
      </w:r>
    </w:p>
    <w:p>
      <w:pPr>
        <w:spacing w:after="40" w:before="200" w:line="240" w:lineRule="auto"/>
        <w:ind w:left="567" w:right="567"/>
      </w:pPr>
      <w:r>
        <w:rPr>
          <w:rFonts w:ascii="Calibri" w:cs="Calibri" w:eastAsia="Calibri" w:hAnsi="Calibri"/>
          <w:b/>
          <w:bCs/>
          <w:i w:val="false"/>
          <w:iCs w:val="false"/>
          <w:color w:val="000000"/>
          <w:sz w:val="28"/>
          <w:szCs w:val="28"/>
        </w:rPr>
        <w:t xml:space="preserve">O.K. Ghosh v. E.X. Joseph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1963 SC 812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Government service rules imposed a blanket prohibition on employees joining certain organisations.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sweeping restrictions on membership in associations by government employees violate Article 19(1)(c).</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invalidated the rules to the extent they imposed unreasonable restrictions, holding that governmental regulation of employee associations must remain proportionate and cannot effectively negate the right of association guaranteed to all citizens.</w:t>
      </w:r>
    </w:p>
    <w:p>
      <w:pPr>
        <w:spacing w:after="40" w:before="200" w:line="240" w:lineRule="auto"/>
        <w:ind w:left="567" w:right="567"/>
      </w:pPr>
      <w:r>
        <w:rPr>
          <w:rFonts w:ascii="Calibri" w:cs="Calibri" w:eastAsia="Calibri" w:hAnsi="Calibri"/>
          <w:b/>
          <w:bCs/>
          <w:i w:val="false"/>
          <w:iCs w:val="false"/>
          <w:color w:val="000000"/>
          <w:sz w:val="28"/>
          <w:szCs w:val="28"/>
        </w:rPr>
        <w:t xml:space="preserve">Damyanti Naranga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(1971) 1 SCC 678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Legislation compulsorily altered the composition and membership of a literary society, adding new members against the wishes of the founders.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State may compulsorily alter the membership of a voluntary association.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right to form an association includes the right to continue the association with the members voluntarily admitted by its founders. The State cannot compulsorily alter the membership composition of a voluntary association, as doing so destroys the very identity and autonomy that Article 19(1)(c) protects.</w:t>
      </w:r>
    </w:p>
    <w:p>
      <w:pPr>
        <w:spacing w:after="40" w:before="200" w:line="240" w:lineRule="auto"/>
        <w:ind w:left="567" w:right="567"/>
      </w:pPr>
      <w:r>
        <w:rPr>
          <w:rFonts w:ascii="Calibri" w:cs="Calibri" w:eastAsia="Calibri" w:hAnsi="Calibri"/>
          <w:b/>
          <w:bCs/>
          <w:i w:val="false"/>
          <w:iCs w:val="false"/>
          <w:color w:val="000000"/>
          <w:sz w:val="28"/>
          <w:szCs w:val="28"/>
        </w:rPr>
        <w:t xml:space="preserve">Union of India v. Rajendra N. Shah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(2021) 9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significant portions of the Ninety-seventh Constitutional Amendment relating to co-operative societies was challenged on the ground that it was enacted without ratification by State Legislatures.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could amend provisions concerning State co-operative societies without ratification under Article 368(2).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provisions relating to State co-operative societies under Part IXB required State ratification under Article 368(2) and, without it, those provisions were unconstitutional. However, the insertion of 'co-operative societies' in Article 19(1)(c) was not affected and remains valid.</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19(1)(c) reflects the Constitution's recognition that collective action is integral to democratic participation. Trade unions, political parties, civil society organisations, and co-operative societies all depend on this guarantee. The judicial development of the right — including the recognition of organisational autonomy in Damyanti Naranga and the clarification of its limits in All India Bank Employees and V.G. Row — has produced a balanced framework: voluntary associations enjoy genuine constitutional protection from State interference with their formation, membership, and identity, but the right has limits and does not extend to all consequential activities of the association.</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IV: Freedom of movement and right to reside (Articles 19(1)(d) and 19(1)(e))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Articles 19(1)(d) and 19(1)(e) guarantee every citizen the right to move freely throughout the territory of India and to reside and settle in any part of the country. These freedoms reflect the constitutional concept of a single national citizenship: India may consist of many States, but constitutionally the entire territory is one nation, and every citizen has the right to travel, live, and settle anywhere within it without arbitrary restriction. These rights facilitate employment mobility, educational opportunity, business development, and cultural exchange, all of which contribute to national integration.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Both rights are subject to the reasonable restrictions authorised by Article 19(5), which permits restrictions in the interests of the general public or for the protection of the interests of Scheduled Tribes. Following Maneka Gandhi, these rights must also be read with Articles 14 and 21: any restriction on movement or residence must be non-arbitrary, reasonably proportionate, and procedurally fair. M.P. Jain describes them as strengthening the concept of unified Indian citizenship. D.D. Basu observes that they enable citizens to enjoy equal opportunities throughout the country.</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19(1)(d), 19(1)(e), and Article 19(5):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Articles 19(1)(d), 19(1)(e), and Article 19(5) of the Constitution of India provide: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19(1) All citizens shall have the right — (d) to move freely throughout the territory of India; (e) to reside and settle in any part of the territory of India.</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19(5) Nothing in sub-clauses (d) and (e) of the said clause shall affect the operation of any existing law in so far as it imposes, or prevent the State from making any law imposing, reasonable restrictions on the exercise of any of the rights conferred by the said sub-clauses either in the interests of the general public or for the protection of the interests of any Scheduled Tribe.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19(1)(d) covers temporary and permanent movement — for tourism, employment, education, pilgrimage, business, or any other lawful purpose. Article 19(1)(e) covers the right to choose one's place of residence and establish a permanent or temporary home anywhere in India. The two rights complement each other: the first enables movement, the second enables settlement. Article 19(5) permits two categories of restriction: restrictions in the interests of the general public (covering public health, safety, environmental protection, urban planning, and similar concerns), and restrictions for the protection of Scheduled Tribes (enabling the preservation of tribal culture and land rights against encroachment).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Freedom of movement versus freedom of residence</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973"/>
        <w:gridCol w:w="2960"/>
        <w:gridCol w:w="2959"/>
      </w:tblGrid>
      <w:tr>
        <w:trPr>
          <w:tblHeader/>
        </w:trP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 19(1)(d): freedom of movement</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 19(1)(e): freedom of residence</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 of right</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Right to travel freely throughout India</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Right to choose and establish residence anywhere in India</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Covers</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Temporary and permanent travel, including for employment, education, and tourism</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Permanent and temporary settlement, migration across States</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Primary objective</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Individual mobility; facilitates economic and cultural exchange</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National integration; eliminates regional barriers to settlement</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Restrictions under Art. 19(5)</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General public interest and Scheduled Tribe protection</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Same grounds: general public interest and Scheduled Tribe protection</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Kharak Singh v. State of Uttar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1963 SC 1295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Police regulations authorised nocturnal domiciliary visits and continuous surveillance of the petitioner, who had been released after an earlier prosecution.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police surveillance regulations authorising domiciliary visits and continuous monitoring violated personal liberty and freedom of movement.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unauthorised domiciliary visits violated personal liberty under Article 21. The majority also addressed the relationship between surveillance and freedom, laying early groundwork for the later development of a constitutional right to privacy.</w:t>
      </w:r>
    </w:p>
    <w:p>
      <w:pPr>
        <w:spacing w:after="40" w:before="200" w:line="240" w:lineRule="auto"/>
        <w:ind w:left="567" w:right="567"/>
      </w:pPr>
      <w:r>
        <w:rPr>
          <w:rFonts w:ascii="Calibri" w:cs="Calibri" w:eastAsia="Calibri" w:hAnsi="Calibri"/>
          <w:b/>
          <w:bCs/>
          <w:i w:val="false"/>
          <w:iCs w:val="false"/>
          <w:color w:val="000000"/>
          <w:sz w:val="28"/>
          <w:szCs w:val="28"/>
        </w:rPr>
        <w:t xml:space="preserve">Satwant Singh Sawhney v. Assistant Passport Officer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1967 SC 1836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passport was impounded without statutory authority, preventing him from travelling abroad.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right to travel abroad is part of personal liberty under Article 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right to travel abroad is an aspect of personal liberty under Article 21 and that it cannot be curtailed except by a procedure established by law. The decision influenced later developments concerning the Passports Act and contributed to the Maneka Gandhi litigation.</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Uttar Pradesh v. Kaushaliya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1964 SC 416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Certain women were directed under statutory provisions to remove themselves from specified areas in the interests of public order.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externment orders requiring persons to leave certain areas satisfy the constitutional requirements for restricting freedom of movement.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validity of the externment law while emphasising that any restriction on movement must be authorised by law, serve a legitimate public purpose, and be accompanied by adequate procedural safeguards. The decision illustrates the balance between public order interests and individual liberty.</w:t>
      </w:r>
    </w:p>
    <w:p>
      <w:pPr>
        <w:spacing w:after="40" w:before="200" w:line="240" w:lineRule="auto"/>
        <w:ind w:left="567" w:right="567"/>
      </w:pPr>
      <w:r>
        <w:rPr>
          <w:rFonts w:ascii="Calibri" w:cs="Calibri" w:eastAsia="Calibri" w:hAnsi="Calibri"/>
          <w:b/>
          <w:bCs/>
          <w:i w:val="false"/>
          <w:iCs w:val="false"/>
          <w:color w:val="000000"/>
          <w:sz w:val="28"/>
          <w:szCs w:val="28"/>
        </w:rPr>
        <w:t xml:space="preserve">Sodan Singh v. New Delhi Municipal Committee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(1989) 4 SCC 155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Street vendors challenged municipal restrictions on using public streets for hawking.</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right to use public streets for hawking and vending is part of freedom of movement and occupation, and whether municipal restrictions are constitutionally valid.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while citizens have a right to use public streets for movement and livelihood, the State may reasonably regulate the manner in which public spaces are used in the interests of the general public. Regulation that preserves public access while organising street use is permissible; arbitrary prohibition is not.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Articles 19(1)(d) and 19(1)(e) operationalise the constitutional concept of single national citizenship by ensuring that every Indian is free to move and settle anywhere within the country. These freedoms contribute to economic integration, equal opportunity, and social cohesion. The restrictions authorised by Article 19(5) — for the general public interest and for the protection of Scheduled Tribes — permit the State to manage competing interests including environmental protection, public health, and the preservation of tribal cultures, but must always remain proportionate and non-arbitrary. The harmonious reading of these Articles with Articles 14 and 21, established in Maneka Gandhi, ensures that any restriction on movement or residence must satisfy the integrated constitutional standard of fairness, reasonableness, and equal treatment.</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V: Freedom of profession, occupation, trade, or business (Article 19(1)(g))</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19(1)(g) protects economic liberty as a component of individual freedom. It guarantees every citizen the right to choose any profession, engage in any lawful occupation, conduct trade, or establish and operate a business. This right reflects the constitutional commitment to individual autonomy and economic opportunity while recognising that the State has legitimate authority to regulate economic activity in the public interest. Unlike a laissez-faire approach, the Constitution requires that economic freedom be exercised within a framework that accommodates social welfare, consumer protection, labour rights, and the prevention of exploitation.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19(6) provides the broadest restriction clause among the sub-clauses of Article 19(1). It permits restrictions in the interests of the general public, authorises the prescription of professional qualifications, and enables the State to create monopolies in specified sectors. These powers reflect the constitutional vision of a welfare State that balances individual economic freedom with the objectives of social justice, equitable distribution of resources, and protection of the public. M.P. Jain observes that Article 19(1)(g) embodies constitutional economic democracy. D.D. Basu notes that economic liberty is an important aspect of personal freedom and that it must be balanced against the goals of a welfare State.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19(1)(g) and Article 19(6):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19(1)(g) and Article 19(6) of the Constitution of India provide: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19(1) All citizens shall have the right — (g) to practise any profession, or to carry on any occupation, trade or business.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19(6) Nothing in sub-clause (g) of the said clause shall affect the operation of any existing law in so far as it imposes, or prevent the State from making any law imposing, in the interests of the general public, reasonable restrictions on the exercise of the right conferred by the said sub-clause, and, in particular, nothing in the said sub-clause shall affect the operation of any existing law in so far as it relates to, or prevent the State from making any law relating to — (i) the professional or technical qualifications necessary for practising any profession or carrying on any occupation, trade or business, or (ii) the carrying on by the State, or by a corporation owned or controlled by the State, of any trade, business, industry or service, whether to the exclusion, complete or partial, of citizens or otherwise.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19(1)(g) protects four related economic freedoms: practising a profession, carrying on an occupation, conducting trade, and operating a business. A profession involves specialised skills and often ethical obligations; an occupation is any lawful means of livelihood; trade involves buying and selling; and business is organised commercial enterprise. Article 19(6) is notably broader than other restriction clauses: it permits restrictions in the general public interest (which the Court has interpreted widely to include health, safety, labour welfare, consumer protection, and environmental concerns), the prescription of professional qualifications (which is expressly authorised and therefore not subject to the ordinary test of reasonableness), and State monopolies in any trade, business, industry, or service (which may exclude citizens partially or entirely).</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Saghir Ahmad v. State of Uttar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1954 SC 728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Uttar Pradesh Government nationalised road transport services on certain routes, effectively preventing private operators from continuing their business.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creation of a State monopoly in transport was constitutionally valid under the framework then applicable.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Court examined the constitutional framework for State monopolies, which was subsequently clarified by the First Constitutional Amendment of 1951 expressly authorising State monopolies under Article 19(6)(ii). The decision contributed to the constitutional development of the doctrine of State monopoly in economic regulation.</w:t>
      </w:r>
    </w:p>
    <w:p>
      <w:pPr>
        <w:spacing w:after="40" w:before="200" w:line="240" w:lineRule="auto"/>
        <w:ind w:left="567" w:right="567"/>
      </w:pPr>
      <w:r>
        <w:rPr>
          <w:rFonts w:ascii="Calibri" w:cs="Calibri" w:eastAsia="Calibri" w:hAnsi="Calibri"/>
          <w:b/>
          <w:bCs/>
          <w:i w:val="false"/>
          <w:iCs w:val="false"/>
          <w:color w:val="000000"/>
          <w:sz w:val="28"/>
          <w:szCs w:val="28"/>
        </w:rPr>
        <w:t xml:space="preserve">M.H. Quareshi v. State of Bihar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1958 SC 731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State laws prohibiting the slaughter of cows and specified categories of cattle were challenged as unconstitutional restrictions on the trade and occupation of butchers.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restrictions on the slaughter of cattle constitute valid restrictions in the interests of the general public under Article 19(6).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substantial portions of the legislation, holding that restrictions on cattle slaughter are permissible in the interests of agriculture and animal husbandry as provided in the Directive Principles. The judgment illustrates the harmonious interpretation of Article 19(1)(g) with Directive Principles under Article 48.</w:t>
      </w:r>
    </w:p>
    <w:p>
      <w:pPr>
        <w:spacing w:after="40" w:before="200" w:line="240" w:lineRule="auto"/>
        <w:ind w:left="567" w:right="567"/>
      </w:pPr>
      <w:r>
        <w:rPr>
          <w:rFonts w:ascii="Calibri" w:cs="Calibri" w:eastAsia="Calibri" w:hAnsi="Calibri"/>
          <w:b/>
          <w:bCs/>
          <w:i w:val="false"/>
          <w:iCs w:val="false"/>
          <w:color w:val="000000"/>
          <w:sz w:val="28"/>
          <w:szCs w:val="28"/>
        </w:rPr>
        <w:t xml:space="preserve">Excel Wear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(1978) 4 SCC 224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Industrial establishments challenged statutory provisions requiring governmental permission before closing down or laying off workers.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right to carry on business includes the right to discontinue or close it, and whether closure restrictions are constitutionally valid.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freedom to carry on business includes, in appropriate circumstances, the right to close it down. The impugned restrictions on closure were held to be unreasonable on the facts as they effectively obliged owners to continue unviable businesses indefinitely.</w:t>
      </w:r>
    </w:p>
    <w:p>
      <w:pPr>
        <w:spacing w:after="40" w:before="200" w:line="240" w:lineRule="auto"/>
        <w:ind w:left="567" w:right="567"/>
      </w:pPr>
      <w:r>
        <w:rPr>
          <w:rFonts w:ascii="Calibri" w:cs="Calibri" w:eastAsia="Calibri" w:hAnsi="Calibri"/>
          <w:b/>
          <w:bCs/>
          <w:i w:val="false"/>
          <w:iCs w:val="false"/>
          <w:color w:val="000000"/>
          <w:sz w:val="28"/>
          <w:szCs w:val="28"/>
        </w:rPr>
        <w:t xml:space="preserve">Khoday Distilleries Ltd. v. State of Karnataka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(1995) 1 SCC 574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Manufacturers of intoxicating liquor challenged extensive State regulation of the liquor trade.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there is a Fundamental Right to trade in intoxicating liquor under Article 19(1)(g).</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trade in intoxicating liquor is res extra commercium (outside ordinary commerce) and that there is no Fundamental Right to carry on such trade. The State's extensive regulatory powers over liquor are constitutionally valid. Where the State permits the liquor trade, regulation must still comply with applicable law, but the right to trade in liquor is not constitutionally protected.</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Gujarat v. Mirzapur Moti Kureshi Kassab Jamat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(2005) 8 SCC 534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a law imposing a total prohibition on the slaughter of cows and certain categories of cattle was challenged by butchers and traders.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total prohibition unreasonably restricted the petitioners' trade under Article 19(1)(g).</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law after balancing Article 19(1)(g) against the Directive Principle in Article 48, which directs the State to organise agriculture and animal husbandry on modern scientific lines and to prohibit cow slaughter. The harmonious interpretation of fundamental rights and directive principles prevailed.</w:t>
      </w:r>
    </w:p>
    <w:p>
      <w:pPr>
        <w:spacing w:after="40" w:before="200" w:line="240" w:lineRule="auto"/>
        <w:ind w:left="567" w:right="567"/>
      </w:pPr>
      <w:r>
        <w:rPr>
          <w:rFonts w:ascii="Calibri" w:cs="Calibri" w:eastAsia="Calibri" w:hAnsi="Calibri"/>
          <w:b/>
          <w:bCs/>
          <w:i w:val="false"/>
          <w:iCs w:val="false"/>
          <w:color w:val="000000"/>
          <w:sz w:val="28"/>
          <w:szCs w:val="28"/>
        </w:rPr>
        <w:t xml:space="preserve">Internet and Mobile Association of India v. Reserve Bank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(2020) 10 SCC 274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Reserve Bank of India issued a circular prohibiting regulated financial entities from providing banking services to businesses dealing with virtual currencies or cryptocurrencies, effectively shutting down the cryptocurrency trading sector in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RBI circular disproportionately restricted the petitioners' right to carry on business under Article 19(1)(g).</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applied the doctrine of proportionality and held that the restriction — a complete prohibition preventing access to banking services — was disproportionate given the absence of evidence that cryptocurrency businesses had actually caused harm to the regulated financial system. The circular was set aside.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19(1)(g) ensures that citizens enjoy constitutional protection for their economic activities while the State retains the authority to regulate those activities for the common good. The decisions from Khoday Distilleries and Mirzapur Moti Kureshi Kassab Jamat to Internet and Mobile Association of India illustrate the evolving balance between economic freedom and public welfare. The doctrine of proportionality, applied in the cryptocurrency case, signals that the Court will carefully scrutinise restrictions to ensure that they are not excessive relative to the public interest they purport to serve. As M.P. Jain and D.D. Basu each observe, Article 19(1)(g) is essential to both individual welfare and national economic development, and its effective protection requires courts to maintain a genuine constitutional balance between freedom and regulation.</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VI: Right to property — historical development, Article 300A, and related provisions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Right to Property has undergone the most dramatic constitutional transformation of any Fundamental Right in India. At the commencement of the Constitution on 26 January 1950, property rights were guaranteed through two separate provisions: Article 19(1)(f), which gave every citizen the right to acquire, hold, and dispose of property, and Article 31, which protected against compulsory acquisition except for public purpose and upon payment of compensation. Together these provisions created a comprehensive constitutional framework for protecting private property.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Soon after Independence, the Government initiated extensive land reform measures — abolishing the zamindari system, imposing land ceilings, redistributing agricultural land, and implementing agrarian reforms — that were frequently challenged and struck down by courts on the ground that they violated the property rights under Articles 19(1)(f) and 31. This tension between individual property rights and the constitutional objective of social and economic justice produced a prolonged constitutional conflict resolved only after a series of constitutional amendments including the First (1951), Fourth (1955), Seventeenth (1964), Twenty-fifth (1971), Forty-second (1976), and finally the Forty-fourth (1978) Amendment, which deleted Articles 19(1)(f) and 31 entirely and replaced them with Article 300A. According to M.P. Jain, this evolution illustrates the gradual shift from protecting private ownership to emphasising distributive justice. D.D. Basu observes that the deletion did not abolish property rights but transformed them from fundamental to constitutional legal rights.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The original constitutional framework: Articles 19(1)(f) and 31</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19(1)(f) guaranteed every citizen the right to acquire, hold, and dispose of property. It was subject to reasonable restrictions under Article 19(5) in the interests of the general public and for the protection of Scheduled Tribes. Article 31 provided that no person shall be deprived of property except by authority of law, and that property acquired for public purposes must be paid compensation. Together these provisions required every acquisition to be: (a) authorised by law, (b) for a public purpose, and (c) accompanied by compensation. This triple protection made property rights among the strongest Fundamental Rights in the original Constitution and generated extensive litigation whenever the State sought to implement land reforms.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Constitutional amendments affecting property rights</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3157"/>
        <w:gridCol w:w="4735"/>
      </w:tblGrid>
      <w:tr>
        <w:trPr>
          <w:tblHeader/>
        </w:trP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Amendment</w:t>
            </w:r>
          </w:p>
        </w:tc>
        <w:tc>
          <w:tcPr>
            <w:tcW w:type="dxa" w:w="4735"/>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Key change</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First Amendment, 1951</w:t>
            </w:r>
          </w:p>
        </w:tc>
        <w:tc>
          <w:tcPr>
            <w:tcW w:type="dxa" w:w="4735"/>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Inserted Articles 31A, 31B, and the Ninth Schedule to protect agrarian reform laws from challenge</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Fourth Amendment, 1955</w:t>
            </w:r>
          </w:p>
        </w:tc>
        <w:tc>
          <w:tcPr>
            <w:tcW w:type="dxa" w:w="4735"/>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Limited judicial review of the adequacy of compensation under Article 31</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Seventeenth Amendment, 1964</w:t>
            </w:r>
          </w:p>
        </w:tc>
        <w:tc>
          <w:tcPr>
            <w:tcW w:type="dxa" w:w="4735"/>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Enlarged the definition of 'estate' and added more land reform laws to the Ninth Schedule</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Twenty-fifth Amendment, 1971</w:t>
            </w:r>
          </w:p>
        </w:tc>
        <w:tc>
          <w:tcPr>
            <w:tcW w:type="dxa" w:w="4735"/>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Replaced 'compensation' with 'amount' in Article 31; inserted Article 31C to protect laws implementing Articles 39(b) and (c)</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Forty-second Amendment, 1976</w:t>
            </w:r>
          </w:p>
        </w:tc>
        <w:tc>
          <w:tcPr>
            <w:tcW w:type="dxa" w:w="4735"/>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Attempted to extend Article 31C protection to all Directive Principles (later partly struck down)</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Forty-fourth Amendment, 1978</w:t>
            </w:r>
          </w:p>
        </w:tc>
        <w:tc>
          <w:tcPr>
            <w:tcW w:type="dxa" w:w="4735"/>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Deleted Articles 19(1)(f) and 31; inserted Article 300A; converted property from a Fundamental to a constitutional legal right</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Article 300A: the present constitutional position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300A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No person shall be deprived of his property save by authority of law.</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300A, inserted in Part XII of the Constitution by the Forty-fourth Amendment, 1978, continues to protect property as a constitutional right — though no longer a Fundamental Right. Unlike Articles 19(1)(f) and 31, Article 300A extends to every person, not merely citizens. The expression 'by authority of law' means that deprivation must be authorised by a validly enacted statute, not merely by executive action. The Supreme Court has held in K.T. Plantation that although Article 300A does not expressly require compensation, arbitrary acquisition without public purpose or without following due process remains subject to judicial review. The Courts may examine whether the acquisition is for a genuine public purpose, whether the law is arbitrary, and whether procedural requirements have been met.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Articles 31A, 31B, the Ninth Schedule, and Article 31C</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31A, inserted by the First Amendment, protects laws relating to the acquisition of estates, modification or extinguishment of proprietary rights, amalgamation of corporations, and regulation of mining leases from challenge under Articles 14 and 19, provided they have received Presidential assent. It was designed to facilitate agrarian reforms without repeated constitutional challenges. Article 31B, also inserted by the First Amendment alongside the Ninth Schedule, immunises all laws included in the Ninth Schedule from challenge under any Fundamental Right. However, in Waman Rao v. Union of India, the Supreme Court held that Ninth Schedule laws inserted after 24 April 1973 (the date of Kesavananda Bharati) remain open to judicial review if they damage the Basic Structure. I.R. Coelho v. State of Tamil Nadu confirmed that even Ninth Schedule laws may be invalidated if they violate the Basic Structure. Article 31C, inserted by the Twenty-fifth Amendment, protects laws enacted to give effect to Articles 39(b) and 39(c) — equitable distribution of material resources and prevention of concentration of wealth — from challenge under Articles 14 and 19.</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West Bengal v. Bela Banerjee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1954 SC 170</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Land was acquired by the Government under legislation that restricted judicial examination of the adequacy of compensation.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compensation under Article 31 must bear a reasonable relationship to the value of the acquired property.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word 'compensation' in Article 31 implied a just equivalent — a fair and reasonable amount related to the market value. Legislation restricting judicial review of compensation to the extent of preventing any assessment of fairness was declared unconstitutional. This judgment directly prompted the Fourth Constitutional Amendment.</w:t>
      </w:r>
    </w:p>
    <w:p>
      <w:pPr>
        <w:spacing w:after="40" w:before="200" w:line="240" w:lineRule="auto"/>
        <w:ind w:left="567" w:right="567"/>
      </w:pPr>
      <w:r>
        <w:rPr>
          <w:rFonts w:ascii="Calibri" w:cs="Calibri" w:eastAsia="Calibri" w:hAnsi="Calibri"/>
          <w:b/>
          <w:bCs/>
          <w:i w:val="false"/>
          <w:iCs w:val="false"/>
          <w:color w:val="000000"/>
          <w:sz w:val="28"/>
          <w:szCs w:val="28"/>
        </w:rPr>
        <w:t xml:space="preserve">Shankari Prasad Singh Deo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1951 SC 458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the First Constitutional Amendment, which inserted Article 15(4) and the Ninth Schedule, was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may amend the Fundamental Rights provisions of the Constitution.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Parliament has the power under Article 368 to amend any part of the Constitution including the Fundamental Rights. The amendment was upheld. This decision began the long constitutional debate on parliamentary amending power that culminated in the Basic Structure Doctrine.</w:t>
      </w:r>
    </w:p>
    <w:p>
      <w:pPr>
        <w:spacing w:after="40" w:before="200" w:line="240" w:lineRule="auto"/>
        <w:ind w:left="567" w:right="567"/>
      </w:pPr>
      <w:r>
        <w:rPr>
          <w:rFonts w:ascii="Calibri" w:cs="Calibri" w:eastAsia="Calibri" w:hAnsi="Calibri"/>
          <w:b/>
          <w:bCs/>
          <w:i w:val="false"/>
          <w:iCs w:val="false"/>
          <w:color w:val="000000"/>
          <w:sz w:val="28"/>
          <w:szCs w:val="28"/>
        </w:rPr>
        <w:t xml:space="preserve">I.C. Golak Nath v. State of Punjab</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1967 SC 1643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Constitutional amendments affecting property rights were challenged on the ground that Parliament cannot abridge Fundamental Rights.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possesses the power to amend Fundamental Rights.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By a narrow majority, the Supreme Court held that Parliament cannot amend Fundamental Rights, reversing Shankari Prasad. The decision was prospective only. Parliament responded with the Twenty-fourth Amendment, which expressly stated Parliament's amending power, and the matter was definitively settled in Kesavananda Bharati.</w:t>
      </w:r>
    </w:p>
    <w:p>
      <w:pPr>
        <w:spacing w:after="40" w:before="200" w:line="240" w:lineRule="auto"/>
        <w:ind w:left="567" w:right="567"/>
      </w:pPr>
      <w:r>
        <w:rPr>
          <w:rFonts w:ascii="Calibri" w:cs="Calibri" w:eastAsia="Calibri" w:hAnsi="Calibri"/>
          <w:b/>
          <w:bCs/>
          <w:i w:val="false"/>
          <w:iCs w:val="false"/>
          <w:color w:val="000000"/>
          <w:sz w:val="28"/>
          <w:szCs w:val="28"/>
        </w:rPr>
        <w:t xml:space="preserve">Rustom Cavasjee Cooper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(1970) 1 SCC 248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nationalisation of major commercial banks was challenged as violating Articles 19(1)(f), 31, and 14.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effect of State action on citizens' rights determines constitutional validity, and whether the nationalisation violated fundamental guarantees.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effect of governmental action on citizens' rights — not merely its stated object — determines whether a Fundamental Right is violated. The Court struck down aspects of the nationalisation scheme. The decision substantially expanded the protection of property rights and influenced later development of constitutional law.</w:t>
      </w:r>
    </w:p>
    <w:p>
      <w:pPr>
        <w:spacing w:after="40" w:before="200" w:line="240" w:lineRule="auto"/>
        <w:ind w:left="567" w:right="567"/>
      </w:pPr>
      <w:r>
        <w:rPr>
          <w:rFonts w:ascii="Calibri" w:cs="Calibri" w:eastAsia="Calibri" w:hAnsi="Calibri"/>
          <w:b/>
          <w:bCs/>
          <w:i w:val="false"/>
          <w:iCs w:val="false"/>
          <w:color w:val="000000"/>
          <w:sz w:val="28"/>
          <w:szCs w:val="28"/>
        </w:rPr>
        <w:t xml:space="preserve">Kesavananda Bharati v. State of Kerala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(1973) 4 SCC 225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several amendments affecting property rights and the extent of Parliament's amending power under Article 368 was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possesses unlimited power to amend the Constitution including its fundamental features.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Thirteen judges delivered separate opinions, with a majority holding that Parliament may amend any provision of the Constitution but cannot alter its Basic Structure. The Basic Structure includes the supremacy of the Constitution, republican and democratic form of government, secular character, separation of powers, and federal character. The decision is the most important constitutional judgment in Indian history and placed limits on parliamentary power that have shaped every subsequent constitutional amendment.</w:t>
      </w:r>
    </w:p>
    <w:p>
      <w:pPr>
        <w:spacing w:after="40" w:before="200" w:line="240" w:lineRule="auto"/>
        <w:ind w:left="567" w:right="567"/>
      </w:pPr>
      <w:r>
        <w:rPr>
          <w:rFonts w:ascii="Calibri" w:cs="Calibri" w:eastAsia="Calibri" w:hAnsi="Calibri"/>
          <w:b/>
          <w:bCs/>
          <w:i w:val="false"/>
          <w:iCs w:val="false"/>
          <w:color w:val="000000"/>
          <w:sz w:val="28"/>
          <w:szCs w:val="28"/>
        </w:rPr>
        <w:t xml:space="preserve">I.R. Coelho v. State of Tamil Nadu</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(2007) 2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scope of judicial review over laws placed in the Ninth Schedule was reconsidered, particularly whether Ninth Schedule immunisation is absolute.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Ninth Schedule laws may be challenged on the ground that they violate the Basic Structure of the Constitution.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nine-judge Constitution Bench held that all constitutional amendments, including those inserting laws into the Ninth Schedule, must comply with the Basic Structure doctrine. Laws placed in the Ninth Schedule after 24 April 1973 are subject to judicial review to the extent that they damage the Basic Structure. The decision reaffirmed the supremacy of the Basic Structure Doctrine.</w:t>
      </w:r>
    </w:p>
    <w:p>
      <w:pPr>
        <w:spacing w:after="40" w:before="200" w:line="240" w:lineRule="auto"/>
        <w:ind w:left="567" w:right="567"/>
      </w:pPr>
      <w:r>
        <w:rPr>
          <w:rFonts w:ascii="Calibri" w:cs="Calibri" w:eastAsia="Calibri" w:hAnsi="Calibri"/>
          <w:b/>
          <w:bCs/>
          <w:i w:val="false"/>
          <w:iCs w:val="false"/>
          <w:color w:val="000000"/>
          <w:sz w:val="28"/>
          <w:szCs w:val="28"/>
        </w:rPr>
        <w:t xml:space="preserve">K.T. Plantation Pvt. Ltd. v. State of Karnataka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(2011) 9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legislation acquiring private agricultural land after the Forty-fourth Amendment was challenged under Article 300A.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 300A permits arbitrary acquisition without compensation and what constitutional standards apply post-Forty-fourth Amendment.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while the right to property is no longer a Fundamental Right, Article 300A requires that deprivation of property must be: (a) authorised by valid law, (b) for a genuine public purpose, (c) non-arbitrary, and (d) subject to appropriate process. The Court observed that acquisition without any compensation or with illusory compensation may be open to constitutional challenge depending on the facts. The decision is the leading modern authority on the scope of Article 300A.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constitutional history of the Right to Property represents the most contested area of Indian constitutional law over the first three decades of the Constitution. The tension between individual property rights and the goal of social and economic justice was ultimately resolved through the Forty-fourth Amendment, which repositioned property as a constitutional legal right rather than a Fundamental Right. This shift reflected the constitutional priority of welfare-State objectives while preserving judicial oversight through the requirement that deprivation must be by authority of law, for genuine public purpose, and through non-arbitrary process.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Basic Structure Doctrine, crystallised in Kesavananda Bharati and reaffirmed in I.R. Coelho, ensures that even the most extensive legislative programs of social and economic reform remain subject to constitutional limits. Article 300A, as interpreted in K.T. Plantation, provides a meaningful constitutional safeguard against arbitrary acquisitions even after the removal of property from the list of Fundamental Rights. As M.P. Jain and D.D. Basu each observe, the evolution of property rights exemplifies the dynamic character of the Constitution and its continuing capacity to adapt to the needs of a developing society while remaining anchored in constitutional values.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Calibri" w:cs="Calibri" w:eastAsia="Calibri" w:hAnsi="Calibri"/>
        <w:b w:val="false"/>
        <w:bCs w:val="false"/>
        <w:i w:val="false"/>
        <w:iCs w:val="false"/>
        <w:color w:val="000000"/>
        <w:sz w:val="28"/>
        <w:szCs w:val="28"/>
      </w:rPr>
      <w:t xml:space="preserve"/>
    </w: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2026-07-01T12:55:54.742Z</dcterms:created>
  <dcterms:modified xsi:type="dcterms:W3CDTF">2026-07-01T12:55:54.743Z</dcterms:modified>
</cp:coreProperties>
</file>

<file path=docProps/custom.xml><?xml version="1.0" encoding="utf-8"?>
<Properties xmlns="http://schemas.openxmlformats.org/officeDocument/2006/custom-properties" xmlns:vt="http://schemas.openxmlformats.org/officeDocument/2006/docPropsVTypes"/>
</file>