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V</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Right to freedom II (Articles 20 to 22)</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Protection in respect of conviction for offences (Article 20)</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20 provides three constitutional safeguards against arbitrary criminal prosecution and punishment: protection against retrospective criminal laws, protection against double jeopardy, and protection against compelled self-incrimination. Unlike many Fundamental Rights available only to citizens, Article 20 protects every person. Following the Forty-fourth Constitutional Amendment, 1978, the guarantees under Articles 20 and 21 cannot be suspended even during a National Emergency — a recognition that these protections are so fundamental that their withdrawal would reduce criminal proceedings to exercises of raw State power. M.P. Jain observes that Article 20 incorporates universally recognised principles of criminal jurisprudence and functions as a constitutional limitation on the State's punitive powers. D.D. Basu notes that it safeguards the fairness of criminal trials and reinforces the Rule of Law.</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20: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20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No person shall be convicted of any offence except for violation of a law in force at the time of the commission of the act charged as an offence, nor be subjected to a penalty greater than that which might have been inflicted under the law in force at the time of the commission of the offence.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 person shall be prosecuted and punished for the same offence more than once.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No person accused of any offence shall be compelled to be a witness against himself.</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prohibits ex post facto criminal laws: a person may not be convicted of an act that was lawful when done, and no enhanced punishment may be imposed retrospectively. Clause (2) embodies double jeopardy: once prosecuted and punished, a person cannot be put through a second prosecution and punishment for the same offence. Clause (3) is the privilege against self-incrimination: an accused person cannot be compelled to furnish testimonial evidence establishing their own guilt. Importantly, Article 20(2) requires both prosecution and punishment before the bar applies; and Article 20(3) covers only accused persons and applies to testimonial, not physical, evidence.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Protection against ex post facto laws (Article 20(1))</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An ex post facto law is one that retrospectively declares an act to be an offence or that retrospectively enhances the punishment for a pre-existing offence. Article 20(1) prohibits two specific forms: the creation of criminal liability for acts that were lawful when committed, and the imposition of greater punishment than the law prescribed at the time of the offence. The protection does not extend to laws that benefit the accused — a law reducing punishment after the offence is committed may be applied retroactively without offending Article 20(1), as confirmed in Rattan Lal v. State of Punjab.</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Guarantee against double jeopardy (Article 20(2))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maxim nemo debet bis vexari pro una et eadem causa — no person should be vexed twice for the same cause — underlies Article 20(2). Three conditions must be satisfied simultaneously: there must have been a previous prosecution before a competent court; the prosecution must have been for a criminal offence; and the person must have been punished. If any of these elements is absent, Article 20(2) does not bar a second proceeding. Administrative and departmental proceedings are not criminal prosecutions for this purpose, as settled in S.A. Venkataraman. Section 337 of the Bharatiya Nagarik Suraksha Sanhita, 2023, provides a complementary statutory bar on second trials after valid acquittal or conviction.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Privilege against self-incrimination (Article 20(3))</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20(3) embodies the maxim nemo tenetur seipsum accusare: no person is obliged to accuse themselves. Three conditions must coexist: the person must be an accused; the evidence must be obtained through compulsion; and the evidence must be testimonial — evidence based on personal knowledge communicated by the accused — rather than physical or real evidence. The distinction was definitively settled in State of Bombay v. Kathi Kalu Oghad, where an eleven-judge Bench held that fingerprints, handwriting specimens, and signature samples are physical evidence and do not attract Article 20(3). Involuntary narco-analysis, polygraph tests, and BEAP tests were declared unconstitutional in Selvi v. State of Karnataka because they extract information stored in the mind and therefore constitute testimonial compulsion.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Maqbool Hussain v. State of Bombay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1953 SC 325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Gold smuggled into India was confiscated by customs authorities. The same person was then criminally prosecuted for the same transaction.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customs confiscation proceeding constituted a prosecution for the purposes of Article 20(2).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administrative confiscation proceedings are not criminal prosecutions. Article 20(2) requires a prior prosecution before a court of law followed by punishment. The subsequent criminal prosecution was not barred.</w:t>
      </w:r>
    </w:p>
    <w:p>
      <w:pPr>
        <w:spacing w:after="40" w:before="200" w:line="240" w:lineRule="auto"/>
        <w:ind w:left="567" w:right="567"/>
      </w:pPr>
      <w:r>
        <w:rPr>
          <w:rFonts w:ascii="Calibri" w:cs="Calibri" w:eastAsia="Calibri" w:hAnsi="Calibri"/>
          <w:b/>
          <w:bCs/>
          <w:i w:val="false"/>
          <w:iCs w:val="false"/>
          <w:color w:val="000000"/>
          <w:sz w:val="28"/>
          <w:szCs w:val="28"/>
        </w:rPr>
        <w:t xml:space="preserve">S.A. Venkataraman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1954 SC 375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public servant faced a departmental inquiry for misconduct and was then criminally prosecuted for the same facts.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departmental inquiry constitutes prosecution under Article 20(2).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departmental disciplinary proceedings are not criminal prosecutions. Article 20(2) does not bar a criminal prosecution following a departmental inquiry for the same conduct.</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Bombay v. Kathi Kalu Oghad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1961 SC 1808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An accused challenged the direction to provide fingerprints and handwriting specimens as violating the privilege against self-incrimination.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compelling an accused to provide fingerprints and handwriting specimens amounts to compelling them to be a witness against themselves.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An eleven-judge Constitution Bench held that producing physical characteristics such as fingerprints and handwriting specimens does not amount to being a witness against oneself within Article 20(3). The phrase refers to communicating personal knowledge — testimonial evidence — not to producing physical or bodily samples. The decision is the foundational authority on the distinction between testimonial and physical evidence.</w:t>
      </w:r>
    </w:p>
    <w:p>
      <w:pPr>
        <w:spacing w:after="40" w:before="200" w:line="240" w:lineRule="auto"/>
        <w:ind w:left="567" w:right="567"/>
      </w:pPr>
      <w:r>
        <w:rPr>
          <w:rFonts w:ascii="Calibri" w:cs="Calibri" w:eastAsia="Calibri" w:hAnsi="Calibri"/>
          <w:b/>
          <w:bCs/>
          <w:i w:val="false"/>
          <w:iCs w:val="false"/>
          <w:color w:val="000000"/>
          <w:sz w:val="28"/>
          <w:szCs w:val="28"/>
        </w:rPr>
        <w:t xml:space="preserve">Nandini Satpathy v. P.L. Dani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2 SCC 424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former Chief Minister of Odisha refused to answer police questions during investigation on the ground that her answers might incriminate her.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20(3) extends to the investigation stage and protects accused persons from answering incriminating questions.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privilege against self-incrimination applies from the moment a person is accused, including during police investigation. An accused cannot be compelled to answer questions that might reasonably tend to incriminate them.</w:t>
      </w:r>
    </w:p>
    <w:p>
      <w:pPr>
        <w:spacing w:after="40" w:before="200" w:line="240" w:lineRule="auto"/>
        <w:ind w:left="567" w:right="567"/>
      </w:pPr>
      <w:r>
        <w:rPr>
          <w:rFonts w:ascii="Calibri" w:cs="Calibri" w:eastAsia="Calibri" w:hAnsi="Calibri"/>
          <w:b/>
          <w:bCs/>
          <w:i w:val="false"/>
          <w:iCs w:val="false"/>
          <w:color w:val="000000"/>
          <w:sz w:val="28"/>
          <w:szCs w:val="28"/>
        </w:rPr>
        <w:t xml:space="preserve">Selvi v. State of Karnataka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(2010) 7 SCC 263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Accused persons were directed to submit to narco-analysis, polygraph tests, and Brain Electrical Activation Profile tests as part of criminal investigation.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involuntary narco-analysis, polygraph, and BEAP tests violate Articles 20(3) and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compulsory administration of these tests violates the privilege against self-incrimination under Article 20(3) and the right to personal liberty under Article 21, because they extract information from the accused's mind and therefore constitute testimonial compulsion. Voluntary participation with free and informed consent is constitutionally permissible.</w:t>
      </w:r>
    </w:p>
    <w:p>
      <w:pPr>
        <w:spacing w:after="40" w:before="200" w:line="240" w:lineRule="auto"/>
        <w:ind w:left="567" w:right="567"/>
      </w:pPr>
      <w:r>
        <w:rPr>
          <w:rFonts w:ascii="Calibri" w:cs="Calibri" w:eastAsia="Calibri" w:hAnsi="Calibri"/>
          <w:b/>
          <w:bCs/>
          <w:i w:val="false"/>
          <w:iCs w:val="false"/>
          <w:color w:val="000000"/>
          <w:sz w:val="28"/>
          <w:szCs w:val="28"/>
        </w:rPr>
        <w:t xml:space="preserve">Rattan Lal v. State of Punjab</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1965 SC 444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law enacted after commission of the offence reduced the maximum punishment for that class of offence. The question was whether the more lenient punishment applied retroactively.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20(1) prevents retroactive application of a law that reduces punishment.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Article 20(1) only prohibits retrospective laws creating offences or enhancing punishment. It does not prevent beneficial retrospective criminal legislation operating in the accused's favour. The reduced punishment was accordingly applied.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Relationship between Articles 20, 21, and 22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Articles 20, 21, and 22 collectively constitute the Constitution's framework for the protection of liberty in criminal and quasi-criminal proceedings. Article 20 establishes substantive safeguards: it governs what the State may prosecute a person for (only violations of law in force when the act was committed), how many times it may prosecute them for the same offence (only once), and what it may demand from them as evidence (not testimonial self-incrimination). Article 21 governs the standard of the procedure through which liberty may be restricted: the procedure must be fair, just, and reasonable. Article 22 prescribes specific procedural entitlements upon arrest and detention: communication of grounds, access to legal counsel, production before a magistrate, and the Advisory Board framework for preventive detention.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184"/>
        <w:gridCol w:w="2762"/>
        <w:gridCol w:w="3946"/>
      </w:tblGrid>
      <w:tr>
        <w:trPr>
          <w:tblHeader/>
        </w:trPr>
        <w:tc>
          <w:tcPr>
            <w:tcW w:type="dxa" w:w="118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Subject matter</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Key protection</w:t>
            </w:r>
          </w:p>
        </w:tc>
      </w:tr>
      <w:tr>
        <w:tc>
          <w:tcPr>
            <w:tcW w:type="dxa" w:w="118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20</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Protection in conviction for offences</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 ex post facto law, no double jeopardy, no compelled self-incrimination</w:t>
            </w:r>
          </w:p>
        </w:tc>
      </w:tr>
      <w:tr>
        <w:tc>
          <w:tcPr>
            <w:tcW w:type="dxa" w:w="118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21</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Protection of life and personal liberty</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Deprivation only by fair, just, and reasonable procedure; wide range of implied rights</w:t>
            </w:r>
          </w:p>
        </w:tc>
      </w:tr>
      <w:tr>
        <w:tc>
          <w:tcPr>
            <w:tcW w:type="dxa" w:w="118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22</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Safeguards against arrest and detention</w:t>
            </w:r>
          </w:p>
        </w:tc>
        <w:tc>
          <w:tcPr>
            <w:tcW w:type="dxa" w:w="394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Grounds of arrest, legal counsel, magistrate production, Advisory Board for preventive detention</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20's three guarantees collectively ensure that the State's power to prosecute and punish is exercised through fair, legally certain, and non-coercive means. Their non-suspendability during emergencies confirms their fundamental character. As M.P. Jain and D.D. Basu each observe, Article 20 reflects the Constitution's insistence that criminal justice must operate within the boundaries of legality, fairness, and respect for human dignity.</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Protection of life and personal liberty (Article 21)</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21 is the most expansive and dynamic provision in the Constitution. Originally a compact safeguard against arbitrary deprivation of life and personal liberty, it has evolved through judicial interpretation into the primary constitutional repository for a wide range of human rights essential to living with dignity. The Supreme Court has described it as the heart of Fundamental Rights and has consistently held that the word 'life' encompasses not just physical survival but the full range of conditions necessary for a dignified and meaningful human existence.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evolution of Article 21 has two landmark phases. In the first phase, typified by A.K. Gopalan v. State of Madras (1950), the Court read Article 21 narrowly: it required only that deprivation of liberty be pursuant to a procedure prescribed by a validly enacted law, with no independent requirement of fairness. In the second phase, inaugurated by Maneka Gandhi v. Union of India (1978), the Court held that the procedure must itself be fair, just, and reasonable, and that Articles 14, 19, and 21 form an integrated constitutional code. This second phase produced the 'Golden Triangle' doctrine and a dramatic expansion of implied Fundamental Rights under Article 21. Unlike Article 19, Article 21 protects every person — citizens, foreign nationals, and prisoners. Following the Forty-fourth Amendment, 1978, it cannot be suspended during a National Emergency.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According to M.P. Jain, Article 21 has become the principal source of implied Fundamental Rights through judicial creativity. D.D. Basu describes it as the most dynamic provision of the Constitution because it continuously adapts to address emerging social realities and protect new dimensions of human dignity.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21: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21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 person shall be deprived of his life or personal liberty except according to procedure established by law.</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The framers deliberately chose 'procedure established by law' rather than the American formula 'due process of law.' Initially, this meant only that the procedure was prescribed by a valid statute — not that the procedure itself must be fair. The Maneka Gandhi decision transformed this understanding, holding that the procedure must be just, fair, and reasonable. 'Life' has been interpreted to mean far more than mere physical existence: it includes the right to live with dignity and all the conditions necessary for a fully human existence. 'Personal liberty' encompasses bodily freedom, autonomy, privacy, and all freedoms relating to individual liberty not specifically protected elsewhere in Part III.</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From A.K. Gopalan to Maneka Gandhi: a constitutional transformation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2368"/>
        <w:gridCol w:w="2762"/>
        <w:gridCol w:w="2762"/>
      </w:tblGrid>
      <w:tr>
        <w:trPr>
          <w:tblHeader/>
        </w:trP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A.K. Gopalan (1950)</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Maneka Gandhi (1978)</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Relationship between Articles 14, 19, and 21</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Each operates in a separate, watertight compartment</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Articles 14, 19, and 21 are interrelated and form an integrated code — the Golden Triangle</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Standard for procedure</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Any procedure prescribed by a validly enacted law suffices</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Procedure must be fair, just, and reasonable</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Judicial review</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Limited to existence of a valid law</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Extends to fairness and reasonableness of the procedure and the law</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Legacy</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Narrow and literal interpretation of Article 21</w:t>
            </w:r>
          </w:p>
        </w:tc>
        <w:tc>
          <w:tcPr>
            <w:tcW w:type="dxa" w:w="2762"/>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Foundation for modern rights-based Article 21 jurisprudence</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Rights recognised under Article 21</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Through progressive interpretation, the Supreme Court has recognised numerous rights as components of the right to life and personal liberty, including: the right to live with human dignity (Francis Coralie Mullin); the right to livelihood (Olga Tellis); the right to a speedy trial (Hussainara Khatoon); the right against custodial torture and inhuman treatment (Sunil Batra); the right to privacy as a Fundamental Right encompassing informational privacy, bodily integrity, and decisional autonomy (Puttaswamy, 2017); the right to a clean and healthy environment; the right to free emergency medical treatment; the right to legal aid for indigent accused; the right to shelter as a component of dignified existence; the right against solitary confinement and handcuffing without justification; and the right to die with dignity in the context of passive euthanasia (Common Cause, 2018). The list continues to grow.</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A.K. Gopalan v. State of Madras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1950 SC 27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A.K. Gopalan, a communist leader, challenged his preventive detention under the Preventive Detention Act, 1950, arguing that it violated his Fundamental Rights.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19, 21, and 22 should be read together, and whether the procedure established by law must be fair and reasonable.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detention, holding that each Article operated in isolation and that Article 21 required only compliance with a lawful procedure. This narrow interpretation prevailed until Maneka Gandhi. Though substantially departed from, the case marks the starting point of Article 21 jurisprudence.</w:t>
      </w:r>
    </w:p>
    <w:p>
      <w:pPr>
        <w:spacing w:after="40" w:before="200" w:line="240" w:lineRule="auto"/>
        <w:ind w:left="567" w:right="567"/>
      </w:pPr>
      <w:r>
        <w:rPr>
          <w:rFonts w:ascii="Calibri" w:cs="Calibri" w:eastAsia="Calibri" w:hAnsi="Calibri"/>
          <w:b/>
          <w:bCs/>
          <w:i w:val="false"/>
          <w:iCs w:val="false"/>
          <w:color w:val="000000"/>
          <w:sz w:val="28"/>
          <w:szCs w:val="28"/>
        </w:rPr>
        <w:t xml:space="preserve">Maneka Gandhi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1 SCC 248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passport was impounded by the Central Government without furnishing any reasons, on the ground that disclosure was not in the public interest.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14, 19, and 21 must be read together, and whether the procedure depriving a person of liberty must be fair, just, and reasonable.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overruling the isolated approach of Gopalan, held that Articles 14, 19, and 21 form an integrated code and that any procedure affecting personal liberty must satisfy all three: it must be non-arbitrary (Article 14), reasonably restrict rights to the extent permitted (Article 19), and prescribe a procedure that is fair, just, and reasonable (Article 21). The decision fundamentally transformed constitutional jurisprudence relating to personal liberty.</w:t>
      </w:r>
    </w:p>
    <w:p>
      <w:pPr>
        <w:spacing w:after="40" w:before="200" w:line="240" w:lineRule="auto"/>
        <w:ind w:left="567" w:right="567"/>
      </w:pPr>
      <w:r>
        <w:rPr>
          <w:rFonts w:ascii="Calibri" w:cs="Calibri" w:eastAsia="Calibri" w:hAnsi="Calibri"/>
          <w:b/>
          <w:bCs/>
          <w:i w:val="false"/>
          <w:iCs w:val="false"/>
          <w:color w:val="000000"/>
          <w:sz w:val="28"/>
          <w:szCs w:val="28"/>
        </w:rPr>
        <w:t xml:space="preserve">Francis Coralie Mullin v. Administrator, Union Territory of Delhi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(1981) 1 SCC 608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detained person challenged restrictions that prevented her from having adequate access to family members and legal counsel.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'life' in Article 21 means more than bare physical survival.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life includes the right to live with human dignity and all its basic necessities — adequate nutrition, clothing, shelter, and the ability to read, write, and express oneself. The decision was pivotal in establishing that Article 21 protects conditions essential for dignified human existence.</w:t>
      </w:r>
    </w:p>
    <w:p>
      <w:pPr>
        <w:spacing w:after="40" w:before="200" w:line="240" w:lineRule="auto"/>
        <w:ind w:left="567" w:right="567"/>
      </w:pPr>
      <w:r>
        <w:rPr>
          <w:rFonts w:ascii="Calibri" w:cs="Calibri" w:eastAsia="Calibri" w:hAnsi="Calibri"/>
          <w:b/>
          <w:bCs/>
          <w:i w:val="false"/>
          <w:iCs w:val="false"/>
          <w:color w:val="000000"/>
          <w:sz w:val="28"/>
          <w:szCs w:val="28"/>
        </w:rPr>
        <w:t xml:space="preserve">Olga Tellis v. Bombay Municipal Corporation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(1985) 3 SCC 545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Pavement dwellers in Bombay were sought to be evicted. They challenged the eviction, arguing that their livelihood — which depended on proximity to their workplace — would be destroyed.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livelihood is part of the right to life under Article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livelihood is integral to the right to life, since deprivation of livelihood is tantamount to deprivation of life itself. The judgment significantly expanded the socio-economic dimensions of Article 21 and established that the right to life encompasses the means of sustaining life.</w:t>
      </w:r>
    </w:p>
    <w:p>
      <w:pPr>
        <w:spacing w:after="40" w:before="200" w:line="240" w:lineRule="auto"/>
        <w:ind w:left="567" w:right="567"/>
      </w:pPr>
      <w:r>
        <w:rPr>
          <w:rFonts w:ascii="Calibri" w:cs="Calibri" w:eastAsia="Calibri" w:hAnsi="Calibri"/>
          <w:b/>
          <w:bCs/>
          <w:i w:val="false"/>
          <w:iCs w:val="false"/>
          <w:color w:val="000000"/>
          <w:sz w:val="28"/>
          <w:szCs w:val="28"/>
        </w:rPr>
        <w:t xml:space="preserve">Hussainara Khatoon v. State of Bihar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1979 SC 1369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Thousands of undertrial prisoners in Bihar had been in prison for years, with many detained for periods far exceeding the maximum sentence for the alleged offences against them.</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indefinite pre-trial detention without trial violates the right to life and personal liberty under Article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a speedy trial is an essential component of the right to life and personal liberty. Prolonged pre-trial detention violates Article 21 where the detention period exceeds what is reasonable. The Court directed the release of eligible undertrial prisoners and inaugurated judicial supervision of prison and pre-trial conditions.</w:t>
      </w:r>
    </w:p>
    <w:p>
      <w:pPr>
        <w:spacing w:after="40" w:before="200" w:line="240" w:lineRule="auto"/>
        <w:ind w:left="567" w:right="567"/>
      </w:pPr>
      <w:r>
        <w:rPr>
          <w:rFonts w:ascii="Calibri" w:cs="Calibri" w:eastAsia="Calibri" w:hAnsi="Calibri"/>
          <w:b/>
          <w:bCs/>
          <w:i w:val="false"/>
          <w:iCs w:val="false"/>
          <w:color w:val="000000"/>
          <w:sz w:val="28"/>
          <w:szCs w:val="28"/>
        </w:rPr>
        <w:t xml:space="preserve">Sunil Batra v. Delhi Administration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1978 SC 1675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challenged the use of bar fetters and other forms of harsh physical treatment of prisoners in Delhi jails.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prisoners continue to hold Fundamental Rights under Article 21 and whether inhuman treatment of prisoners is constitutionally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prisoners retain their Fundamental Rights including the right to life and personal dignity, except to the extent that imprisonment necessarily curtails them. Cruel, inhuman, and degrading treatment of prisoners violates Article 21. The State bears a constitutional obligation to maintain humane prison conditions.</w:t>
      </w:r>
    </w:p>
    <w:p>
      <w:pPr>
        <w:spacing w:after="40" w:before="200" w:line="240" w:lineRule="auto"/>
        <w:ind w:left="567" w:right="567"/>
      </w:pPr>
      <w:r>
        <w:rPr>
          <w:rFonts w:ascii="Calibri" w:cs="Calibri" w:eastAsia="Calibri" w:hAnsi="Calibri"/>
          <w:b/>
          <w:bCs/>
          <w:i w:val="false"/>
          <w:iCs w:val="false"/>
          <w:color w:val="000000"/>
          <w:sz w:val="28"/>
          <w:szCs w:val="28"/>
        </w:rPr>
        <w:t xml:space="preserve">Justice K.S. Puttaswamy (Retd.)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(2017) 10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nine-judge Constitution Bench considered whether privacy is protected as a Fundamental Right under the Constitution, in the context of challenges to aspects of the Aadhaar scheme and surveillance practices.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privacy forms part of the Fundamental Rights guaranteed under the Constitution, particularly Articles 14, 19, and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All nine judges unanimously recognised privacy as a Fundamental Right intrinsic to the right to life and personal liberty under Article 21 and as an aspect of dignity protected by Articles 14 and 19. Privacy includes bodily integrity, informational privacy, and decisional autonomy. The decision overruled earlier precedents that had denied this status and established a comprehensive constitutional framework for privacy protection.</w:t>
      </w:r>
    </w:p>
    <w:p>
      <w:pPr>
        <w:spacing w:after="40" w:before="200" w:line="240" w:lineRule="auto"/>
        <w:ind w:left="567" w:right="567"/>
      </w:pPr>
      <w:r>
        <w:rPr>
          <w:rFonts w:ascii="Calibri" w:cs="Calibri" w:eastAsia="Calibri" w:hAnsi="Calibri"/>
          <w:b/>
          <w:bCs/>
          <w:i w:val="false"/>
          <w:iCs w:val="false"/>
          <w:color w:val="000000"/>
          <w:sz w:val="28"/>
          <w:szCs w:val="28"/>
        </w:rPr>
        <w:t xml:space="preserve">Common Cause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(2018) 5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 sought recognition of the right to execute advance medical directives and the permissibility of passive euthanasia for terminally ill patients who have no prospect of recovery.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die with dignity is part of the right to life under Article 21 and whether passive euthanasia is constitutionally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Constitution Bench unanimously held that the right to die with dignity is an intrinsic component of the right to life under Article 21. Passive euthanasia — the withdrawal of life support from a terminally ill patient with no prospect of recovery — is constitutionally permissible subject to strict procedural safeguards. Advance medical directives (living wills) were recognised as legally valid.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21 has grown from a brief guarantee of physical liberty into the most dynamic and far-reaching provision of the Constitution. Through the transformative Maneka Gandhi doctrine and the subsequent expansion of rights — from livelihood and privacy to the right to die with dignity — the Supreme Court has made Article 21 the principal constitutional instrument for protecting human dignity in all its dimensions. The right cannot be suspended during emergencies, reflecting the Constitution's recognition that certain protections for human beings must remain inviolable regardless of circumstance. As M.P. Jain and D.D. Basu each observe, Article 21 is not a static text but a living guarantee that continuously evolves to address the challenges of a changing world.</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III: Right to free and compulsory education (Article 21A)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45 of the Constitution originally directed the State to provide free and compulsory education for all children up to age fourteen within ten years of the Constitution coming into force. Because Directive Principles are non-justiciable, this obligation lacked enforcement power. The Supreme Court's progressive recognition of education as an aspect of the right to life — in Mohini Jain (1992) and Unni Krishnan (1993) — created momentum for making elementary education a justiciable right. The Eighty-sixth Constitutional Amendment, 2002 responded by inserting Article 21A, making free and compulsory education for children between six and fourteen years an enforceable Fundamental Right.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amendment also revised Article 45 to focus on early childhood care and education for children below six years, and inserted Article 51A(k) as a Fundamental Duty of parents to provide educational opportunities for their children. The Right of Children to Free and Compulsory Education Act, 2009 — the RTE Act — operationalised Article 21A by prescribing detailed standards. According to M.P. Jain, Article 21A demonstrates the Constitution's capacity to evolve and adapt. D.D. Basu confirms that it reflects the dynamic relationship between rights and the goal of an educated, informed citizenry as the foundation of democratic governance.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21A: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21A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provide free and compulsory education to all children of the age of six to fourteen years in such manner as the State may, by law, determine.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'Free education' means no child shall be liable to pay any fee or charge that prevents completing elementary education in a State-supported or State-provided school. 'Compulsory education' means the State must ensure enrolment, attendance, and completion of elementary education for every child in the specified age group. The phrase 'in such manner as the State may, by law, determine' leaves the legislative modality to Parliament and State legislatures but does not make the constitutional mandate itself discretionary — Article 21A creates an enforceable Fundamental Right.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The Eighty-sixth Constitutional Amendment, 2002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amendment introduced three changes. Article 21A was inserted in Part III as a new Fundamental Right guaranteeing free and compulsory elementary education for children between six and fourteen years. Article 45 was amended to shift its focus from elementary education (now addressed by Article 21A) to early childhood care and education for children below six. A new Fundamental Duty, Article 51A(k), was inserted requiring every parent or guardian with a child between six and fourteen to provide the child with educational opportunities. These changes, taken together, created a comprehensive constitutional framework in which the State bears the primary duty to provide elementary education, parents bear a duty to enable their children to access it, and the right is enforceable in court by any child or their representative.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Key features of the RTE Act, 2009</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RTE Act operationalises Article 21A through specific obligations. Every child between six and fourteen years is entitled to free elementary education in a neighbourhood school without any fees, capitation charges, or screening tests. Private unaided non-minority schools must reserve twenty-five percent of entry-level seats for children from economically weaker sections and disadvantaged groups, with the State reimbursing per-child expenditure. Schools must meet minimum norms on classrooms, sanitation, drinking water, playgrounds, libraries, and teaching materials. Pupil-teacher ratios and teacher qualification standards are prescribed. School Management Committees comprising parents and local representatives must be constituted in government and aided schools. Physical punishment and mental harassment of students are explicitly prohibited. The No Detention Policy — originally barring detention before completion of elementary education — was modified by the 2019 Amendment to permit States and Union Territories to conduct examinations and retain children who do not meet required standards after additional support, introducing academic accountability while retaining the child-welfare focus.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Mohini Jain v. State of Karnataka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(1992) 3 SCC 666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Private medical colleges demanded capitation fees placing professional education beyond the reach of all but the wealthiest students.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education is a Fundamental Right derived from Article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education flows from the right to life under Article 21. The State has a corresponding obligation to provide educational facilities. This was the first clear judicial recognition of education as a Fundamental Right and established the constitutional foundation for Article 21A.</w:t>
      </w:r>
    </w:p>
    <w:p>
      <w:pPr>
        <w:spacing w:after="40" w:before="200" w:line="240" w:lineRule="auto"/>
        <w:ind w:left="567" w:right="567"/>
      </w:pPr>
      <w:r>
        <w:rPr>
          <w:rFonts w:ascii="Calibri" w:cs="Calibri" w:eastAsia="Calibri" w:hAnsi="Calibri"/>
          <w:b/>
          <w:bCs/>
          <w:i w:val="false"/>
          <w:iCs w:val="false"/>
          <w:color w:val="000000"/>
          <w:sz w:val="28"/>
          <w:szCs w:val="28"/>
        </w:rPr>
        <w:t xml:space="preserve">Unni Krishnan, J.P. v. State of Andhra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(1993) 1 SCC 645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case examined the regulation of admissions and fees in private professional institutions and considered the scope of the constitutional right to education.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there is a Fundamental Right to education and at what level.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every child has a Fundamental Right to free education up to age fourteen, derived from Articles 21 and 45 read together. Beyond that, education is subject to State capacity. The decision directly shaped the drafting of the Eighty-sixth Amendment and Article 21A.</w:t>
      </w:r>
    </w:p>
    <w:p>
      <w:pPr>
        <w:spacing w:after="40" w:before="200" w:line="240" w:lineRule="auto"/>
        <w:ind w:left="567" w:right="567"/>
      </w:pPr>
      <w:r>
        <w:rPr>
          <w:rFonts w:ascii="Calibri" w:cs="Calibri" w:eastAsia="Calibri" w:hAnsi="Calibri"/>
          <w:b/>
          <w:bCs/>
          <w:i w:val="false"/>
          <w:iCs w:val="false"/>
          <w:color w:val="000000"/>
          <w:sz w:val="28"/>
          <w:szCs w:val="28"/>
        </w:rPr>
        <w:t xml:space="preserve">Society for Unaided Private Schools of Rajasthan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(2012) 6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Private unaided schools challenged Section 12(1)(c) of the RTE Act requiring reservation of twenty-five percent of entry-level seats for economically weaker sections.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Section 12(1)(c) is constitutionally valid and whether it applies to minority institutions.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Section 12(1)(c) for non-minority private unaided schools, holding that the State may impose obligations on private institutions to advance universal elementary education. The provision does not apply to minority institutions in a manner infringing rights under Article 30(1).</w:t>
      </w:r>
    </w:p>
    <w:p>
      <w:pPr>
        <w:spacing w:after="40" w:before="200" w:line="240" w:lineRule="auto"/>
        <w:ind w:left="567" w:right="567"/>
      </w:pPr>
      <w:r>
        <w:rPr>
          <w:rFonts w:ascii="Calibri" w:cs="Calibri" w:eastAsia="Calibri" w:hAnsi="Calibri"/>
          <w:b/>
          <w:bCs/>
          <w:i w:val="false"/>
          <w:iCs w:val="false"/>
          <w:color w:val="000000"/>
          <w:sz w:val="28"/>
          <w:szCs w:val="28"/>
        </w:rPr>
        <w:t xml:space="preserve">Pramati Educational and Cultural Trust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(2014) 8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Minority educational institutions challenged the RTE Act's applicability on the ground that its provisions would infringe rights under Article 30(1).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RTE Act applies to minority educational institutions.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minority educational institutions — aided and unaided — are exempt from the RTE Act to the extent its application would infringe rights under Article 30(1), reaffirming the constitutional autonomy of minority educational institutions.</w:t>
      </w:r>
    </w:p>
    <w:p>
      <w:pPr>
        <w:spacing w:after="40" w:before="200" w:line="240" w:lineRule="auto"/>
        <w:ind w:left="567" w:right="567"/>
      </w:pPr>
      <w:r>
        <w:rPr>
          <w:rFonts w:ascii="Calibri" w:cs="Calibri" w:eastAsia="Calibri" w:hAnsi="Calibri"/>
          <w:b/>
          <w:bCs/>
          <w:i w:val="false"/>
          <w:iCs w:val="false"/>
          <w:color w:val="000000"/>
          <w:sz w:val="28"/>
          <w:szCs w:val="28"/>
        </w:rPr>
        <w:t xml:space="preserve">Environmental and Consumer Protection Foundation v. Delhi Administration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(2012) 10 SCC 197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 highlighted severe deficiencies in infrastructure at government schools — absence of toilets, drinking water, classrooms, and playgrounds.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inadequate school infrastructure violates Article 21A.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directed governments to improve school infrastructure and comply with statutory norms under the RTE Act, confirming that Article 21A requires not merely physical access to schools but the provision of quality educational facilities. The State's constitutional obligation is substantive, not merely formal.</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21A marks the point at which the constitutional aspiration of universal elementary education became an enforceable legal right. The Eighty-sixth Amendment and the RTE Act together create a framework in which the State, parents, and private educational institutions each bear obligations toward ensuring that every child between six and fourteen receives free, compulsory, and quality elementary education. As M.P. Jain and D.D. Basu each affirm, this transformation from directive to right reflects the Constitution's living character and its capacity to respond to the demands of a developing democracy.</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IV: Protection against arrest and detention (Article 22)</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22 provides constitutional protection against arbitrary arrest and detention in two distinct contexts: arrest under ordinary criminal law, and preventive detention. In each context, the framers recognised that the State's power to deprive a person of physical liberty is necessary for the administration of justice and the maintenance of public order but is simultaneously one of the most potent sources of executive abuse. Article 22 therefore structures the exercise of this power through procedural safeguards designed to ensure transparency, access to legal assistance, and judicial oversight.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two parts of Article 22 address fundamentally different situations. Clauses (1) and (2) deal with ordinary criminal arrest: they guarantee the arrested person the right to be informed of the grounds of arrest, the right to consult a lawyer of their choice, and the right to be produced before a magistrate within twenty-four hours. Clauses (3) through (7) deal with preventive detention and impose a separate set of safeguards including communication of grounds, the right to make a representation, and review by an independent Advisory Board. M.P. Jain observes that Article 22 prevents arbitrary executive action while permitting exceptional preventive measures. D.D. Basu notes that it reconciles civil liberties with the legitimate needs of national security and public order.</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22: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22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No person who is arrested shall be detained in custody without being informed, as soon as may be, of the grounds for such arrest nor shall he be denied the right to consult, and to be defended by, a legal practitioner of his choice.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Every person who is arrested and detained in custody shall be produced before the nearest magistrate within a period of twenty-four hours of such arrest excluding the time necessary for the journey from the place of arrest to the court of the magistrate and no such person shall be detained in custody beyond the said period without the authority of a magistrate.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Nothing in clauses (1) and (2) shall apply — (a) to any person who for the time being is an enemy alien; or (b) to any person who is arrested or detained under any law providing for preventive detention.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No law providing for preventive detention shall authorise the detention of a person for a longer period than three months unless an Advisory Board consisting of persons who are, or have been, or are qualified to be appointed as, Judges of a High Court has reported before the expiration of the said period of three months that there is in its opinion sufficient cause for such detention, or unless such person is detained in accordance with the provisions of any law made by Parliament under sub-clauses (a) and (b) of clause (7).</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(5) When any person is detained in pursuance of an order made under any law providing for preventive detention, the authority making the order shall, as soon as may be, communicate to such person the grounds on which the order has been made and shall afford him the earliest opportunity of making a representation against the order.</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(6) Nothing in clause (5) shall require the authority making any such order as is referred to in that clause to disclose facts which such authority considers it against the public interest to disclose.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(7) Parliament may by law prescribe — (a) the circumstances under which, and the class or classes of cases in which, a person may be detained for a period longer than three months under any law providing for preventive detention without obtaining the opinion of an Advisory Board; (b) the maximum period for which any person may in any class or classes of cases be detained under any law providing for preventive detention; and (c) the procedure to be followed by an Advisory Board in an inquiry.</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22(1) and (2) create four safeguards for ordinary arrest: the right to know the grounds of arrest, the right to consult and be defended by a lawyer of one's choice, the right to be produced before a magistrate within twenty-four hours, and the prohibition on detention beyond twenty-four hours without magistrate's authority. Article 22(3) carves out two exceptions: enemy aliens and persons detained under preventive detention laws are not entitled to the ordinary safeguards but are governed by the special regime in clauses (4) to (7). Preventive detention safeguards include maximum duration, Advisory Board review, communication of grounds, the right to make a representation, and Parliamentary oversight of conditions and maximum duration.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Ordinary arrest versus preventive detention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973"/>
        <w:gridCol w:w="2960"/>
        <w:gridCol w:w="2959"/>
      </w:tblGrid>
      <w:tr>
        <w:trPr>
          <w:tblHeader/>
        </w:trP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Ordinary arrest (Articles 22(1) and (2))</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Preventive detention (Articles 22(3)-(7))</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Purpose</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Penal: responds to alleged past offence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Preventive: anticipates and prevents future prejudicial acts</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Criminal trial</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Criminal prosecution and trial follow</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 trial required</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Lawyer</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Guaranteed under Article 22(1)</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Not explicitly guaranteed; depends on applicable law</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Magistrate</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Production within 24 hours under Article 22(2)</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Not applicable; detained by executive order</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Review</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Judicial remand; bail available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Advisory Board review within 3 months</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Punitive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Preventive</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Preventive detention: constitutional safeguards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Preventive detention is the detention of a person without criminal trial to prevent future acts prejudicial to national security, public order, the security of the State, defence, or essential services. The Constitution permits it in genuine emergencies while surrounding it with procedural safeguards to minimise abuse. The safeguards under Article 22(4) to (7) are: detention beyond three months requires an Advisory Board's opinion or Parliamentary authorisation; the grounds of detention must be communicated as soon as possible; the detainee has the right to make a representation; and Parliament regulates the maximum duration and Advisory Board procedure. These are supplemented by habeas corpus writs under Articles 32 and 226, which courts have consistently exercised to scrutinise the legality and good faith of detention orders. The National Security Act, 1980, and the Conservation of Foreign Exchange and Prevention of Smuggling Activities Act, 1974 (COFEPOSA), are among the principal preventive detention statutes currently in force.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Maneka Gandhi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1 SCC 248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passport was impounded without furnishing reasons. The case raised questions about the integrated reading of Articles 14, 19, 21, and 22.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procedure affecting personal liberty must satisfy Articles 14, 19, and 21 in addition to Article 22, and whether it must be fair, just, and reasonable.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Articles 14, 19, and 21 are interrelated and that any procedure affecting personal liberty must satisfy all three. This ruling also governs Article 22: arrest and detention procedures must be not merely formally authorised by law but substantively fair. The decision fundamentally reshaped the constitutional framework for Article 22 by insisting on procedural justice as a constitutional requirement.</w:t>
      </w:r>
    </w:p>
    <w:p>
      <w:pPr>
        <w:spacing w:after="40" w:before="200" w:line="240" w:lineRule="auto"/>
        <w:ind w:left="567" w:right="567"/>
      </w:pPr>
      <w:r>
        <w:rPr>
          <w:rFonts w:ascii="Calibri" w:cs="Calibri" w:eastAsia="Calibri" w:hAnsi="Calibri"/>
          <w:b/>
          <w:bCs/>
          <w:i w:val="false"/>
          <w:iCs w:val="false"/>
          <w:color w:val="000000"/>
          <w:sz w:val="28"/>
          <w:szCs w:val="28"/>
        </w:rPr>
        <w:t xml:space="preserve">Joginder Kumar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(1994) 4 SCC 260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challenged the practice of making arbitrary arrests without reasonable grounds.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arrest is justified merely because it is technically permitted by law.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arrest is not justified merely because it is lawful. The police must have reasonable grounds for believing that arrest is necessary, and the arrested person's family must ordinarily be informed. Guidelines were issued restricting arbitrary arrests, affirming that the power of arrest must be exercised with due regard for personal liberty.</w:t>
      </w:r>
    </w:p>
    <w:p>
      <w:pPr>
        <w:spacing w:after="40" w:before="200" w:line="240" w:lineRule="auto"/>
        <w:ind w:left="567" w:right="567"/>
      </w:pPr>
      <w:r>
        <w:rPr>
          <w:rFonts w:ascii="Calibri" w:cs="Calibri" w:eastAsia="Calibri" w:hAnsi="Calibri"/>
          <w:b/>
          <w:bCs/>
          <w:i w:val="false"/>
          <w:iCs w:val="false"/>
          <w:color w:val="000000"/>
          <w:sz w:val="28"/>
          <w:szCs w:val="28"/>
        </w:rPr>
        <w:t xml:space="preserve">D.K. Basu v. State of West Bengal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(1997) 1 SCC 416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Widespread custodial violence, torture, and deaths in police custody were brought to the Court's attention through a public interest petition.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What safeguards must be implemented to prevent custodial abuse and ensure transparency and accountability in arrest and detention.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issued comprehensive binding requirements for arrest and custody: arresting officers must identify themselves; an arrest memo must be prepared; the arrested person must be informed of the right to notify a family member; medical examination must be conducted regularly; the detainee must be produced before a magistrate within twenty-four hours; and legal aid must be provided. These guidelines became binding law until Parliament enacted suitable legislation.</w:t>
      </w:r>
    </w:p>
    <w:p>
      <w:pPr>
        <w:spacing w:after="40" w:before="200" w:line="240" w:lineRule="auto"/>
        <w:ind w:left="567" w:right="567"/>
      </w:pPr>
      <w:r>
        <w:rPr>
          <w:rFonts w:ascii="Calibri" w:cs="Calibri" w:eastAsia="Calibri" w:hAnsi="Calibri"/>
          <w:b/>
          <w:bCs/>
          <w:i w:val="false"/>
          <w:iCs w:val="false"/>
          <w:color w:val="000000"/>
          <w:sz w:val="28"/>
          <w:szCs w:val="28"/>
        </w:rPr>
        <w:t xml:space="preserve">A.K. Roy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(1982) 1 SCC 271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provisions of the National Security Act, 1980,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NSA's provisions on preventive detention satisfied the constitutional requirements of Article 22.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constitutional validity of the NSA while emphasising that all procedural safeguards under Article 22 must be strictly observed. The power of preventive detention must always operate within the constitutional framework, and courts retain authority to review compliance.</w:t>
      </w:r>
    </w:p>
    <w:p>
      <w:pPr>
        <w:spacing w:after="40" w:before="200" w:line="240" w:lineRule="auto"/>
        <w:ind w:left="567" w:right="567"/>
      </w:pPr>
      <w:r>
        <w:rPr>
          <w:rFonts w:ascii="Calibri" w:cs="Calibri" w:eastAsia="Calibri" w:hAnsi="Calibri"/>
          <w:b/>
          <w:bCs/>
          <w:i w:val="false"/>
          <w:iCs w:val="false"/>
          <w:color w:val="000000"/>
          <w:sz w:val="28"/>
          <w:szCs w:val="28"/>
        </w:rPr>
        <w:t xml:space="preserve">Rekha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(2011) 5 SCC 244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preventive detention order was challenged as unnecessary and not supported by relevant material showing a genuine need for detention.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preventive detention may be ordered routinely or without sufficient cause.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preventive detention is an extreme measure requiring genuine necessity supported by credible material. It cannot serve as a substitute for ordinary criminal prosecution or be used casually. The detention order was quashed, reaffirming that preventive detention must always be exceptional in character.</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22 reflects the Constitution's commitment to individual liberty alongside the State's legitimate needs for law enforcement and public security. The ordinary arrest safeguards — grounds, lawyer, magistrate — protect the accused in the criminal process. The preventive detention safeguards — grounds communicated, right to represent, Advisory Board review — limit executive excess in exceptional circumstances. Together they create a framework that is neither so restrictive as to prevent effective governance nor so permissive as to expose individuals to unchecked executive power. The decisions in Maneka Gandhi, D.K. Basu, Joginder Kumar, and Rekha demonstrate the Court's continuing role in ensuring that these constitutional safeguards are given genuine effect. As M.P. Jain and D.D. Basu each observe, Article 22 embodies the constitutional aspiration of balancing personal liberty with the imperatives of public order, always within the discipline of the Rule of Law.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2026-07-01T12:51:08.686Z</dcterms:created>
  <dcterms:modified xsi:type="dcterms:W3CDTF">2026-07-01T12:51:08.687Z</dcterms:modified>
</cp:coreProperties>
</file>

<file path=docProps/custom.xml><?xml version="1.0" encoding="utf-8"?>
<Properties xmlns="http://schemas.openxmlformats.org/officeDocument/2006/custom-properties" xmlns:vt="http://schemas.openxmlformats.org/officeDocument/2006/docPropsVTypes"/>
</file>