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ind w:left="567" w:right="567"/>
        <w:jc w:val="center"/>
      </w:pPr>
      <w:r>
        <w:rPr>
          <w:rFonts w:ascii="Calibri" w:cs="Calibri" w:eastAsia="Calibri" w:hAnsi="Calibri"/>
          <w:b/>
          <w:bCs/>
          <w:i w:val="false"/>
          <w:iCs w:val="false"/>
          <w:color w:val="000000"/>
          <w:sz w:val="28"/>
          <w:szCs w:val="28"/>
        </w:rPr>
        <w:t xml:space="preserve">Module VII</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Right to freedom of religion (Articles 25–28) and cultural and educational rights (Articles 29–30)</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 Right to freedom of religion (Articles 25 to 28 and Article 290A)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India is home to an extraordinary variety of religions, languages, and cultural traditions, a diversity that the Constitution's framers regarded not as a problem to be managed but as a characteristic to be honoured and protected. The framers resolved that the new Republic would have no official religion, that the State would remain equidistant from all faiths, and that every individual would enjoy full freedom to determine their own relationship with religion. This resolve is given constitutional expression through Articles 25 to 28 of Part III, which collectively guarantee the Right to Freedom of Religion.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Indian model of secularism is distinctive. It does not require the State to maintain strict neutrality by ignoring religion altogether; instead, it calls for equal respect toward all religions, active protection of individual religious liberty, and the State's power to intervene when religious practices conflict with constitutional values such as equality, dignity, and public welfare. The word 'secular' was explicitly inserted into the Preamble by the Forty-second Constitutional Amendment, 1976, though the Supreme Court in S.R. Bommai v. Union of India confirmed that secularism was always an inherent feature of the constitutional design. The Court further held that secularism forms part of the Basic Structure of the Constitution and cannot be abrogated even by constitutional amendment.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Religious freedom under Articles 25 to 28 covers multiple dimensions: freedom of conscience for individuals, the right to profess, practise, and propagate religion, the collective rights of religious denominations to manage their own affairs, protection against being compelled to pay taxes for the promotion of a particular religion, and freedom of students from compulsory religious instruction. These rights are not absolute — they are subject to public order, morality, health, and the other provisions of Part III — but within those limitations the Constitution confers substantial autonomy on both individuals and religious institutions.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According to M.P. Jain, Articles 25 to 28 seek to maintain a delicate balance between individual liberty, religious autonomy, and social reform, ensuring harmony in a pluralistic society. D.D. Basu similarly observes that these provisions embody the constitutional ideal of positive secularism, whereby the State respects all religions equally without identifying itself with any one of them.</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Concept of secularism under the Indian Constitution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Indian secularism differs fundamentally from the Western model of strict separation between Church and State. The Indian Constitution adopts a model of positive secularism in which the State does not simply withdraw from religious affairs but actively ensures that all religions are treated with equal respect. Its key features are that there is no official State religion; the State treats all religions equally and impartially; every individual enjoys freedom of conscience and the right to profess, practise, and propagate religion; the State is neutral in matters of faith but retains authority to regulate secular aspects of religious institutions; and the Constitution empowers the State to undertake social reform, abolish discriminatory practices, and open public Hindu religious institutions to all sections of Hindus even where such reform touches religious structures.</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973"/>
        <w:gridCol w:w="2960"/>
        <w:gridCol w:w="2959"/>
      </w:tblGrid>
      <w:tr>
        <w:trPr>
          <w:tblHeader/>
        </w:trP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Feature</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Indian secularism</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Western secularism</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Relationship with religion</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Positive secularism: equal respect for all religions</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Strict separation: State indifferent to religion</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State intervention</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Permitted for social reform and public welfare</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Generally avoided</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Official religion</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None; all faiths treated equally</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Typically none, though approach varies</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Constitutional basis</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Preamble (as amended) and Articles 25–28, upheld as Basic Structure</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Varies by jurisdiction</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Article 25: freedom of conscience and the right to profess, practise, and propagate religion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25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Subject to public order, morality and health and to the other provisions of this Part, all persons are equally entitled to freedom of conscience and the right freely to profess, practise and propagate religion.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Nothing in this article shall prevent the State from— (a) regulating or restricting any economic, financial, political or other secular activity which may be associated with religious practice; (b) providing for social welfare and reform or the throwing open of Hindu religious institutions of a public character to all classes and sections of Hindus.</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25(1) extends to all persons — citizens and non-citizens — the right to hold religious beliefs, to openly declare and practise them, and to disseminate them through preaching, teaching, or persuasion. Freedom of conscience protects the inner liberty of thought and belief, including the freedom to be agnostic or atheist. The right to practise covers religious rituals, ceremonies, and observances that are essential and integral to the religion. Propagation means the right to spread religious beliefs by lawful persuasion, but it does not include a right to convert another person through force, fraud, or allurement. Article 25(2) preserves the State's authority to regulate secular activities associated with religion and to undertake social reform, including the opening of Hindu public religious institutions to all sections of Hindus — a provision that reflects the Constitution's commitment to eliminating caste discrimination even within religious contexts.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Freedom of conscience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Freedom of conscience is the most fundamental aspect of Article 25. It is the inner freedom of every person to determine matters of faith according to personal conviction, without State interference. It includes the freedom to believe in any religion, to change one's religion, to adopt atheism or agnosticism, and to remain uncommitted in matters of faith. This inner dimension of religious liberty is entirely personal and is protected from coercion whether by the State or by private persons.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Right to profess religion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To profess religion means openly declaring or acknowledging one's religious faith. It includes expressing one's religious identity through words, dress, symbols, and public declaration. Examples include publicly identifying as a Muslim, Sikh, Buddhist, or Christian; wearing religious attire such as the hijab or the turban; participating in public religious ceremonies; and displaying religious symbols consistent with one's faith.</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Right to practise religion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right to practise religion covers the performance of religious rituals, ceremonies, observances, and modes of worship that form part of the religion concerned. The Supreme Court has consistently held that only practices which are essential and integral to a religion receive full constitutional protection under this head. Whether a practice is essential is determined by examining the sacred scriptures, religious doctrines, historical traditions, long-standing customs, and the tenets of the particular faith. This Essential Religious Practices Doctrine was first articulated in Commissioner, Hindu Religious Endowments v. Sri Lakshmindra Thirtha Swamiar (AIR 1954 SC 282) and has been applied in numerous subsequent decisions.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Right to propagate religion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Propagation means disseminating religious beliefs through preaching, teaching, or publication. The right is available to all communities and enables individuals to explain their faith and invite others to consider it. However, as the Supreme Court held in Rev. Stainislaus v. State of Madhya Pradesh, Article 25 does not confer a fundamental right to convert another person. Anti-conversion laws prohibiting conversion through force, fraud, or allurement are therefore constitutionally valid, as such laws protect the freedom of conscience of the person being approached rather than restricting the propagator's right to share beliefs by lawful persuasion.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Article 26: freedom to manage religious affairs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26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Subject to public order, morality and health, every religious denomination or any section thereof shall have the right— (a) to establish and maintain institutions for religious and charitable purposes; (b) to manage its own affairs in matters of religion; (c) to own and acquire movable and immovable property; and (d) to administer such property in accordance with law.</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While Article 25 protects individual religious liberty, Article 26 extends constitutional protection to the collective rights of religious denominations. The Supreme Court in the Shirur Mutt case defined a religious denomination as a collection of individuals having a system of beliefs or doctrines they regard as conducive to their spiritual well-being, possessing a common faith, a common organisational structure, and a distinctive name. The four rights under Article 26 — to establish institutions, to manage religious affairs, to own property, and to administer that property according to law — enable organised religious groups to preserve their identity, traditions, and institutions. Clause (b) is the most significant: it protects the autonomy of denominations in matters of religion, meaning that rituals, worship, ceremonies, and essential religious practices cannot ordinarily be regulated by the State. However, secular administration — finances, accounts, appointment of administrative staff — remains subject to legislative regulation and State oversight.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Religious matters versus secular matters</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3946"/>
        <w:gridCol w:w="3946"/>
      </w:tblGrid>
      <w:tr>
        <w:trPr>
          <w:tblHeader/>
        </w:trPr>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Religious matters (protected under Art. 26(b))</w:t>
            </w:r>
          </w:p>
        </w:tc>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Secular matters (subject to State regulation)</w:t>
            </w:r>
          </w:p>
        </w:tc>
      </w:tr>
      <w:tr>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Religious rituals and ceremonies</w:t>
            </w:r>
          </w:p>
        </w:tc>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Financial management and accounts</w:t>
            </w:r>
          </w:p>
        </w:tc>
      </w:tr>
      <w:tr>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Modes of worship and prayer</w:t>
            </w:r>
          </w:p>
        </w:tc>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Appointment of administrative officers</w:t>
            </w:r>
          </w:p>
        </w:tc>
      </w:tr>
      <w:tr>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Essential religious practices</w:t>
            </w:r>
          </w:p>
        </w:tc>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Audit and external supervision</w:t>
            </w:r>
          </w:p>
        </w:tc>
      </w:tr>
      <w:tr>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Sacred observances and festivals</w:t>
            </w:r>
          </w:p>
        </w:tc>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Management of endowment properties</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Article 27: freedom from payment of taxes for promotion of religion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27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No person shall be compelled to pay any taxes, the proceeds of which are specifically appropriated in payment of expenses for the promotion or maintenance of any particular religion or religious denomination.</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27 embodies the fiscal dimension of secularism. It prevents the State from using compulsory tax revenue to promote or maintain any single religion or denomination, ensuring that public funds remain religiously neutral. Three conditions must be present for Article 27 to be attracted: the levy must be a tax (a compulsory exaction with no direct individual benefit), its proceeds must be specifically appropriated, and the appropriation must be for promoting or maintaining a particular religion or denomination. A fee charged for regulating religious institutions or maintaining pilgrimage infrastructure is not covered because fees involve a direct benefit to the payer and are regulatory rather than promotional in nature. State expenditure on secular activities — preserving ancient monuments, providing security at religious gatherings, maintaining heritage infrastructure — does not violate Article 27 because it serves general public interests rather than any single religion.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Article 28: freedom regarding religious instruction in educational institutions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28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No religious instruction shall be provided in any educational institution wholly maintained out of State funds.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Nothing in clause (1) shall apply to an educational institution which is administered by the State but has been established under any endowment or trust which requires that religious instruction shall be imparted in such institution.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(3) No person attending any educational institution recognised by the State or receiving aid out of State funds shall be required to take part in any religious instruction that may be imparted in such institution or to attend any religious worship that may be conducted in such institution or in any premises attached thereto unless such person or, if such person is a minor, his guardian has given his consent thereto.</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28 regulates religious instruction in educational institutions to preserve both freedom of conscience and the secular character of publicly funded education. Institutions wholly maintained by the State may not impart any religious instruction at all. State-administered institutions established under a religious endowment or trust that requires religious teaching are exempt from clause (1) but are still subject to the consent requirement in clause (3). Students at State-recognised or State-aided institutions cannot be compelled to attend religious instruction or worship without their own consent or, if minors, that of their guardians. Private unaided institutions are governed by their own rules and the rights of their founders, subject to applicable law.</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Article 290A: annual payment to Devaswom Funds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290A, inserted by the Seventh Constitutional Amendment Act, 1956, following the reorganisation of States, mandates annual payments from the Consolidated Funds of Kerala and Tamil Nadu to the Travancore and Cochin Devaswom Boards and other specified Devaswom Funds. These Boards manage major Hindu temples in the respective States, and the constitutional provision was designed to honour pre-existing financial obligations that had been established by the former princely States of Travancore and Cochin before their merger. The provision does not violate the constitutional principle of secularism because it fulfils a historical legal obligation rather than actively promoting any religion. Constitutional scholars including M.P. Jain and D.D. Basu regard it as an exception grounded in historical necessity, reflecting the constitutional commitment to continuity of existing legal arrangements rather than any departure from the secular character of the State.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8.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Commissioner, Hindu Religious Endowments, Madras v. Sri Lakshmindra Thirtha Swamiar of Shirur Mutt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1954 SC 282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Madras Hindu Religious and Charitable Endowments Act empowered the Commissioner to take over the administration of a religious mutt. The head of the Shirur Mutt challenged the Act as an infringement of the rights guaranteed under Articles 25 and 26.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What constitutes a religious denomination under Article 26, and whether the State may regulate the internal management of a religious mutt.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defined a religious denomination and laid down the Essential Religious Practices Doctrine, holding that only practices essential and integral to a religion receive constitutional protection. The State may regulate secular aspects of religious administration such as finances and property management, but it cannot control the purely religious affairs of a denomination. The judgment remains the foundational authority on Articles 25 and 26.</w:t>
      </w:r>
    </w:p>
    <w:p>
      <w:pPr>
        <w:spacing w:after="40" w:before="200" w:line="240" w:lineRule="auto"/>
        <w:ind w:left="567" w:right="567"/>
      </w:pPr>
      <w:r>
        <w:rPr>
          <w:rFonts w:ascii="Calibri" w:cs="Calibri" w:eastAsia="Calibri" w:hAnsi="Calibri"/>
          <w:b/>
          <w:bCs/>
          <w:i w:val="false"/>
          <w:iCs w:val="false"/>
          <w:color w:val="000000"/>
          <w:sz w:val="28"/>
          <w:szCs w:val="28"/>
        </w:rPr>
        <w:t xml:space="preserve">Ratilal Panachand Gandhi v. State of Bombay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1954 SC 388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Bombay Public Trusts Act imposed restrictions on the administration of religious trusts managed by Parsis. The petitioners challenged these provisions as infringing their rights under Articles 25 and 26.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State may regulate religious trusts and distinguish between religious practices and secular administration in the context of Article 26.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Court upheld the State's power to regulate the secular aspects of administration — accounts, management of property — while holding that purely religious matters remain beyond State control. The decision clarified the line between permissible regulation and unconstitutional interference with religious autonomy.</w:t>
      </w:r>
    </w:p>
    <w:p>
      <w:pPr>
        <w:spacing w:after="40" w:before="200" w:line="240" w:lineRule="auto"/>
        <w:ind w:left="567" w:right="567"/>
      </w:pPr>
      <w:r>
        <w:rPr>
          <w:rFonts w:ascii="Calibri" w:cs="Calibri" w:eastAsia="Calibri" w:hAnsi="Calibri"/>
          <w:b/>
          <w:bCs/>
          <w:i w:val="false"/>
          <w:iCs w:val="false"/>
          <w:color w:val="000000"/>
          <w:sz w:val="28"/>
          <w:szCs w:val="28"/>
        </w:rPr>
        <w:t xml:space="preserve">Rev. Stainislaus v. State of Madhya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(1977) 1 SCC 677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anti-conversion laws enacted by Madhya Pradesh and Odisha, which prohibited conversion by force, fraud, or allurement, was challenged on the ground that Article 25 conferred a fundamental right to convert.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 25 includes a right to convert another person to one's religion.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Article 25 protects the right to propagate religion by lawful persuasion but does not confer a right to convert another person through force, fraud, or inducement. Anti-conversion laws protecting freedom of conscience are therefore constitutionally valid. The decision is the authoritative interpretation of the term 'propagate' in Article 25.</w:t>
      </w:r>
    </w:p>
    <w:p>
      <w:pPr>
        <w:spacing w:after="40" w:before="200" w:line="240" w:lineRule="auto"/>
        <w:ind w:left="567" w:right="567"/>
      </w:pPr>
      <w:r>
        <w:rPr>
          <w:rFonts w:ascii="Calibri" w:cs="Calibri" w:eastAsia="Calibri" w:hAnsi="Calibri"/>
          <w:b/>
          <w:bCs/>
          <w:i w:val="false"/>
          <w:iCs w:val="false"/>
          <w:color w:val="000000"/>
          <w:sz w:val="28"/>
          <w:szCs w:val="28"/>
        </w:rPr>
        <w:t xml:space="preserve">Bijoe Emmanuel v. State of Kerala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(1986) 3 SCC 615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Three students of the Jehovah's Witnesses faith stood respectfully during the national anthem in school but did not sing it, in accordance with their sincere religious belief that one should not sing to any power other than God. They were expelled from school.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compelling the students to sing the national anthem violated their freedom of conscience under Article 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ordered the reinstatement of the students, holding that sincere religious beliefs that do not threaten public order are protected under freedom of conscience. Expelling students for respectfully standing during the national anthem without singing it constituted an unconstitutional invasion of their freedom of conscience.</w:t>
      </w:r>
    </w:p>
    <w:p>
      <w:pPr>
        <w:spacing w:after="40" w:before="200" w:line="240" w:lineRule="auto"/>
        <w:ind w:left="567" w:right="567"/>
      </w:pPr>
      <w:r>
        <w:rPr>
          <w:rFonts w:ascii="Calibri" w:cs="Calibri" w:eastAsia="Calibri" w:hAnsi="Calibri"/>
          <w:b/>
          <w:bCs/>
          <w:i w:val="false"/>
          <w:iCs w:val="false"/>
          <w:color w:val="000000"/>
          <w:sz w:val="28"/>
          <w:szCs w:val="28"/>
        </w:rPr>
        <w:t xml:space="preserve">Acharya Jagdishwaranand Avadhuta v. Commissioner of Police, Calcutta (Ananda Marga case)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(1983) 4 SCC 522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Followers of Ananda Marga claimed that the performance of the Tandava Dance in public processions was an essential religious practice entitled to protection under Article 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Tandava Dance constituted an essential religious practice of Ananda Marga.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public performance of the Tandava Dance had not been shown to be an essential and integral practice of Ananda Marga. Applying the Essential Religious Practices Doctrine, the Court confirmed that only those practices that are genuinely essential and integral to the religion concerned receive constitutional protection; optional or peripheral practices may be regulated.</w:t>
      </w:r>
    </w:p>
    <w:p>
      <w:pPr>
        <w:spacing w:after="40" w:before="200" w:line="240" w:lineRule="auto"/>
        <w:ind w:left="567" w:right="567"/>
      </w:pPr>
      <w:r>
        <w:rPr>
          <w:rFonts w:ascii="Calibri" w:cs="Calibri" w:eastAsia="Calibri" w:hAnsi="Calibri"/>
          <w:b/>
          <w:bCs/>
          <w:i w:val="false"/>
          <w:iCs w:val="false"/>
          <w:color w:val="000000"/>
          <w:sz w:val="28"/>
          <w:szCs w:val="28"/>
        </w:rPr>
        <w:t xml:space="preserve">S.R. Bommai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(1994) 3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State Governments were dismissed under Article 356 on the ground that they were acting contrary to secular principles. The validity of the dismissals was challenged alongside broader questions about secularism's status under the Constitution.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secularism forms part of the Basic Structure of the Constitution and what its implications are for State action.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declared secularism to be a Basic Structure of the Constitution that cannot be abrogated even by constitutional amendment. Governments that act contrary to secular principles may face constitutional consequences. The decision is the definitive authority on the constitutional status of secularism in India.</w:t>
      </w:r>
    </w:p>
    <w:p>
      <w:pPr>
        <w:spacing w:after="40" w:before="200" w:line="240" w:lineRule="auto"/>
        <w:ind w:left="567" w:right="567"/>
      </w:pPr>
      <w:r>
        <w:rPr>
          <w:rFonts w:ascii="Calibri" w:cs="Calibri" w:eastAsia="Calibri" w:hAnsi="Calibri"/>
          <w:b/>
          <w:bCs/>
          <w:i w:val="false"/>
          <w:iCs w:val="false"/>
          <w:color w:val="000000"/>
          <w:sz w:val="28"/>
          <w:szCs w:val="28"/>
        </w:rPr>
        <w:t xml:space="preserve">Ismail Faruqui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(1994) 6 SCC 360</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the Acquisition of Certain Area at Ayodhya Act, 1993, which empowered the Government to acquire land in the Ram Janmabhoomi-Babri Masjid area, was challenged on the ground that it infringed the right to practise religion at the mosque.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mosque enjoys absolute immunity from State acquisition and what the scope of religious freedom over places of worship is.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Act in substantial part, holding that places of worship are constitutionally protected but that acquisition for a legitimate public purpose is permissible under law. A mosque is not an essential part of the practice of Islamic faith to the extent that its acquisition would itself violate religious freedom, though the constitutional status of religious sites was examined in depth.</w:t>
      </w:r>
    </w:p>
    <w:p>
      <w:pPr>
        <w:spacing w:after="40" w:before="200" w:line="240" w:lineRule="auto"/>
        <w:ind w:left="567" w:right="567"/>
      </w:pPr>
      <w:r>
        <w:rPr>
          <w:rFonts w:ascii="Calibri" w:cs="Calibri" w:eastAsia="Calibri" w:hAnsi="Calibri"/>
          <w:b/>
          <w:bCs/>
          <w:i w:val="false"/>
          <w:iCs w:val="false"/>
          <w:color w:val="000000"/>
          <w:sz w:val="28"/>
          <w:szCs w:val="28"/>
        </w:rPr>
        <w:t xml:space="preserve">Aruna Roy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(2002) 7 SCC 368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National Curriculum Framework that introduced value education including moral and ethical content drawn from different religions and philosophies was challenged as violating the secular character of State education under Article 28.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teaching about different religions and their moral teachings in schools amounts to religious instruction prohibited under Article 28(1).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curriculum, holding that education about different religions, their moral teachings, and their cultural contributions is distinct from religious instruction or indoctrination. Teaching comparative religion for educational purposes does not violate secularism or Article 28.</w:t>
      </w:r>
    </w:p>
    <w:p>
      <w:pPr>
        <w:spacing w:after="40" w:before="200" w:line="240" w:lineRule="auto"/>
        <w:ind w:left="567" w:right="567"/>
      </w:pPr>
      <w:r>
        <w:rPr>
          <w:rFonts w:ascii="Calibri" w:cs="Calibri" w:eastAsia="Calibri" w:hAnsi="Calibri"/>
          <w:b/>
          <w:bCs/>
          <w:i w:val="false"/>
          <w:iCs w:val="false"/>
          <w:color w:val="000000"/>
          <w:sz w:val="28"/>
          <w:szCs w:val="28"/>
        </w:rPr>
        <w:t xml:space="preserve">Indian Young Lawyers Association v. State of Kerala (Sabarimala case)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(2019) 11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Women between the ages of ten and fifty were traditionally excluded from entering the Sabarimala Temple on the ground that the deity was a celibate and their presence would be inconsistent with his religious character.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exclusion of women of menstruating age from the temple violated Articles 14, 15, 17, 21, and 25, and whether it constituted an essential religious practice entitled to protection.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majority held by four to one that the exclusion was unconstitutional as it violated the rights of women to equality, dignity, and freedom of religion. The matter has subsequently been referred to a larger Bench on certain broader constitutional questions, but the judgment remains significant for its application of constitutional morality to religious practices and for strengthening the relationship between equality and religious freedom.</w:t>
      </w:r>
    </w:p>
    <w:p>
      <w:pPr>
        <w:spacing w:after="40" w:before="200" w:line="240" w:lineRule="auto"/>
        <w:ind w:left="567" w:right="567"/>
      </w:pPr>
      <w:r>
        <w:rPr>
          <w:rFonts w:ascii="Calibri" w:cs="Calibri" w:eastAsia="Calibri" w:hAnsi="Calibri"/>
          <w:b/>
          <w:bCs/>
          <w:i w:val="false"/>
          <w:iCs w:val="false"/>
          <w:color w:val="000000"/>
          <w:sz w:val="28"/>
          <w:szCs w:val="28"/>
        </w:rPr>
        <w:t xml:space="preserve">Shayara Bano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(2017) 9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instant triple talaq — talaq-e-biddat, a practice by which a Muslim husband could dissolve a marriage instantly by pronouncing talaq three times — was challenged as manifestly arbitrary and discriminatory.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instant triple talaq is protected as an essential practice of Islam under Article 25, and whether it violates the constitutional rights of Muslim women.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By a majority of three to two, the Supreme Court declared instant triple talaq unconstitutional, holding that it was manifestly arbitrary and violated Article 14. The majority found that the practice did not qualify as an essential religious practice entitled to constitutional protection. The decision prompted Parliament to enact legislation criminalising instant triple talaq.</w:t>
      </w:r>
    </w:p>
    <w:p>
      <w:pPr>
        <w:spacing w:after="40" w:before="200" w:line="240" w:lineRule="auto"/>
        <w:ind w:left="567" w:right="567"/>
      </w:pPr>
      <w:r>
        <w:rPr>
          <w:rFonts w:ascii="Calibri" w:cs="Calibri" w:eastAsia="Calibri" w:hAnsi="Calibri"/>
          <w:b/>
          <w:bCs/>
          <w:i w:val="false"/>
          <w:iCs w:val="false"/>
          <w:color w:val="000000"/>
          <w:sz w:val="28"/>
          <w:szCs w:val="28"/>
        </w:rPr>
        <w:t xml:space="preserve">A.S. Narayana Deekshitulu v. State of Andhra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(1996) 9 SCC 548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reforms in Andhra Pradesh relating to the appointment and service conditions of hereditary archakas (temple priests) in State-controlled temples was challenged as interfering with the right of denominations to manage their own religious affairs.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State may regulate the appointment of archakas and prescribe their service conditions, and how the distinction between religious functions and secular administration applies to temple priests.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State's power to regulate the conditions of appointment and service of archakas in matters properly characterised as secular administration, while affirming that the essential religious functions performed by priests — the manner of worship, ritual procedures, and religious observances — remain protected from State interference under Article 26(b).</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9.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Articles 25 to 28 establish the constitutional architecture for the protection of religious freedom in a diverse and pluralistic society. By guaranteeing freedom of conscience, the right to profess and practise religion, the autonomy of religious denominations, fiscal neutrality toward religion, and freedom from compulsory religious instruction, they create a framework that is simultaneously protective of religious liberty and insistent on constitutional values of equality, dignity, and public welfare.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Supreme Court has played a transformative role in interpreting these provisions. The Essential Religious Practices Doctrine, developed through cases from Shirur Mutt to Sabarimala, ensures that genuine religious freedom is protected while preventing religion from being used as a shield for practices that are merely cultural, administrative, or inconsistent with constitutional morality. Decisions such as S.R. Bommai, which recognised secularism as a Basic Structure, and Shayara Bano, which applied constitutional morality to Islamic personal law, illustrate the ongoing dialogue between religious autonomy and constitutional values that these articles sustain. As M.P. Jain and D.D. Basu each observe, the Indian model of positive secularism protects all religions equally, supports social reform, and maintains that no religious practice is immune from constitutional scrutiny.</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 Cultural and educational rights (Articles 29 and 30)</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of India recognises that genuine national unity does not require cultural uniformity. India has long been home to numerous religious, linguistic, and ethnic communities, each with distinct languages, scripts, traditions, and educational institutions. The framers resolved that protecting this diversity was not a concession to separatism but an affirmation of the pluralistic character of Indian democracy. Articles 29 and 30, incorporated in Part III as Fundamental Rights, give constitutional expression to this conviction by safeguarding the cultural and educational rights of minorities.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Right to Freedom of Religion under Articles 25 to 28 protects the spiritual dimension of community life. Articles 29 and 30 complement it by protecting the linguistic, cultural, and educational dimensions: the right of any community with a distinct language, script, or culture to conserve it; the right of minorities to establish and administer educational institutions of their choice; protection against discrimination in admission to State-supported institutions; and the right to receive State aid without adverse discrimination on account of minority management. Together, these provisions ensure that minority communities may preserve their heritage and contribute to national development without surrendering their distinct identity.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Supreme Court has consistently described Articles 29 and 30 as protective rather than preferential provisions. Their purpose is not to create special privileges but to ensure that minorities enjoy substantive equality — equality that acknowledges difference rather than erasing it. As M.P. Jain observes, Articles 29 and 30 are among the most significant safeguards for preserving India's pluralistic character. D.D. Basu similarly emphasises that these provisions are indispensable for achieving substantive equality because they enable minorities to maintain their language, culture, and educational institutions while participating fully in the democratic process.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29: protection of interests of minorities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29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Any section of the citizens residing in the territory of India or any part thereof having a distinct language, script or culture of its own shall have the right to conserve the same.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No citizen shall be denied admission into any educational institution maintained by the State or receiving aid out of State funds on grounds only of religion, race, caste, language or any of them.</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29(1) protects the right of any section of citizens with a distinct language, script, or culture to conserve that identity. Significantly, the provision is not confined to minorities; it is available to any section of citizens with a distinct cultural identity, whether a majority or minority community. The right to conserve includes preserving language, promoting literature, protecting cultural heritage, and maintaining educational institutions for cultural preservation. Article 29(2) is an individual guarantee available to every citizen against discrimination in admission to State-maintained or State-aided educational institutions on specified grounds. It prevents institutions supported by public funds from being exclusionary on grounds of religion, race, caste, or language.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Concept of minority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does not define 'minority.' The Supreme Court has held that minority status is determined with reference to the State concerned rather than the national population, since the States are organised on linguistic lines. A community that is a majority at the national level may therefore be a minority in a particular State. For the purposes of Articles 29 and 30, two categories of minorities are recognised: religious minorities, defined by reference to a religion different from that of the majority in the State; and linguistic minorities, defined by reference to a language different from that used by the majority in the State. The National Commission for Minorities Act, 1992, notifies certain communities as minorities at the national level for statutory purposes, but the constitutional determination remains State-specific.</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Difference between Articles 29(1) and 29(2)</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736"/>
        <w:gridCol w:w="3078"/>
        <w:gridCol w:w="3078"/>
      </w:tblGrid>
      <w:tr>
        <w:trPr>
          <w:tblHeader/>
        </w:trP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Article 29(1)</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Article 29(2)</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 of right</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Collective right to conserve cultural identity</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Individual right against discrimination in admissions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Available to</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Any section of citizens with distinct language, script, or culture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Every citizen</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Protected interest</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Cultural, linguistic, and scriptural preservation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Equal access to educational institutions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Obligation on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State and others to refrain from interference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State-maintained and State-aided institutions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Type of protection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Positive right to conserve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Negative prohibition against discriminatory exclusion</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Article 30: right of minorities to establish and administer educational institutions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30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All minorities, whether based on religion or language, shall have the right to establish and administer educational institutions of their choice.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(1A) In making any law providing for the compulsory acquisition of any property of an educational institution established and administered by a minority, referred to in clause (1), the State shall ensure that the amount fixed by or determined under such law for the acquisition of such property is such as would not restrict or abrogate the right guaranteed under that clause.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The State shall not, in granting aid to educational institutions, discriminate against any educational institution on the ground that it is under the management of a minority, whether based on religion or language.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30(1) confers on both religious and linguistic minorities the right to establish educational institutions of their choice and to administer them. The right to 'establish' means to found the institution, while the right to 'administer' means to manage and control it, including appointing staff, admitting students, framing service rules, and preserving the institution's minority character. Article 30(1A), inserted by the Forty-fourth Amendment, 1978, ensures that if the State acquires property belonging to a minority institution, the compensation must not effectively abrogate the right to establish and administer. Article 30(2) prevents the State from discriminating in the grant of financial aid against institutions merely because they are managed by a minority, ensuring that minority institutions are not disadvantaged in accessing public funding.</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Scope of the right to establish and administer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right to establish institutions extends to schools, colleges, professional and technical institutions, and potentially universities, allowing minorities to provide education at every level in a manner that preserves their language, culture, and religious ethos. Critically, a minority institution is not required to provide only religious or cultural education: it may impart entirely secular education while remaining a minority institution by virtue of who established it and whose minority character it preserves. The right to administer includes authority over the governing body, the appointment of teachers and administrative staff, the formulation of service rules, the prescription of a medium of instruction, the admission of students (subject to constitutional limitations), and the overall management of the institution. These aspects of administration are protected from unreasonable governmental interference.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Permissible and impermissible regulation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30 does not confer absolute immunity from regulation. The State may impose reasonable regulations directed at maintaining educational standards, prescribing teacher qualifications, ensuring financial transparency and accountability, fixing minimum infrastructure requirements, and protecting the service conditions of employees. What the State may not do is take over the permanent management of a minority institution, destroy its minority character, make regulations so excessive and pervasive that they effectively eliminate the right to administer, or deny aid purely because the institution belongs to a minority. The guiding principle, developed through a long line of decisions from Kerala Education Bill to T.M.A. Pai Foundation, is that regulation must be designed to facilitate the effective functioning of educational institutions and to maintain standards, not to deprive minorities of the autonomy that the Constitution guarantees.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Difference between Articles 29 and 30</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736"/>
        <w:gridCol w:w="3078"/>
        <w:gridCol w:w="3078"/>
      </w:tblGrid>
      <w:tr>
        <w:trPr>
          <w:tblHeader/>
        </w:trP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Article 29</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Article 30</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Available to</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Any section of citizens with distinct language, script, or culture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Only religious and linguistic minorities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Subject matter</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Conservation of language, script, and culture; non-discrimination in admissions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Right to establish and administer educational institutions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Scope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Broader in personal reach (includes majorities with distinct culture)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Narrower but deeper: institutional autonomy</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State aid</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 specific provision on aid</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Clause (2) prohibits discrimination in grant of State aid</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Determination of minority status: State-wise approach</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In T.M.A. Pai Foundation v. State of Karnataka, an eleven-judge Bench of the Supreme Court settled that the unit for determining minority status under Articles 29 and 30 is the State, not the nation as a whole. This is consistent with the organisation of States on linguistic lines. A community that forms a majority nationally — for example, the Hindi-speaking community — may be a linguistic minority in a Tamil Nadu or Kerala. Similarly, a religious community that is nationally a majority may be a minority in a particular State depending on the religious composition of that State's population. The determination must therefore be made State-specifically, having regard to the actual composition of the State's population and not national figures.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Madras v. Champakam Dorairajan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1951 SC 226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State of Madras maintained a Communal Government Order allocating seats in State educational and medical colleges on the basis of caste and religion, reserving specified numbers for different religious and caste groups.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communal reservation policy violated Article 15(1) and whether discriminatory admissions to State institutions violated Article 29(2).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the Communal Government Order, holding that Article 29(2) prohibits denial of admission to State-maintained or State-aided institutions on grounds of religion, race, caste, or language. The judgment directly led to the First Constitutional Amendment Act, 1951, which inserted Article 15(4) to enable special provisions for backward classes.</w:t>
      </w:r>
    </w:p>
    <w:p>
      <w:pPr>
        <w:spacing w:after="40" w:before="200" w:line="240" w:lineRule="auto"/>
        <w:ind w:left="567" w:right="567"/>
      </w:pPr>
      <w:r>
        <w:rPr>
          <w:rFonts w:ascii="Calibri" w:cs="Calibri" w:eastAsia="Calibri" w:hAnsi="Calibri"/>
          <w:b/>
          <w:bCs/>
          <w:i w:val="false"/>
          <w:iCs w:val="false"/>
          <w:color w:val="000000"/>
          <w:sz w:val="28"/>
          <w:szCs w:val="28"/>
        </w:rPr>
        <w:t xml:space="preserve">In Re: Kerala Education Bill, 1957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1958 SC 956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President referred the Kerala Education Bill to the Supreme Court under Article 143 for its advisory opinion on whether provisions in the Bill that affected minority educational institutions were consistent with Article 30.</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State regulation of minority educational institutions under the Bill violated Article 30 and what kinds of regulation are constitutionally permissible.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several regulatory provisions of the Bill while confirming that the right under Article 30 is not absolute. The State may impose reasonable regulations directed at improving educational standards, but regulations that effectively defeat the right to manage the institution are unconstitutional. This was the first major judicial interpretation of the scope of Article 30.</w:t>
      </w:r>
    </w:p>
    <w:p>
      <w:pPr>
        <w:spacing w:after="40" w:before="200" w:line="240" w:lineRule="auto"/>
        <w:ind w:left="567" w:right="567"/>
      </w:pPr>
      <w:r>
        <w:rPr>
          <w:rFonts w:ascii="Calibri" w:cs="Calibri" w:eastAsia="Calibri" w:hAnsi="Calibri"/>
          <w:b/>
          <w:bCs/>
          <w:i w:val="false"/>
          <w:iCs w:val="false"/>
          <w:color w:val="000000"/>
          <w:sz w:val="28"/>
          <w:szCs w:val="28"/>
        </w:rPr>
        <w:t xml:space="preserve">Ahmedabad St. Xavier's College Society v. State of Gujarat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(1974) 1 SCC 717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State of Gujarat enacted legislation governing admissions, service conditions of staff, and the management of private colleges. Minority educational institutions challenged the provisions as infringing their right under Article 30(1).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State may compel minority institutions to admit students or appoint staff in ways that compromise the institution's minority character.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by a majority that minority educational institutions enjoy substantial administrative autonomy under Article 30. The State may regulate to maintain academic standards and prevent maladministration, but cannot compel minorities to give up the substance of their right to administer the institution in a manner consistent with their educational and religious objectives.</w:t>
      </w:r>
    </w:p>
    <w:p>
      <w:pPr>
        <w:spacing w:after="40" w:before="200" w:line="240" w:lineRule="auto"/>
        <w:ind w:left="567" w:right="567"/>
      </w:pPr>
      <w:r>
        <w:rPr>
          <w:rFonts w:ascii="Calibri" w:cs="Calibri" w:eastAsia="Calibri" w:hAnsi="Calibri"/>
          <w:b/>
          <w:bCs/>
          <w:i w:val="false"/>
          <w:iCs w:val="false"/>
          <w:color w:val="000000"/>
          <w:sz w:val="28"/>
          <w:szCs w:val="28"/>
        </w:rPr>
        <w:t xml:space="preserve">St. Stephen's College v. University of Delhi</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(1992) 1 SCC 558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St. Stephen's College, a Christian minority institution, maintained an admission policy that reserved a percentage of seats for minority students. The University of Delhi and others challenged this policy.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minority institution may reserve seats for minority students and what percentage of reservation is constitutionally permissible.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minority institutions may reserve a reasonable proportion of seats for minority students to preserve their minority character. The Court suggested approximately fifty percent as a guideline while requiring that the remaining seats be filled on merit. The decision balanced minority autonomy with the wider educational mission of the institution.</w:t>
      </w:r>
    </w:p>
    <w:p>
      <w:pPr>
        <w:spacing w:after="40" w:before="200" w:line="240" w:lineRule="auto"/>
        <w:ind w:left="567" w:right="567"/>
      </w:pPr>
      <w:r>
        <w:rPr>
          <w:rFonts w:ascii="Calibri" w:cs="Calibri" w:eastAsia="Calibri" w:hAnsi="Calibri"/>
          <w:b/>
          <w:bCs/>
          <w:i w:val="false"/>
          <w:iCs w:val="false"/>
          <w:color w:val="000000"/>
          <w:sz w:val="28"/>
          <w:szCs w:val="28"/>
        </w:rPr>
        <w:t xml:space="preserve">T.M.A. Pai Foundation v. State of Karnataka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(2002) 8 SCC 481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An eleven-judge Constitution Bench considered a comprehensive set of questions regarding the rights of minorities and private unaided educational institutions under Articles 19(1)(g), 29, and 30, in the context of State regulation of admissions, fee structures, and institutional management.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How minority status should be determined, what the scope of the right to establish and administer educational institutions is, and what types of regulation are permissible.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Court held that minority status is determined State-wise, that minorities have a constitutionally protected right to establish and administer institutions, that reasonable academic regulations are permissible, that the institution must be allowed to maintain its educational and religious character, and that commercial exploitation of education is not constitutionally protected. This comprehensive judgment is the foundational modern authority on Articles 29 and 30.</w:t>
      </w:r>
    </w:p>
    <w:p>
      <w:pPr>
        <w:spacing w:after="40" w:before="200" w:line="240" w:lineRule="auto"/>
        <w:ind w:left="567" w:right="567"/>
      </w:pPr>
      <w:r>
        <w:rPr>
          <w:rFonts w:ascii="Calibri" w:cs="Calibri" w:eastAsia="Calibri" w:hAnsi="Calibri"/>
          <w:b/>
          <w:bCs/>
          <w:i w:val="false"/>
          <w:iCs w:val="false"/>
          <w:color w:val="000000"/>
          <w:sz w:val="28"/>
          <w:szCs w:val="28"/>
        </w:rPr>
        <w:t xml:space="preserve">P.A. Inamdar v. State of Maharashtra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(2005) 6 SCC 537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seven-judge Bench revisited and clarified the principles on admissions and fee regulation in private unaided minority and non-minority institutions in the light of T.M.A. Pai Foundation.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States may impose a common admission process or fee regulation on private unaided minority institutions.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Court held that private unaided minority institutions have significant autonomy in admissions and fee setting. State-imposed common admission processes that negate institutional autonomy are impermissible, although transparency and merit must be maintained and capitation fees and profiteering are not protected.</w:t>
      </w:r>
    </w:p>
    <w:p>
      <w:pPr>
        <w:spacing w:after="40" w:before="200" w:line="240" w:lineRule="auto"/>
        <w:ind w:left="567" w:right="567"/>
      </w:pPr>
      <w:r>
        <w:rPr>
          <w:rFonts w:ascii="Calibri" w:cs="Calibri" w:eastAsia="Calibri" w:hAnsi="Calibri"/>
          <w:b/>
          <w:bCs/>
          <w:i w:val="false"/>
          <w:iCs w:val="false"/>
          <w:color w:val="000000"/>
          <w:sz w:val="28"/>
          <w:szCs w:val="28"/>
        </w:rPr>
        <w:t xml:space="preserve">Society for Unaided Private Schools of Rajasthan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(2012) 6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Private unaided non-minority schools challenged the constitutional validity of Section 12(1)(c) of the Right of Children to Free and Compulsory Education Act, 2009, which required them to reserve twenty-five percent of entry-level seats for economically weaker sections.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Section 12(1)(c) violated the right of private unaided schools under Article 19(1)(g) and whether it applied to minority institutions.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provision as applicable to private unaided non-minority schools, but held that the Act does not apply to minority educational institutions in a way that would infringe their rights under Article 30(1). Minority institutions are thereby protected from compulsory reservations that could alter their minority character.</w:t>
      </w:r>
    </w:p>
    <w:p>
      <w:pPr>
        <w:spacing w:after="40" w:before="200" w:line="240" w:lineRule="auto"/>
        <w:ind w:left="567" w:right="567"/>
      </w:pPr>
      <w:r>
        <w:rPr>
          <w:rFonts w:ascii="Calibri" w:cs="Calibri" w:eastAsia="Calibri" w:hAnsi="Calibri"/>
          <w:b/>
          <w:bCs/>
          <w:i w:val="false"/>
          <w:iCs w:val="false"/>
          <w:color w:val="000000"/>
          <w:sz w:val="28"/>
          <w:szCs w:val="28"/>
        </w:rPr>
        <w:t xml:space="preserve">Pramati Educational and Cultural Trust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(2014) 8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Minority educational institutions challenged the applicability of the Right of Children to Free and Compulsory Education Act, 2009 on the ground that it infringed their protected rights under Article 30(1).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RTE Act is applicable to minority educational institutions and whether its application would infringe Article 30(1).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minority educational institutions, whether aided or unaided, are exempt from the operation of the RTE Act to the extent that its provisions would infringe the rights guaranteed under Article 30(1). The judgment reaffirmed the constitutional autonomy of minority educational institutions and their protection from legislation that would effectively deprive them of their minority character.</w:t>
      </w:r>
    </w:p>
    <w:p>
      <w:pPr>
        <w:spacing w:after="40" w:before="200" w:line="240" w:lineRule="auto"/>
        <w:ind w:left="567" w:right="567"/>
      </w:pPr>
      <w:r>
        <w:rPr>
          <w:rFonts w:ascii="Calibri" w:cs="Calibri" w:eastAsia="Calibri" w:hAnsi="Calibri"/>
          <w:b/>
          <w:bCs/>
          <w:i w:val="false"/>
          <w:iCs w:val="false"/>
          <w:color w:val="000000"/>
          <w:sz w:val="28"/>
          <w:szCs w:val="28"/>
        </w:rPr>
        <w:t xml:space="preserve">Modern Dental College and Research Centre v. State of Madhya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(2016) 7 SCC 353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private minority institution challenged regulatory measures governing admissions to professional courses on the ground that they violated Article 30.</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regulatory measures concerning admissions and the counselling process, designed to ensure transparency and merit, violate the rights of minority institutions under Article 30.</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regulatory measures while reaffirming that the right under Article 30 is not absolute and that reasonable regulations designed to ensure educational excellence, transparency, and merit are constitutionally permissible. The decision confirmed that minority autonomy must be exercised in a manner compatible with the broader constitutional objectives of educational quality and public accountability.</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Articles 29 and 30 give constitutional substance to the conviction that national integration and cultural diversity are complementary rather than competing values. By protecting the right of any community with a distinct language, script, or culture to conserve it, and by securing the rights of religious and linguistic minorities to establish and administer educational institutions, they ensure that India's pluralism is not merely tolerated but actively protected within the constitutional order.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Supreme Court's jurisprudence on these provisions — from Champakam Dorairajan and Kerala Education Bill in the 1950s through St. Xavier's College, St. Stephen's College, T.M.A. Pai Foundation, and Pramati — has progressively defined a framework that balances minority autonomy against the State's legitimate interest in educational standards and public accountability. The governing principle remains that the right under Article 30 is a special protection for minorities, not a device for avoiding reasonable regulation; regulation is permissible if it promotes educational excellence without destroying the minority character of the institution. As M.P. Jain and D.D. Basu each affirm, these provisions are not instruments of privilege but safeguards of constitutional pluralism, ensuring that India's remarkable diversity is preserved and celebrated within a unified democratic republic.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Calibri" w:cs="Calibri" w:eastAsia="Calibri" w:hAnsi="Calibri"/>
        <w:b w:val="false"/>
        <w:bCs w:val="false"/>
        <w:i w:val="false"/>
        <w:iCs w:val="false"/>
        <w:color w:val="000000"/>
        <w:sz w:val="28"/>
        <w:szCs w:val="28"/>
      </w:rPr>
      <w:t xml:space="preserve"/>
    </w: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2026-07-01T12:37:39.279Z</dcterms:created>
  <dcterms:modified xsi:type="dcterms:W3CDTF">2026-07-01T12:37:39.279Z</dcterms:modified>
</cp:coreProperties>
</file>

<file path=docProps/custom.xml><?xml version="1.0" encoding="utf-8"?>
<Properties xmlns="http://schemas.openxmlformats.org/officeDocument/2006/custom-properties" xmlns:vt="http://schemas.openxmlformats.org/officeDocument/2006/docPropsVTypes"/>
</file>