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line="240" w:lineRule="auto"/>
        <w:ind w:left="567" w:right="567"/>
        <w:jc w:val="center"/>
      </w:pPr>
      <w:r>
        <w:rPr>
          <w:rFonts w:ascii="Calibri" w:cs="Calibri" w:eastAsia="Calibri" w:hAnsi="Calibri"/>
          <w:b/>
          <w:bCs/>
          <w:i w:val="false"/>
          <w:iCs w:val="false"/>
          <w:color w:val="000000"/>
          <w:sz w:val="28"/>
          <w:szCs w:val="28"/>
        </w:rPr>
        <w:t xml:space="preserve">Module II</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Territory of India, citizenship, and general principles relating to Fundamental Rights (Articles 12 and 13)</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 Union and its territory (Articles 1 to 4)</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Constitution of India establishes the territorial identity and political unity of the Republic through Articles 1 to 4, contained in Part I. These four Articles name the country, describe the territory comprising the Union, empower Parliament to admit or establish new States, provide for the formation and reorganisation of States, and prescribe the legal consequences of such changes. Unlike many federal constitutions, the Indian Constitution confers extensive power on Parliament to reorganise the Union's territory, a deliberate choice made necessary by the fact that India, at independence, consisted of British Indian provinces together with more than five hundred and sixty Princely States, each with its own political and administrative character. Integrating these territories into a single nation required a constitutional mechanism flexible enough to permit adjustment whenever national integration, administrative efficiency, linguistic identity, or economic development required it.</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Dr. B.R. Ambedkar deliberately chose the expression "Union of States" over "Federation of States," explaining to the Constituent Assembly that the Indian federation was not the outcome of an agreement among sovereign States and that, accordingly, no State possesses a constitutional right to secede from the Union. M.P. Jain reads Part I as striking a careful balance between federalism and national unity: the Constitution recognises the existence of States while vesting Parliament with broad authority to alter their boundaries, names, and territory without requiring their consent, and D.D. Basu accordingly describes India as "an indestructible Union of destructible States," capturing the idea that the Union itself is permanent even though its internal territorial organisation may be changed by Parliament through ordinary legislation.</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Historical background</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Understanding Articles 1 to 4 requires some sense of how India's territory has evolved. Before independence, British India consisted of two broad categories of territory: the British Indian provinces, administered directly by the British Government, and the Princely States, ruled by hereditary rulers under British paramountcy, a federal scheme contemplated by the Government of India Act, 1935, that was never fully implemented because the Princely States declined to join it. The Indian Independence Act, 1947, created the Dominions of India and Pakistan from 15 August 1947; with British paramountcy at an end, the Princely States became legally independent and were given the option of acceding to either Dominion, and it fell to Sardar Vallabhbhai Patel, assisted by V.P. Menon, to integrate them into the Indian Union, a task accomplished for the great majority of the more than five hundred and sixty States, including Hyderabad, Junagadh, Kashmir, Travancore, Mysore, and Bhopal, through diplomacy, negotiation, and administrative skill.</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Once integration was substantially complete, attention turned to how the resulting territory should be organised internally. Growing linguistic movements led to demands for States organised along linguistic rather than purely historical or administrative lines, and the States Reorganisation Commission of 1953, headed by Justice Fazl Ali, recommended a comprehensive restructuring that culminated in the States Reorganisation Act, 1956. Parliament has continued to exercise its power to create new States in the decades since, forming Maharashtra and Gujarat in 1960, Haryana in 1966, Himachal Pradesh in 1971, Sikkim in 1975, Mizoram, Arunachal Pradesh, and Goa in 1987, Chhattisgarh, Jharkhand, and Uttarakhand in 2000, and Telangana in 2014, a continuing record that illustrates the Constitution's capacity to adapt its internal map to changing political and administrative needs.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Article 1: name and territory of the Union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1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 India, that is Bharat, shall be a Union of States.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(2) The States and the territories thereof shall be as specified in the First Schedule.</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(3) The territory of India shall comprise— (a) the territories of the States; (b) the Union territories specified in the First Schedule; and (c) such other territories as may be acquired.</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Clause (1) answers two questions at once: what the country is called, and what kind of polity it is. The phrase "India, that is Bharat" was the Constituent Assembly’s compromise between members who preferred the ancient name Bharat and those who preferred the internationally familiar name India, and the choice of "Union of States" rather than "Federation of States" was deliberate, signalling that the Union was not formed by agreement among the States and that no State may secede from it. Clause (2) anchors the list of States and their territories in the First Schedule, which is amended whenever Parliament reorganises the States under Articles 2 or 3. Clause (3) defines the territory of India more broadly than the Union of States itself, since it additionally includes Union Territories administered directly by the Centre and any territory India may lawfully acquire in the future, whether by cession, treaty, or other means recognised by international law.</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expressions “Union of India” and “territory of India” are not synonymous: the Union of India refers to the federal political entity made up of the States, while the territory of India is the wider geographical area under Indian sovereignty, encompassing the States, the Union Territories listed in the First Schedule, such as the Andaman and Nicobar Islands, Lakshadweep, Chandigarh, Dadra and Nagar Haveli and Daman and Diu, the National Capital Territory of Delhi, Puducherry, Jammu and Kashmir, and Ladakh, together with any territory India may acquire hereafter. D.D. Basu accordingly describes the territory of India as the broader of the two expressions, the Union of India being, in effect, one component of it.</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Article 2: admission or establishment of new States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2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Parliament may by law admit into the Union, or establish, new States on such terms and conditions as it thinks fit.</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2 deals chiefly with territory that did not previously form part of India, and gives Parliament two distinct powers: to admit an existing political entity into the Union, as occurred when Sikkim joined in 1975 following the Thirty-sixth Constitutional Amendment, or to establish an entirely new State where none previously existed. Parliament enjoys wide discretion in either case, free to fix whatever terms and conditions it considers appropriate, a flexibility that allows the Union to respond to changing geopolitical circumstances without being bound by a rigid constitutional formula.</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Article 3: formation of new States and alteration of areas, boundaries, or names of existing States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3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Parliament may by law— (a) form a new State by separation of territory from any State or by uniting two or more States or parts of States or by uniting any territory to a part of any State; (b) increase the area of any State; (c) diminish the area of any State; (d) alter the boundaries of any State; (e) alter the name of any State: Provided that no Bill for the purpose shall be introduced in either House of Parliament except on the recommendation of the President and unless, where the proposal contained in the Bill affects the area, boundaries or name of any of the States, the Bill has been referred by the President to the Legislature of that State for expressing its views thereon within such period as may be specified in the reference or within such further period as the President may allow, and the period so specified or allowed has expired.</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Unlike many federations, where constituent units have a decisive say over territorial change, Article 3 confers this power principally on Parliament, allowing it to form a new State, enlarge or diminish an existing State, or alter a State's boundaries or name. The proviso prescribes the procedure: a Bill can be introduced only on the President's recommendation, and if it affects a particular State's area, boundary, or name, the President must refer it to that State's Legislature for its views within a period the President fixes. Crucially, the Legislature's response is advisory rather than binding, so Parliament may proceed, with or without modification, once that period has expired, a feature M.P. Jain regards as reflecting the dynamic, centre-weighted character of Indian federalism.</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Parliament has exercised this power on numerous occasions since 1950, creating Andhra State in 1953, restructuring the country comprehensively through the States Reorganisation Act of 1956, forming Maharashtra and Gujarat in 1960, Nagaland in 1963, Haryana in 1966, Himachal Pradesh as a full State in 1971, Meghalaya, Manipur, and Tripura in 1972, Sikkim by admission in 1975, Goa, Arunachal Pradesh, and Mizoram in 1987, Chhattisgarh, Jharkhand, and Uttarakhand in 2000, and Telangana in 2014, a sequence that demonstrates both the scale and the continuing relevance of the Article 3 power.</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6. Article 4: supplemental, incidental and consequential provisions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4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 Any law referred to in article 2 or article 3 shall contain such provisions for the amendment of the First Schedule and the Fourth Schedule as may be necessary to give effect to the provisions of the law and may also contain such supplemental, incidental and consequential provisions (including provisions as to representation in Parliament and in the Legislature or Legislatures of the State or States affected by such law) as Parliament may deem necessary.</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(2) No such law as aforesaid shall be deemed to be an amendment of this Constitution for the purposes of article 368.</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4 allows a law made under Article 2 or Article 3 to carry whatever consequential amendments to the First Schedule, listing States and territories, and the Fourth Schedule, allocating Rajya Sabha seats, are needed to give it practical effect, along with supplemental provisions on matters such as representation in the Legislatures concerned, the allocation of assets and liabilities, services, and High Courts. Clause (2) is what gives this scheme its flexibility: a law of this kind is expressly deemed not to be a constitutional amendment for the purposes of Article 368, so it can be passed by Parliament's ordinary legislative procedure and a simple majority, sparing territorial reorganisation the rigidity that would otherwise attend any change to the constitutional text.</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Taken together, Articles 1 to 4 yield a coherent set of constitutional principles: India is an indestructible Union of States that are themselves destructible in the sense that Parliament may alter or even abolish them; the consent of an affected State is not constitutionally required, even though its views must be sought; national unity is given precedence over regional considerations; and territorial reorganisation, despite its practical importance, is treated as a legislative rather than a constituent function, falling outside the amendment procedure of Article 368.</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7.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In Re: Berubari Union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1960 SC 845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Under an agreement between India and Pakistan, the Berubari Union and certain enclaves were to be transferred between the two countries, and the President sought the Supreme Court's advisory opinion under Article 143 on the constitutional procedure required to implement that agreement.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Parliament could give effect to a transfer of Indian territory to a foreign State by ordinary legislation under Article 3, or whether a constitutional amendment was required.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advised that Article 3 authorises only the internal reorganisation of India's existing territory and does not extend to ceding Indian territory to a foreign State, so that implementing the agreement required a constitutional amendment under Article 368. The opinion drew a lasting distinction between internal territorial reorganisation under Articles 2 and 3 and the cession of sovereign territory, which only Article 368 can accomplish.</w:t>
      </w:r>
    </w:p>
    <w:p>
      <w:pPr>
        <w:spacing w:after="40" w:before="200" w:line="240" w:lineRule="auto"/>
        <w:ind w:left="567" w:right="567"/>
      </w:pPr>
      <w:r>
        <w:rPr>
          <w:rFonts w:ascii="Calibri" w:cs="Calibri" w:eastAsia="Calibri" w:hAnsi="Calibri"/>
          <w:b/>
          <w:bCs/>
          <w:i w:val="false"/>
          <w:iCs w:val="false"/>
          <w:color w:val="000000"/>
          <w:sz w:val="28"/>
          <w:szCs w:val="28"/>
        </w:rPr>
        <w:t xml:space="preserve">Maganbhai Ishwarbhai Patel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(1969) 3 SCC 400</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Following a boundary dispute with Pakistan, India agreed to refer the demarcation of a section of the border to an international tribunal, and the petitioner challenged the implementation of that agreement without a constitutional amendment.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every agreement affecting India's international boundary requires a constitutional amendment, or whether some such agreements can be implemented by executive or ordinary legislative action.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distinguished the demarcation or clarification of an existing, already-recognised boundary from the cession of territory to a foreign State, holding that no constitutional amendment is necessary for the former, since no transfer of sovereign territory is involved. The decision refined the principle in Berubari by clarifying that not every international boundary settlement engages Article 368.</w:t>
      </w:r>
    </w:p>
    <w:p>
      <w:pPr>
        <w:spacing w:after="40" w:before="200" w:line="240" w:lineRule="auto"/>
        <w:ind w:left="567" w:right="567"/>
      </w:pPr>
      <w:r>
        <w:rPr>
          <w:rFonts w:ascii="Calibri" w:cs="Calibri" w:eastAsia="Calibri" w:hAnsi="Calibri"/>
          <w:b/>
          <w:bCs/>
          <w:i w:val="false"/>
          <w:iCs w:val="false"/>
          <w:color w:val="000000"/>
          <w:sz w:val="28"/>
          <w:szCs w:val="28"/>
        </w:rPr>
        <w:t xml:space="preserve">Babulal Parate v. State of Bombay</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1960 SC 51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validity of legislation reorganising the State of Bombay was challenged on the ground that it had proceeded despite objections raised by the concerned State Legislature.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Parliament is constitutionally bound to accept the views expressed by a State Legislature consulted under the proviso to Article 3.</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opinion of the State Legislature under Article 3 is purely advisory, and that Parliament remains free to proceed with reorganisation regardless of that opinion, provided the Legislature has in fact been given the opportunity to express its views within the period fixed. The decision confirmed the considerable latitude Article 3 gives to Parliament over the wishes of an affected State.</w:t>
      </w:r>
    </w:p>
    <w:p>
      <w:pPr>
        <w:spacing w:after="40" w:before="200" w:line="240" w:lineRule="auto"/>
        <w:ind w:left="567" w:right="567"/>
      </w:pPr>
      <w:r>
        <w:rPr>
          <w:rFonts w:ascii="Calibri" w:cs="Calibri" w:eastAsia="Calibri" w:hAnsi="Calibri"/>
          <w:b/>
          <w:bCs/>
          <w:i w:val="false"/>
          <w:iCs w:val="false"/>
          <w:color w:val="000000"/>
          <w:sz w:val="28"/>
          <w:szCs w:val="28"/>
        </w:rPr>
        <w:t xml:space="preserve">Mangal Singh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1967 SC 944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Provisions of the Punjab Reorganisation Act, enacted to create the State of Haryana out of Punjab, were challenged as exceeding the scope of Parliament's power under Articles 3 and 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Articles 3 and 4 together permit Parliament to make the full range of consequential constitutional and administrative arrangements that a State's reorganisation requires.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the impugned provisions, holding that Articles 3 and 4 confer broad legislative authority to deal with every supplemental and consequential matter arising from the formation of a new State, including representation in the Legislatures and adaptation of laws. The decision underscored the comprehensive character of Parliament's reorganisation power.</w:t>
      </w:r>
    </w:p>
    <w:p>
      <w:pPr>
        <w:spacing w:after="40" w:before="200" w:line="240" w:lineRule="auto"/>
        <w:ind w:left="567" w:right="567"/>
      </w:pPr>
      <w:r>
        <w:rPr>
          <w:rFonts w:ascii="Calibri" w:cs="Calibri" w:eastAsia="Calibri" w:hAnsi="Calibri"/>
          <w:b/>
          <w:bCs/>
          <w:i w:val="false"/>
          <w:iCs w:val="false"/>
          <w:color w:val="000000"/>
          <w:sz w:val="28"/>
          <w:szCs w:val="28"/>
        </w:rPr>
        <w:t xml:space="preserve">In Re: Article 370 of the Constitution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2023 INSC 1058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Presidential orders issued in August 2019, together with the Jammu and Kashmir Reorganisation Act, 2019, abrogated the special status previously accorded to Jammu and Kashmir under Article 370 and reconstituted the former State as two Union Territories, prompting a constitutional challenge before a five-judge Bench.</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Article 370 had acquired a permanent character that survived the dissolution of the State's own Constituent Assembly, and whether Parliament could exercise the State's reorganisation powers while President's Rule was in force.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Constitution Bench held that Article 370 was always a temporary, transitional provision rather than a permanent feature of the constitutional scheme, and upheld the competence of the Union to reorganise the territory in the manner it did, while directing that steps be taken to restore statehood and elected government in due course. The decision reaffirmed the breadth of Parliament's power over territorial organisation while leaving open questions about timing for political resolution.</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8.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Articles 1 to 4 supply the constitutional foundation for the territorial organisation of India. They establish the Republic’s identity as "India, that is Bharat," define the composition of its territory, and give Parliament wide powers to admit new States, reorganise existing ones, and make whatever consequential arrangements such reorganisation requires. The choice of the expression "Union of States" reflects the framers’ intention to create an indestructible Union while leaving the internal map of that Union open to revision as political, linguistic, administrative, and developmental needs change, striking the balance between federalism and national unity that runs through Part I as a whole.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Decisions from In Re: Berubari Union through the 2023 Article 370 reference have consistently read this scheme as giving Parliament very substantial authority over India's internal territorial structure, while preserving Article 368 as the only route by which Indian territory may be ceded to a foreign power. As M.P. Jain observes, the flexibility built into Part I has allowed India to accommodate regional aspirations without compromising national unity, and as D.D. Basu's description of India as an indestructible Union of destructible States captures, it is the territorial configuration of the States, and not the sovereignty or integrity of the Union itself, that remains open to orderly constitutional change.</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II: Citizenship of India</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Citizenship establishes the legal relationship between an individual and the State and determines the rights, duties, and privileges that flow from that relationship. Every sovereign State must identify who belongs to it as a citizen and who is to be treated as a foreign national, and citizenship accordingly forms the legal basis of political membership in a nation. The Constitution of India, in establishing a sovereign, socialist, secular, democratic republic, treats citizenship as foundational to democratic participation, reserving certain rights exclusively for citizens while extending other, more basic protections to every person within Indian territory.</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Unlike constitutions that regulate citizenship comprehensively, the Indian Constitution deals only with citizenship at its own commencement: Articles 5 to 11, in Part II, determine who was to be treated as a citizen on 26 January 1950 and empower Parliament to legislate on citizenship thereafter. M.P. Jain regards these provisions as essentially transitional, framed to address the extraordinary circumstances of Partition, when the displacement of millions of people across the new borders of India and Pakistan made questions of migration, domicile, and nationality acutely important, while D.D. Basu observes that the Constitution deliberately entrusted Parliament with continuing authority over citizenship precisely so that the law could evolve with the country's changing needs. Pursuant to Article 11, Parliament enacted the Citizenship Act, 1955, which has since been amended on several occasions and remains the principal statute governing the acquisition, loss, and regulation of Indian citizenship.</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The meaning of citizenship</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Citizenship is the legal status by which a person becomes a member of a sovereign State, creating a reciprocal relationship in which the citizen owes the State allegiance and the State, in turn, extends constitutional protection and confers specified rights. A citizen enjoys political, civil, and constitutional rights unavailable, in whole or in part, to a foreign national, including the right to vote, to contest elections, and to hold public office. Citizenship should also be distinguished from related but conceptually separate ideas: nationality denotes membership of a nation in international law, domicile refers to the place a person regards as a permanent home, and residence denotes mere physical presence, whether temporary or permanent, none of which is synonymous with the legal status of citizenship under municipal law.</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Citizenship carries particular constitutional weight in India because several important rights and offices are reserved exclusively for citizens. Only a citizen may vote in elections to Parliament or a State Legislature, contest such elections, sit as a Member of Parliament or a State Legislature, or hold constitutional offices such as President, Vice-President, or, subject to the relevant qualifications, Governor. Certain Fundamental Rights, including the protection against discrimination under Article 15, equality of opportunity in public employment under Article 16, the six freedoms guaranteed by Article 19, and the cultural and educational rights under Articles 29 and 30 in their specified contexts, are similarly confined to citizens, whereas rights such as equality before the law under Article 14 and the protection of life and personal liberty under Article 21 extend to every person, citizen and foreigner alike. Citizenship, in this sense, is what makes full democratic participation possible, while also binding individuals to the State, irrespective of caste, religion, language, or region, in a shared constitutional identity.</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Articles 5 to 11: citizenship at the commencement of the Constitution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Part II of the Constitution, comprising Articles 5 to 11, addresses citizenship as it stood when the Constitution commenced, a scheme framed specifically to resolve the questions of belonging thrown up by Partition.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5. Citizenship at the commencement of the Constitution</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At the commencement of this Constitution, every person who has his domicile in the territory of India and— (a) who was born in the territory of India; or (b) either of whose parents was born in the territory of India; or (c) who has been ordinarily resident in the territory of India for not less than five years immediately preceding such commencement, shall be a citizen of India.</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5 made domicile in India, rather than birth or residence alone, the decisive qualifying condition for citizenship at the Constitution's commencement: a person had also to satisfy at least one of birth in India, parental birth in India, or five years of ordinary residence immediately before commencement. Domicile itself requires both actual residence and an intention to make a place one's permanent home, commonly described as the animus manendi, and a person may have several residences but only one domicile at a time; a domicile of origin is acquired at birth, usually following the father, and continues until validly replaced by a domicile of choice, acquired through residence elsewhere coupled with the intention to remain there permanently. By anchoring citizenship in domicile, Article 5 reflected the framers' view that citizenship should signify a settled, permanent political allegiance to India rather than a transient connection.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6. Rights of citizenship of certain persons who have migrated to India from Pakistan</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Notwithstanding anything in article 5, a person who has migrated to the territory of India from the territory now included in Pakistan shall be deemed to be a citizen of India at the commencement of this Constitution if— (a) he or either of his parents or any of his grand-parents was born in India as defined in the Government of India Act, 1935 (as originally enacted); and (b)(i) in the case where such person has so migrated before the nineteenth day of July, 1948, he has been ordinarily resident in the territory of India since the date of his migration, or (ii) in the case where such person has so migrated on or after the nineteenth day of July, 1948, he has been registered as a citizen of India by an officer appointed in that behalf by the Government of the Dominion of India on an application made by him therefor to such officer before the commencement of this Constitution in the form and manner prescribed by that Government: Provided that no person shall be so registered unless he has been resident in the territory of India for at least six months immediately preceding the date of his application.</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6 responded directly to the humanitarian crisis of Partition by extending citizenship to persons who had migrated to India from territory now in Pakistan, dividing them into two groups according to the date of migration. Those who migrated before 19 July 1948 became citizens simply by having remained ordinarily resident in India from the date of migration, provided they or an ancestor had been born in undivided India; those who migrated on or after that date additionally had to register with the prescribed authority, after the introduction of the permit system made registration the operative requirement, and to have resided in India for at least six months before applying. The distinct treatment of these two groups reflects the changing administrative response to migration as the scale and regulation of population movement across the new border evolved.</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7. Rights of citizenship of certain migrants to Pakistan</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Notwithstanding anything in articles 5 and 6, a person who has after the first day of March, 1947, migrated from the territory of India to the territory now included in Pakistan shall not be deemed to be a citizen of India: Provided that nothing in this article shall apply to a person who, after having so migrated to the territory now included in Pakistan, has returned to the territory of India under a permit for resettlement or permanent return issued by or under the authority of any law, and every such person shall for the purposes of clause (b) of article 6 be deemed to have migrated to the territory of India after the nineteenth day of July, 1948.</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7 deals with the converse movement, persons who left India for Pakistan after 1 March 1947, who ordinarily ceased to be Indian citizens by virtue of that migration. The proviso, however, preserves a path back: a person who later returned to India under a permit for resettlement or permanent return is deemed, for the purposes of Article 6(b), to have migrated to India only after 19 July 1948, so that such a person could still qualify for citizenship by satisfying Article 6's registration requirement. Articles 6 and 7 must accordingly be read together as a single scheme governing migration in both directions across the new border.</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8. Rights of citizenship of certain persons of Indian origin residing outside India</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Notwithstanding anything in article 5, any person who or either of whose parents or any of whose grandparents was born in India as defined in the Government of India Act, 1935 (as originally enacted), and who is ordinarily residing in any country outside India as so defined shall be deemed to be a citizen of India if he has been registered as a citizen of India by the diplomatic or consular representative of India in the country where he is for the time being residing on an application made by him therefor to such diplomatic or consular representative, whether before or after the commencement of this Constitution, in the form and manner prescribed by the Government of the Dominion of India or the Government of India.</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8 extends citizenship to persons of Indian origin who, rather than having migrated within the subcontinent, were already living abroad at the relevant time, provided they or a parent or grandparent had been born in undivided India and they registered with an Indian diplomatic or consular representative in their country of residence. This provision reflected the Constitution's recognition of India's continuing relationship with its overseas diaspora even as it drew the initial boundaries of citizenship around domicile and migration within the subcontinent.</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9. Persons voluntarily acquiring citizenship of a foreign State not to be citizens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No person shall be a citizen of India by virtue of article 5, or be deemed to be a citizen of India by virtue of article 6 or article 8, if he has voluntarily acquired the citizenship of any foreign State.</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9 embodies India's rejection of dual citizenship in the constitutional sense: a person who voluntarily takes up the citizenship of another country cannot simultaneously remain an Indian citizen under Articles 5, 6, or 8, the word voluntarily being significant, since citizenship imposed by operation of foreign law without the individual's consent raises different considerations. The detailed legal consequences of foreign citizenship for an existing Indian citizen are worked out in the Citizenship Act, 1955, particularly its provisions on termination.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10. Continuance of the rights of citizenship</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Every person who is or is deemed to be a citizen of India under any of the foregoing provisions of this Part shall, subject to the provisions of any law that may be made by Parliament, continue to be such citizen.</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10 guarantees continuity: once a person becomes a citizen under Articles 5 to 9, that status persists unless and until Parliament, by law, provides otherwise. The Article thus protects existing citizenship from being disturbed by anything short of an Act of Parliament, while still leaving Parliament free to regulate the conditions under which citizenship may later be lost, a power it has since exercised comprehensively through the Citizenship Act, 1955.</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11. Parliament to regulate the right of citizenship by law</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Nothing in the foregoing provisions of this Part shall derogate from the power of Parliament to make any provision with respect to the acquisition and termination of citizenship and all other matters relating to citizenship.</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11 makes clear that Articles 5 to 10 were never meant to be the Constitution's last word on citizenship: Parliament retains full power to legislate on its acquisition, termination, and every other related matter, a power exercised most significantly through the Citizenship Act, 1955. This deliberate delegation allowed the constitutional text to remain stable while citizenship policy itself could evolve through ordinary legislation in response to changing demographic, administrative, and security considerations.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The Citizenship Act, 1955</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Parliament enacted the Citizenship Act, 1955, pursuant to Article 11, to provide a comprehensive statutory framework governing citizenship after the Constitution's commencement, and the Act has since been amended on several occasions, notably in 1986, 1992, 2003, 2005, 2015, and 2019, each amendment reflecting the demographic, administrative, or security concerns of its time.</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Modes of acquisition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Act recognises five principal modes by which Indian citizenship may be acquired. Citizenship by birth, governed by section 3, has been progressively narrowed by successive amendments, so that persons born in India before specified amendment dates enjoyed a wider entitlement than those born afterwards, whose citizenship may now depend on the citizenship or migration status of their parents. Citizenship by descent, under section 4, extends to persons born outside India to Indian citizen parents, subject to conditions including, in specified cases, registration of the birth at an Indian consulate. Citizenship by registration, under section 5, is available to specified categories of persons, including certain persons of Indian origin and the spouses of Indian citizens, upon fulfilling prescribed conditions, while citizenship by naturalisation, under section 6, allows a foreign national to acquire citizenship after satisfying qualifications relating to residence, character, and intention to settle in India. Finally, citizenship by incorporation of territory, under section 7, applies when new territory becomes part of India, the Central Government being empowered to specify who, among the inhabitants of that territory, shall become Indian citizens from the date of incorporation.</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Loss of citizenship</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Citizenship is not an irrevocable status, and the Act recognises three distinct ways in which it may be lost. Renunciation, under section 8, is the voluntary act by which an adult citizen of sound mind formally gives up Indian citizenship through a declaration that takes effect on registration by the Central Government, a renunciation that also extends to the person's minor children, who may later apply to resume citizenship on attaining majority. Termination, under section 9, occurs automatically when a citizen voluntarily acquires the citizenship of another country, giving statutory effect to the principle in Article 9 that India does not recognise dual citizenship. Deprivation, under section 10, is a punitive measure available only against citizenship obtained by registration or naturalisation, and may be invoked where citizenship was procured by fraud or concealment, where the citizen has shown disloyalty to the Constitution, traded or communicated unlawfully with an enemy during war, been sentenced to imprisonment within a specified period after acquiring citizenship, or resided outside India for a specified period without maintaining the requisite connection, subject in every case to notice, an opportunity to be heard, and judicial review.</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Dual citizenship and the Overseas Citizen of India</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India does not recognise dual citizenship in the constitutional sense, unlike countries such as the United States, Canada, and Australia, which permit it subject to their own domestic law: Article 9 of the Constitution and section 9 of the Citizenship Act together ensure that an Indian citizen who voluntarily takes up foreign citizenship ceases to be an Indian citizen, a position D.D. Basu attributes to the Constitution's insistence on a single, exclusive bond of political allegiance, reinforced by concerns of national security and electoral integrity. The Citizenship (Amendment) Act, 2005, introduced the status of Overseas Citizen of India, which, despite its name, is not citizenship in the constitutional sense but a long-term visa and bundle of limited privileges available to eligible persons of Indian origin, including those who were eligible for Indian citizenship in 1950, former Indian citizens, certain of their descendants, and the spouses of Indian citizens or other Overseas Citizens of India. Such cardholders enjoy a multiple-entry lifelong visa, exemption from ordinary registration requirements, and parity with non-resident Indians in specified economic and educational matters, but they cannot vote, contest elections, hold constitutional office, hold an Indian passport, or occupy posts reserved for citizens, confirming that Overseas Citizen of India status falls well short of dual citizenship.</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3157"/>
        <w:gridCol w:w="2368"/>
        <w:gridCol w:w="2367"/>
      </w:tblGrid>
      <w:tr>
        <w:trPr>
          <w:tblHeader/>
        </w:trPr>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Entitlement</w:t>
            </w:r>
          </w:p>
        </w:tc>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Indian citizen</w:t>
            </w:r>
          </w:p>
        </w:tc>
        <w:tc>
          <w:tcPr>
            <w:tcW w:type="dxa" w:w="236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OCI cardholder</w:t>
            </w:r>
          </w:p>
        </w:tc>
      </w:tr>
      <w:tr>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Right to vote</w:t>
            </w:r>
          </w:p>
        </w:tc>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Yes</w:t>
            </w:r>
          </w:p>
        </w:tc>
        <w:tc>
          <w:tcPr>
            <w:tcW w:type="dxa" w:w="236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No</w:t>
            </w:r>
          </w:p>
        </w:tc>
      </w:tr>
      <w:tr>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Right to contest elections</w:t>
            </w:r>
          </w:p>
        </w:tc>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Yes</w:t>
            </w:r>
          </w:p>
        </w:tc>
        <w:tc>
          <w:tcPr>
            <w:tcW w:type="dxa" w:w="236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No</w:t>
            </w:r>
          </w:p>
        </w:tc>
      </w:tr>
      <w:tr>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Eligible for constitutional offices</w:t>
            </w:r>
          </w:p>
        </w:tc>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Yes</w:t>
            </w:r>
          </w:p>
        </w:tc>
        <w:tc>
          <w:tcPr>
            <w:tcW w:type="dxa" w:w="236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No</w:t>
            </w:r>
          </w:p>
        </w:tc>
      </w:tr>
      <w:tr>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Indian passport</w:t>
            </w:r>
          </w:p>
        </w:tc>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Yes</w:t>
            </w:r>
          </w:p>
        </w:tc>
        <w:tc>
          <w:tcPr>
            <w:tcW w:type="dxa" w:w="236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No</w:t>
            </w:r>
          </w:p>
        </w:tc>
      </w:tr>
      <w:tr>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Multiple-entry lifelong visa</w:t>
            </w:r>
          </w:p>
        </w:tc>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Not applicable</w:t>
            </w:r>
          </w:p>
        </w:tc>
        <w:tc>
          <w:tcPr>
            <w:tcW w:type="dxa" w:w="236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Yes</w:t>
            </w:r>
          </w:p>
        </w:tc>
      </w:tr>
      <w:tr>
        <w:tc>
          <w:tcPr>
            <w:tcW w:type="dxa" w:w="315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Exemption from registration for long stays</w:t>
            </w:r>
          </w:p>
        </w:tc>
        <w:tc>
          <w:tcPr>
            <w:tcW w:type="dxa" w:w="236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Not applicable</w:t>
            </w:r>
          </w:p>
        </w:tc>
        <w:tc>
          <w:tcPr>
            <w:tcW w:type="dxa" w:w="2367"/>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Yes</w:t>
            </w:r>
          </w:p>
        </w:tc>
      </w:tr>
    </w:tbl>
    <w:p>
      <w:pPr>
        <w:spacing w:after="120" w:before="0" w:line="240" w:lineRule="auto"/>
      </w:pP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The Citizenship (Amendment) Act, 2019</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Citizenship (Amendment) Act, 2019, amended the Citizenship Act, 1955, to create an accelerated path to Indian citizenship for Hindus, Sikhs, Buddhists, Jains, Parsis, and Christians who migrated from Pakistan, Bangladesh, or Afghanistan, reducing the residence period otherwise required for naturalisation for persons falling within its terms. Its supporters describe it as humanitarian relief for religious minorities facing persecution in neighbouring countries, while its critics contend that the religion-based classification raises questions of equality and secularism; the Act's constitutional validity remains before the Supreme Court, and the subject continues to generate substantial public and constitutional debate, on which both perspectives deserve to be understood on their own terms rather than reduced to a single position.</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State Trading Corporation of India Ltd. v. Commercial Tax Officer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1963 SC 1811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government-owned corporation sought to invoke Fundamental Rights under Part III that are available only to citizens, raising the preliminary question of whether a corporation could itself be regarded as a citizen.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 company incorporated under Indian law qualifies as a citizen for the purposes of the citizen-specific Fundamental Rights in Part III.</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citizenship under the Constitution attaches only to natural persons and not to corporations, however substantially they may be owned or controlled by Indian citizens, so that a corporation cannot claim rights, such as those under Article 19, reserved exclusively for citizens. The decision drew a clear line between constitutional citizenship and corporate legal personality.</w:t>
      </w:r>
    </w:p>
    <w:p>
      <w:pPr>
        <w:spacing w:after="40" w:before="200" w:line="240" w:lineRule="auto"/>
        <w:ind w:left="567" w:right="567"/>
      </w:pPr>
      <w:r>
        <w:rPr>
          <w:rFonts w:ascii="Calibri" w:cs="Calibri" w:eastAsia="Calibri" w:hAnsi="Calibri"/>
          <w:b/>
          <w:bCs/>
          <w:i w:val="false"/>
          <w:iCs w:val="false"/>
          <w:color w:val="000000"/>
          <w:sz w:val="28"/>
          <w:szCs w:val="28"/>
        </w:rPr>
        <w:t xml:space="preserve">Izhar Ahmad Khan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1962 SC 1052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Statutory provisions governing the loss of Indian citizenship by persons who had migrated to Pakistan were challenged as exceeding the legislative competence Article 11 confers on Parliament.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Parliament possesses sufficiently broad authority under Article 11 to legislate on the circumstances in which citizenship, once acquired, may be lost.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upheld the impugned provisions, confirming that Article 11 vests Parliament with extensive legislative competence over citizenship, including its termination, undiminished by the specific provisions of Articles 5 to 10. The decision affirmed the wide scope Parliament enjoys in shaping citizenship policy through ordinary legislation.</w:t>
      </w:r>
    </w:p>
    <w:p>
      <w:pPr>
        <w:spacing w:after="40" w:before="200" w:line="240" w:lineRule="auto"/>
        <w:ind w:left="567" w:right="567"/>
      </w:pPr>
      <w:r>
        <w:rPr>
          <w:rFonts w:ascii="Calibri" w:cs="Calibri" w:eastAsia="Calibri" w:hAnsi="Calibri"/>
          <w:b/>
          <w:bCs/>
          <w:i w:val="false"/>
          <w:iCs w:val="false"/>
          <w:color w:val="000000"/>
          <w:sz w:val="28"/>
          <w:szCs w:val="28"/>
        </w:rPr>
        <w:t xml:space="preserve">Pradeep Jain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(1984) 3 SCC 654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Several States reserved a substantial proportion of medical college seats for candidates domiciled within the State, a practice challenged as discriminatory against equally or better qualified candidates from elsewhere in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residence-based or domicile-based reservation in professional admissions is constitutionally permissible, and whether domicile and mere residence denote the same thing.</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domicile and residence are distinct legal concepts, and that while a limited measure of institutional or residence-based preference may be constitutionally permissible to address genuine local considerations, excessive regional discrimination in admission to professional courses violates the equality guarantee. The judgment remains the leading authority distinguishing domicile from residence in Indian constitutional law.</w:t>
      </w:r>
    </w:p>
    <w:p>
      <w:pPr>
        <w:spacing w:after="40" w:before="200" w:line="240" w:lineRule="auto"/>
        <w:ind w:left="567" w:right="567"/>
      </w:pPr>
      <w:r>
        <w:rPr>
          <w:rFonts w:ascii="Calibri" w:cs="Calibri" w:eastAsia="Calibri" w:hAnsi="Calibri"/>
          <w:b/>
          <w:bCs/>
          <w:i w:val="false"/>
          <w:iCs w:val="false"/>
          <w:color w:val="000000"/>
          <w:sz w:val="28"/>
          <w:szCs w:val="28"/>
        </w:rPr>
        <w:t xml:space="preserve">Louis De Raedt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(1991) 3 SCC 554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Foreign nationals who had lived in India for an extended period challenged orders directing them to leave the country, asserting a right to continue residing in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 foreign national enjoys a Fundamental Right to reside permanently in India, and what protection Article 21 affords to foreigners more generally.</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foreigners are entitled to the protection of Article 21 while they remain in India but possess no Fundamental Right to enter, reside, or settle permanently in the country, leaving the Government free to regulate the entry, continued stay, and expulsion of foreign nationals in accordance with law. The decision sharpened the constitutional distinction between the position of citizens and that of foreign nationals.</w:t>
      </w:r>
    </w:p>
    <w:p>
      <w:pPr>
        <w:spacing w:after="40" w:before="200" w:line="240" w:lineRule="auto"/>
        <w:ind w:left="567" w:right="567"/>
      </w:pPr>
      <w:r>
        <w:rPr>
          <w:rFonts w:ascii="Calibri" w:cs="Calibri" w:eastAsia="Calibri" w:hAnsi="Calibri"/>
          <w:b/>
          <w:bCs/>
          <w:i w:val="false"/>
          <w:iCs w:val="false"/>
          <w:color w:val="000000"/>
          <w:sz w:val="28"/>
          <w:szCs w:val="28"/>
        </w:rPr>
        <w:t xml:space="preserve">Sarbananda Sonowal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(2005) 5 SCC 665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constitutional validity of the Illegal Migrants (Determination by Tribunals) Act, 1983, which prescribed a distinct and more onerous procedure for identifying illegal migrants in Assam than the procedure applicable elsewhere in India, was challenged as ineffective and discriminatory.</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special procedure under the Act effectively addressed illegal migration into Assam, and whether it could be reconciled with the State's constitutional obligations.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declared the Act unconstitutional, holding that it had made the identification and expulsion of illegal migrants in Assam considerably more difficult than under the general law applicable elsewhere in India, and that unchecked illegal migration of this kind amounted to external aggression within the meaning of Article 355, engaging the Union's duty to protect the State. The decision significantly influenced subsequent migration and citizenship policy concerning Assam.</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6.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Citizenship is the legal bond that unites an individual with the State and underlies political participation, the enjoyment of citizen-specific constitutional rights, and the civic obligations that accompany them. Articles 5 to 11 established India's initial citizenship framework against the extraordinary backdrop of Partition, while Article 11 entrusted Parliament with continuing authority to regulate citizenship as conditions changed, an authority exercised comprehensively through the Citizenship Act, 1955, and its successive amendments. The introduction of Overseas Citizen of India status and the enactment of the Citizenship (Amendment) Act, 2019, illustrate how this statutory framework has continued to evolve well beyond the transitional concerns that originally shaped Part II.</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Judicial decisions from State Trading Corporation through Pradeep Jain, Louis De Raedt, and Sarbananda Sonowal have clarified the boundaries between citizenship, domicile, residence, and the more limited rights available to foreign nationals, while consistently affirming Parliament's broad legislative competence under Article 11. As M.P. Jain observes, the constitutional provisions on citizenship were transitional in character but laid a foundation flexible enough to support a statutory regime capable of meeting future needs, while D.D. Basu's emphasis on citizenship as an exclusive bond of allegiance continues to capture why the subject remains central to India's constitutional democracy.</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III: General principles relating to Fundamental Rights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Fundamental Rights are the cornerstone of the Indian Constitution, embodying liberty, equality, dignity, and justice and ensuring that every individual enjoys the basic freedoms necessary for the full development of personality and meaningful democratic participation. Having experienced colonial rule marked by arbitrary executive power, restrictions on civil liberties, preventive detention, and the suppression of political dissent, the framers regarded enforceable rights of this kind as indispensable to a constitutional democracy founded on the rule of law. Part III of the Constitution, Articles 12 to 35, accordingly guarantees Fundamental Rights enforceable through Articles 32 and 226, a feature that distinguishes them sharply from ordinary legal rights and led Dr. Ambedkar to describe Article 32 as the heart and soul of the Constitution.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M.P. Jain regards Fundamental Rights as establishing a constitutional order in which governmental authority remains subject to legal limitation while individual dignity and liberty are protected, and D.D. Basu similarly insists that these rights are constitutional guarantees rather than gifts from the State, forming part of the basis of democratic governance itself. Through successive decisions the Supreme Court has read Part III dynamically, recognising rights such as privacy, livelihood, legal aid, a clean environment, and education as integral to Fundamental Rights even though none of these is named in the constitutional text, transforming Part III, in the process, from a static catalogue into a living instrument responsive to changing social conditions.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The concept of Fundamental Rights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Fundamental Rights are the basic rights and freedoms the Constitution guarantees as essential to the physical, intellectual, moral, and spiritual development of the individual. They are "fundamental" in a specific constitutional sense: they enjoy a superior status within the legal hierarchy, are enforceable directly against the State, and cannot be abridged except as the Constitution itself permits, deriving their authority from the constitutional text rather than from ordinary legislation. D.D. Basu describes them as the minimum rights every individual must possess against the State if their personality is to develop fully, while Dr. Ambedkar regarded them as indispensable safeguards for democracy precisely because constitutional remedies would be meaningless unless the underlying rights were enforceable before independent courts.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Several features mark Fundamental Rights out from ordinary law. They are constitutional guarantees enjoying constitutional supremacy rather than mere statutory protections; they are justiciable, so that their violation entitles an aggrieved person to approach the Supreme Court under Article 32 or a High Court under Article 226; and they operate principally as limitations on State power, restraining what the legislature and the executive may do rather than conferring rights enforceable directly against private individuals, save for the small number of rights, such as those under Articles 17, 23, and 24, that bind private persons as well. None of these rights is absolute: each is subject to the reasonable restrictions the Constitution itself permits, whether in the interests of public order, morality, the security of the State, sovereignty and integrity, friendly relations with foreign States, decency, contempt of court, defamation, or incitement to an offence. The Supreme Court has also interpreted these rights dynamically, recognising privacy, livelihood, legal aid, a clean environment, shelter, and education within their scope, while some rights, such as those under Articles 15, 16, and 19, are available only to citizens and others, such as Articles 14 and 21, extend to every person, citizens and foreign nationals alike, the Supreme Court itself acting as their principal guardian through its powers of judicial review.</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Fundamental Rights serve several overlapping constitutional objectives at once: protecting the inherent dignity and autonomy of the individual, securing the personal freedoms democratic participation requires, establishing substantive rather than merely formal equality, restraining arbitrary governmental power, embedding the principle that government must be conducted according to law, and creating the conditions in which individual personality can fully develop. M.P. Jain accordingly describes Fundamental Rights as the core of constitutional democracy, since they reconcile governmental authority with individual liberty, protect civil liberties and minorities, promote national integration, and anchor the rule of law through judicial review.</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Origin and development of Fundamental Rights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idea of enforceable individual rights evolved gradually, through the same broad historical sequence that produced constitutionalism more generally: the Magna Carta of 1215, recognising for the first time that even a sovereign is subject to law; the Petition of Right of 1628, denying the English Crown the power to tax, imprison, or impose martial law without parliamentary sanction; the Bill of Rights of 1689, securing parliamentary supremacy, free elections, and protection against cruel punishment; the American Bill of Rights of 1791, guaranteeing freedoms of speech and religion, due process, and fair trial; the French Declaration of the Rights of Man and of the Citizen of 1789, proclaiming liberty, equality, fraternity, and popular sovereignty; and, in the twentieth century, the Universal Declaration of Human Rights of 1948, which, though not itself legally binding, has profoundly influenced constitutional interpretation across the world, India included.</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demand for Fundamental Rights within India developed alongside the freedom movement itself, from Annie Besant's Commonwealth of India Bill of 1925, through the Nehru Report of 1928, prepared under Motilal Nehru's chairmanship, which proposed equality before law, freedom of expression, religious liberty, and universal franchise, to the Karachi Resolution of 1931, adopted by the Indian National Congress under Jawaharlal Nehru's leadership, which combined civil liberties with economic justice and thereby anticipated both the Fundamental Rights and the Directive Principles that the Constitution would eventually contain, and the Sapru Committee Report of 1945, which stressed the protection of civil liberties and minority rights. Within the Constituent Assembly itself, the Advisory Committee on Fundamental Rights, chaired by Sardar Vallabhbhai Patel, examined competing proposals and recommended the comprehensive list of enforceable rights that, balanced against considerations of public order, national security, and welfare, ultimately took shape as Part III, alongside the non-justiciable Directive Principles of Part IV.</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Fundamental Rights may be classified, for convenience, into those available only to citizens, including Articles 15, 16, 19, 29(1), and, principally, 30, and those available to all persons, including Articles 14, 20, 21, 21A, 22, 23 to 28 subject to their own terms, and 32 in so far as it enforces rights otherwise available. This distinction reflects the Constitution's attempt to balance the special privileges of political membership against the more universal claims of human dignity that every person, regardless of nationality, is entitled to assert against the Indian State.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Justiciability and the enforcement of Fundamental Rights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What distinguishes Fundamental Rights most sharply from the Directive Principles is justiciability: a Fundamental Right is legally enforceable in court, so that a person whose right has been violated by the State may seek judicial relief, whereas Article 37 expressly declares the Directive Principles non-justiciable. D.D. Basu observes that the real value of a Fundamental Right lies not in its mere declaration but in the existence of an effective judicial remedy for its breach, and M.P. Jain similarly treats enforceability through independent courts as precisely what separates a constitutional right from a political aspiration.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Constitution secures this enforceability through several interlocking provisions: Article 13 declares void any law inconsistent with Fundamental Rights, to the extent of the inconsistency; Article 32 guarantees the right to move the Supreme Court directly for their enforcement, a right Dr. Ambedkar called the very soul of the Constitution and the very heart of it; Article 226 empowers every High Court to issue writs for the same purpose and, more broadly, for any other purpose; Article 141 makes the law the Supreme Court declares binding on every court in India; and Article 142 allows the Supreme Court to pass whatever order is necessary to do complete justice in a matter before it. Judicial review, the power of a constitutional court to test legislative and executive action against the Constitution and strike down what it finds wanting, gives practical effect to all of these provisions and has itself been recognised as forming part of the Basic Structure of the Constitution, a point developed at greater length in Chapter V in connection with Article 13.</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Public Interest Litigation has, since the late 1970s, considerably widened access to these remedies by allowing a public-spirited individual or organisation to approach the Supreme Court or a High Court on behalf of persons unable, through poverty, disability, or social disadvantage, to approach the court themselves, extending constitutional protection to matters such as bonded labour, environmental degradation, prison conditions, child labour, women's rights, access to education, and public health. M.P. Jain regards this innovation as one of the Indian judiciary's most significant contributions to constitutional governance, transforming Article 32 in particular from an individual remedy into an instrument capable of addressing systemic injustice.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The doctrine of waiver</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doctrine of waiver concerns the voluntary relinquishment of a known legal right, and under ordinary law a person may waive rights that exist solely for their own benefit. The distinct constitutional question is whether an individual may similarly waive the protection of a Fundamental Right, and Indian law answers this differently from several other jurisdictions: the Supreme Court has consistently held that Fundamental Rights cannot ordinarily be waived, because they are not purely private entitlements but constitutional guarantees enacted in the public interest to preserve constitutional governance and the rule of law, so that even a voluntary agreement to surrender a Fundamental Right is generally ineffective where giving effect to it would defeat that underlying constitutional policy.</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Several considerations support this position: Fundamental Rights derive their authority from the Constitution rather than from individual consent, so no private agreement can substitute for constitutional limitation; they protect broader constitutional values, including democracy, equality, and the rule of law, and not merely the interest of the individual asserting them; they operate as limitations on governmental power that cannot be dissolved by private bargain; and permitting waiver would risk uneven protection of constitutional guarantees across similarly situated individuals. The position in the United States is more permissive, allowing certain constitutional rights, including some procedural protections in criminal proceedings, to be waived where the waiver is voluntary, informed, and intelligent, though even there not every constitutional guarantee admits of waiver, reflecting a system that places somewhat greater weight on individual autonomy and somewhat less on the public character of constitutional rights than Indian law does.</w:t>
      </w:r>
    </w:p>
    <w:p>
      <w:pPr>
        <w:spacing w:after="60" w:before="0" w:line="240" w:lineRule="auto"/>
      </w:pPr>
    </w:p>
    <w:tbl>
      <w:tblPr>
        <w:tblW w:type="dxa" w:w="7892"/>
        <w:jc w:val="center"/>
        <w:tblBorders>
          <w:top w:val="single" w:color="auto" w:sz="4"/>
          <w:left w:val="single" w:color="auto" w:sz="4"/>
          <w:bottom w:val="single" w:color="auto" w:sz="4"/>
          <w:right w:val="single" w:color="auto" w:sz="4"/>
          <w:insideH w:val="single" w:color="auto" w:sz="4"/>
          <w:insideV w:val="single" w:color="auto" w:sz="4"/>
        </w:tblBorders>
      </w:tblPr>
      <w:tblGrid>
        <w:gridCol w:w="1736"/>
        <w:gridCol w:w="3078"/>
        <w:gridCol w:w="3078"/>
      </w:tblGrid>
      <w:tr>
        <w:trPr>
          <w:tblHeader/>
        </w:trP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Basis</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India</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bCs/>
                <w:i w:val="false"/>
                <w:iCs w:val="false"/>
                <w:color w:val="000000"/>
                <w:sz w:val="24"/>
                <w:szCs w:val="24"/>
              </w:rPr>
              <w:t xml:space="preserve">United States</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General rule</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Fundamental Rights generally cannot be waived</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Certain constitutional rights may be waived under prescribed conditions</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Underlying emphasis</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Public interest and constitutional policy</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Individual autonomy and personal choice</w:t>
            </w:r>
          </w:p>
        </w:tc>
      </w:tr>
      <w:tr>
        <w:tc>
          <w:tcPr>
            <w:tcW w:type="dxa" w:w="1736"/>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Leading context</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Settlements or agreements purporting to surrender a right (e.g. Basheshar Nath)</w:t>
            </w:r>
          </w:p>
        </w:tc>
        <w:tc>
          <w:tcPr>
            <w:tcW w:type="dxa" w:w="3078"/>
            <w:tcBorders>
              <w:top w:val="single" w:color="808080" w:sz="4"/>
              <w:left w:val="single" w:color="808080" w:sz="4"/>
              <w:bottom w:val="single" w:color="808080" w:sz="4"/>
              <w:right w:val="single" w:color="808080" w:sz="4"/>
            </w:tcBorders>
            <w:shd w:fill="FFFFFF" w:val="clear"/>
            <w:tcMar>
              <w:top w:type="dxa" w:w="100"/>
              <w:left w:type="dxa" w:w="120"/>
              <w:bottom w:type="dxa" w:w="100"/>
              <w:right w:type="dxa" w:w="120"/>
            </w:tcMar>
          </w:tcPr>
          <w:p>
            <w:pPr>
              <w:spacing w:after="0" w:before="0" w:line="240" w:lineRule="auto"/>
              <w:jc w:val="left"/>
            </w:pPr>
            <w:r>
              <w:rPr>
                <w:rFonts w:ascii="Calibri" w:cs="Calibri" w:eastAsia="Calibri" w:hAnsi="Calibri"/>
                <w:b w:val="false"/>
                <w:bCs w:val="false"/>
                <w:i w:val="false"/>
                <w:iCs w:val="false"/>
                <w:color w:val="000000"/>
                <w:sz w:val="24"/>
                <w:szCs w:val="24"/>
              </w:rPr>
              <w:t xml:space="preserve">Procedural rights in criminal proceedings, waived voluntarily and knowingly</w:t>
            </w:r>
          </w:p>
        </w:tc>
      </w:tr>
    </w:tbl>
    <w:p>
      <w:pPr>
        <w:spacing w:after="120" w:before="0" w:line="240" w:lineRule="auto"/>
      </w:pP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6.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A.K. Gopalan v. State of Madras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1950 SC 27</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 detained under the Preventive Detention Act, 1950, challenged his detention as violating his rights under Articles 19, 21, and 22.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Articles 19, 21, and 22 should be read together as a connected scheme of protection, and whether the phrase "procedure established by law" in Article 21 imported any requirement that the procedure itself be fair.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A majority of the Court treated each Fundamental Right as operating in a separate, watertight compartment and held that Article 21 required only a procedure validly enacted by law, regardless of its fairness, upholding the detention on that basis. Although the decision was substantially overruled nearly three decades later in Maneka Gandhi v. Union of India, it remains significant as the starting point of Fundamental Rights adjudication in India.</w:t>
      </w:r>
    </w:p>
    <w:p>
      <w:pPr>
        <w:spacing w:after="40" w:before="200" w:line="240" w:lineRule="auto"/>
        <w:ind w:left="567" w:right="567"/>
      </w:pPr>
      <w:r>
        <w:rPr>
          <w:rFonts w:ascii="Calibri" w:cs="Calibri" w:eastAsia="Calibri" w:hAnsi="Calibri"/>
          <w:b/>
          <w:bCs/>
          <w:i w:val="false"/>
          <w:iCs w:val="false"/>
          <w:color w:val="000000"/>
          <w:sz w:val="28"/>
          <w:szCs w:val="28"/>
        </w:rPr>
        <w:t xml:space="preserve">State of West Bengal v. Anwar Ali Sarkar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1952 SC 75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special statute prescribed a markedly different criminal procedure for offences tried under it than the procedure ordinarily applicable under the general criminal law, and its validity was challenged as an arbitrary classification.</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What standard governs whether a legislative classification is consistent with the guarantee of equality under Article 14.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struck down the impugned provision, holding that any classification permitted by Article 14 must rest on an intelligible differentia having a rational nexus with the object the legislation seeks to achieve, and that a classification failing this test is arbitrary and unconstitutional. The decision supplied the test that has governed Article 14 adjudication ever since.</w:t>
      </w:r>
    </w:p>
    <w:p>
      <w:pPr>
        <w:spacing w:after="40" w:before="200" w:line="240" w:lineRule="auto"/>
        <w:ind w:left="567" w:right="567"/>
      </w:pPr>
      <w:r>
        <w:rPr>
          <w:rFonts w:ascii="Calibri" w:cs="Calibri" w:eastAsia="Calibri" w:hAnsi="Calibri"/>
          <w:b/>
          <w:bCs/>
          <w:i w:val="false"/>
          <w:iCs w:val="false"/>
          <w:color w:val="000000"/>
          <w:sz w:val="28"/>
          <w:szCs w:val="28"/>
        </w:rPr>
        <w:t xml:space="preserve">Basheshar Nath v. Commissioner of Income Tax</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1959 SC 149</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 had entered into a settlement with the income tax authorities under a statutory scheme and later sought to challenge that very settlement as inconsistent with Article 14.</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an individual can waive the protection of a Fundamental Right by voluntary agreement, so as to be bound by an arrangement that would otherwise infringe that right.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doctrine of waiver has no application to Fundamental Rights, since these are conferred not for the exclusive benefit of the individual asserting them but in the larger public interest, so the petitioner's prior settlement could not bar his challenge under Article 14. The decision remains the leading authority on the non-waivability of Fundamental Rights in India.</w:t>
      </w:r>
    </w:p>
    <w:p>
      <w:pPr>
        <w:spacing w:after="40" w:before="200" w:line="240" w:lineRule="auto"/>
        <w:ind w:left="567" w:right="567"/>
      </w:pPr>
      <w:r>
        <w:rPr>
          <w:rFonts w:ascii="Calibri" w:cs="Calibri" w:eastAsia="Calibri" w:hAnsi="Calibri"/>
          <w:b/>
          <w:bCs/>
          <w:i w:val="false"/>
          <w:iCs w:val="false"/>
          <w:color w:val="000000"/>
          <w:sz w:val="28"/>
          <w:szCs w:val="28"/>
        </w:rPr>
        <w:t xml:space="preserve">Maneka Gandhi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(1978) 1 SCC 248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petitioner's passport was impounded by the Central Government in the public interest, without her being given any reasons or a hearing before the order took effect.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procedure followed satisfied "procedure established by law" under Article 21, and whether Articles 14, 19, and 21 should be read as a single, interconnected scheme of protection rather than as isolated guarantees.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overruled the narrow approach of A.K. Gopalan, holding that any procedure depriving a person of life or personal liberty must itself be fair, just, and reasonable, and that Articles 14, 19, and 21 are mutually informing rather than mutually exclusive. The decision transformed the interpretation of Article 21 and opened the way for the subsequent recognition of rights such as privacy, livelihood, and a clean environment within its scope.</w:t>
      </w:r>
    </w:p>
    <w:p>
      <w:pPr>
        <w:spacing w:after="40" w:before="200" w:line="240" w:lineRule="auto"/>
        <w:ind w:left="567" w:right="567"/>
      </w:pPr>
      <w:r>
        <w:rPr>
          <w:rFonts w:ascii="Calibri" w:cs="Calibri" w:eastAsia="Calibri" w:hAnsi="Calibri"/>
          <w:b/>
          <w:bCs/>
          <w:i w:val="false"/>
          <w:iCs w:val="false"/>
          <w:color w:val="000000"/>
          <w:sz w:val="28"/>
          <w:szCs w:val="28"/>
        </w:rPr>
        <w:t xml:space="preserve">Justice K.S. Puttaswamy (Retd.)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(2017) 10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constitutional challenge to the Aadhaar biometric identification scheme required the Court first to resolve a preliminary and long-unsettled question: whether the Constitution guarantees a Fundamental Right to privacy at all.</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privacy is protected as a Fundamental Right under Part III, and, if so, from which provisions it derives.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A unanimous nine-judge Bench held that the right to privacy is intrinsic to the right to life and personal liberty under Article 21 and to the other freedoms guaranteed by Part III, expressly overruling earlier decisions that had taken a contrary view. The judgment stands among the most significant modern expansions of Fundamental Rights, comparable in importance to Maneka Gandhi in the way it reshaped the content of Article 21.</w:t>
      </w:r>
    </w:p>
    <w:p>
      <w:pPr>
        <w:spacing w:after="40" w:before="200" w:line="240" w:lineRule="auto"/>
        <w:ind w:left="567" w:right="567"/>
      </w:pPr>
      <w:r>
        <w:rPr>
          <w:rFonts w:ascii="Calibri" w:cs="Calibri" w:eastAsia="Calibri" w:hAnsi="Calibri"/>
          <w:b/>
          <w:bCs/>
          <w:i w:val="false"/>
          <w:iCs w:val="false"/>
          <w:color w:val="000000"/>
          <w:sz w:val="28"/>
          <w:szCs w:val="28"/>
        </w:rPr>
        <w:t xml:space="preserve">Kaushal Kishor v. State of Uttar Pradesh</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(2023) 4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Derogatory public statements made by serving Ministers about victims in two unrelated incidents, one in Uttar Pradesh and one in Kerala, gave rise to writ petitions raising questions about the limits of free speech and the State's responsibility for the conduct of its functionaries.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restrictions on free speech listed in Article 19(2) are exhaustive, whether Articles 19 and 21 can be enforced against persons other than the State, and whether a Minister's statement can be attributed to the Government under the principle of collective responsibility so as to found a constitutional tort.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A Constitution Bench held, by a majority of four to one, that the grounds listed in Article 19(2) are exhaustive and cannot be supplemented by invoking other Fundamental Rights, that Articles 19 and 21 may in appropriate circumstances be enforced horizontally against non-State actors, that a Minister's statement is not automatically attributable to the Government merely because it touches State affairs, and that such a statement becomes actionable as a constitutional tort only where it leads to concrete harm through the acts or omissions of State officers. The decision is among the most significant recent contributions to the general principles governing the scope and enforcement of Fundamental Rights.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7.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Fundamental Rights form the bedrock of India's constitutional democracy, protecting the dignity, liberty, and equality of the individual while simultaneously limiting the exercise of governmental power. By making these rights justiciable through Articles 32 and 226, the Constitution ensures that its guarantees are meaningful and enforceable rather than merely aspirational, and the power of judicial review, developed across decisions from Kesavananda Bharati onward and examined in greater depth in Chapter V, reinforces constitutional supremacy by enabling the judiciary to act as the effective guardian of Part III. The doctrine of non-waiver, established in Basheshar Nath, reflects the public character of these guarantees, underscoring that they exist to preserve the constitutional order as a whole and not merely to benefit the individual asserting them.</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Over time, decisions such as Maneka Gandhi, Justice K.S. Puttaswamy, and, most recently, Kaushal Kishor demonstrate that Part III remains a living charter, continually reinterpreted to meet circumstances the framers could not have anticipated. As M.P. Jain observes, Fundamental Rights remain the most effective constitutional safeguard against arbitrary State action and an indispensable instrument of social transformation, while D.D. Basu's emphasis on their enforceability through independent courts captures why these general principles continue to anchor Indian constitutionalism, balancing individual liberty against collective welfare while keeping governance firmly tethered to constitutional values.</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IV: Article 12 — “State” under the Constitution of India</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Part III guarantees Fundamental Rights against the "State," which means that before any violation of a Fundamental Right can be established, it is first necessary to determine whether the body whose action is challenged falls within the meaning of "State" under Article 12. The definition is foundational precisely because it determines the entities against whom the constitutional remedies under Articles 32 and 226 may ordinarily be invoked. The framers deliberately adopted an inclusive, expansive definition, conscious that modern governance is increasingly conducted not only through traditional government departments but through statutory corporations, public sector undertakings, universities, development authorities, and other bodies performing public functions, and Article 12 ensures that the State cannot escape its constitutional obligations simply by routing governmental functions through such autonomous or semi-autonomous bodies.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M.P. Jain accordingly describes Article 12 as the gateway to Part III, since the enforceability of most Fundamental Rights depends on whether the respondent answers to the constitutional definition of the State, while D.D. Basu observes that the expression "other authorities" was left deliberately undefined so that courts could adapt the concept of the State to changing administrative realities. Acting on this open texture, the Supreme Court has developed what is generally called the instrumentality or agency doctrine, ensuring that bodies under substantial governmental control remain answerable to constitutional norms regardless of the particular legal form in which they happen to be organised.</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Article 12: text, meaning, and purpose</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12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In this Part, unless the context otherwise requires, “the State” includes the Government and Parliament of India and the Government and the Legislature of each of the States and all local or other authorities within the territory of India or under the control of the Government of India.</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Article 12 uses the word "includes" rather than "means," signalling that its definition is inclusive rather than exhaustive: entities not expressly named may still qualify as "State" if they satisfy the principles courts have developed through interpretation. The Article identifies four express categories, the Government and Parliament of India, the Government and Legislature of each State, local authorities, and other authorities, the last of which has proved by far the most significant and the most heavily litigated, since the Constitution nowhere defines it and its scope has been left almost entirely to judicial elaboration. The object of the provision is not to define the State for every conceivable purpose but specifically to identify the entities against which the Fundamental Rights in Part III can be enforced, a purpose the Supreme Court has repeatedly said calls for a liberal rather than a narrow interpretation.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12 serves several distinct constitutional purposes at once: it identifies which authorities must comply with Part III, guards against arbitrary State action, prevents the Government from escaping constitutional accountability by creating autonomous corporations or agencies to perform governmental functions, promotes the rule of law by holding every public authority to constitutional standards of fairness and reasonableness, and enables effective judicial review across the whole range of public bodies a modern administrative State requires. Without this expansive reading, M.P. Jain notes, many governmental functions discharged through corporations or autonomous bodies could otherwise escape constitutional scrutiny altogether.</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Most Fundamental Rights operate only against the State as so defined, but a small number, including Article 17 on untouchability, Article 23 on traffic in human beings and forced labour, and Article 24 on child labour in hazardous employment, bind private individuals as well, so that Article 12 does not exhaust every circumstance in which Part III may be invoked, even though it remains decisive for the great majority of Fundamental Rights claims.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The components of “State” under Article 12</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Government and Parliament of India, the first category, comprises the President, the Prime Minister, the Council of Ministers, and the ministries, departments, and executive agencies of the Union, together with Parliament itself, consisting of the President, the Lok Sabha, and the Rajya Sabha; every executive action of the Union and every law Parliament enacts must conform to Part III, on pain of invalidity under Article 13. The Government and Legislature of each State form the second category, comprising the Governor, the Chief Minister, the Council of Ministers, and State departments on the executive side, and the Legislative Assembly and, where it exists, the Legislative Council on the legislative side, both subject to the same constitutional discipline as their Union counterparts.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Local authorities, the third category, are statutory bodies established for local self-government and entrusted with governmental or civic functions within a defined area, characterised by statutory creation, corporate existence, a defined territorial jurisdiction, the power to raise revenue through taxes, fees, or charges, and responsibility for local public administration; municipal corporations, municipal councils, nagar panchayats, panchayats, district boards, improvement trusts, and port trusts are all examples, and all are unquestionably “State” within the meaning of Article 12.</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Other authorities and the instrumentality doctrine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fourth category, "other authorities," is the most significant because the Constitution leaves it entirely undefined, its content having been built up case by case as the Supreme Court moved from an initial, narrow interpretation, confined to statutory bodies exercising governmental power, through the recognition of statutory corporations as falling within Article 12, to the inclusion of government companies, universities, public sector undertakings, and other autonomous institutions substantially controlled by Government, and finally to the development of the instrumentality or agency doctrine itself, under which courts look to the true, functional nature of a body rather than to the legal form in which it happens to be organised. The doctrine responds to the practical reality that modern government increasingly discharges public functions through corporations, statutory authorities, societies, and public enterprises, and that excluding such bodies from Article 12 merely because of their organisational form would allow constitutional obligations to be circumvented through administrative restructuring.</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To determine whether a particular body is an instrumentality or agency of the State, courts apply a cluster of tests, no single one of which is conclusive on its own: whether the Government owns the body wholly or substantially; whether the Government provides it with substantial financial assistance; whether it performs functions of a public or governmental character, such as education, transport, health, electricity, or housing; whether the Government exercises significant administrative control over its appointments, policy, or management; whether that control is deep and pervasive, extending beyond ordinary regulatory oversight into the institution's actual day-to-day functioning; whether the body enjoys a State-conferred or State-protected monopoly; and whether it performs a public duty closely connected with governmental responsibility. Courts weigh these factors cumulatively, examining the overall relationship between the body and the Government rather than treating any one factor as decisive on its own.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Applying these tests, statutory corporations created by legislation to discharge public functions, such as electricity boards, port trusts, development authorities, and housing boards, are generally treated as State; government companies incorporated under company law may equally qualify if they satisfy the same tests of ownership, financial dependence, administrative control, and the nature of their functions; public universities established by statute are ordinarily included because they perform public educational functions under substantial governmental regulation and funding, their academic autonomy notwithstanding; public sector undertakings engaged in commercial activity may nonetheless be State if they function as governmental instrumentalities, the nature of the function rather than its commercial character being decisive; and societies registered under the Societies Registration Act may or may not be State depending on their source of funding, the degree of governmental control, the nature of their functions, and the extent of administrative supervision, while cooperative societies, being ordinarily voluntary associations, are generally not State unless exceptional governmental control or statutory function justifies a different conclusion. Even where a private body performing a public function falls short of the Article 12 threshold, constitutional courts have, in appropriate cases, exercised writ jurisdiction under Article 226 against it, so that the availability of a writ remedy does not depend exclusively on whether the respondent is formally “State” under Article 12.</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The judiciary and the legislature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judiciary occupies a distinctive position: when exercising properly judicial functions, courts are not generally treated as “State” susceptible to direct challenge under Article 32 in respect of their judicial decisions, which are instead corrected through appeal or review, but when exercising administrative functions, such as recruitment or service matters, the judiciary is subject to the same constitutional limitations as any other public authority, a distinction that preserves judicial independence while still securing administrative accountability. The Legislature is expressly named within Article 12, so that both parliamentary and State legislation must conform to Part III, although the internal proceedings of a Legislature enjoy certain privileges under Articles 105 and 194, themselves subject to judicial review in appropriate circumstances.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University of Madras v. Shantha Bai</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1954 Mad 67</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 challenged action taken by the University of Madras, contending that the University was an “authority” within the meaning of Article 12.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What scope should be given to the expression “other authorities” in Article 12.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Madras High Court applied the principle of ejusdem generis to confine “other authorities” to bodies exercising governmental or sovereign functions comparable to those expressly named in the Article, and on that narrow reading held that the University did not qualify. This restrictive approach did not survive subsequent Supreme Court authority, which decisively rejected so confined a reading of Article 12.</w:t>
      </w:r>
    </w:p>
    <w:p>
      <w:pPr>
        <w:spacing w:after="40" w:before="200" w:line="240" w:lineRule="auto"/>
        <w:ind w:left="567" w:right="567"/>
      </w:pPr>
      <w:r>
        <w:rPr>
          <w:rFonts w:ascii="Calibri" w:cs="Calibri" w:eastAsia="Calibri" w:hAnsi="Calibri"/>
          <w:b/>
          <w:bCs/>
          <w:i w:val="false"/>
          <w:iCs w:val="false"/>
          <w:color w:val="000000"/>
          <w:sz w:val="28"/>
          <w:szCs w:val="28"/>
        </w:rPr>
        <w:t xml:space="preserve">Rajasthan State Electricity Board v. Mohan Lal</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1967 SC 1857</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Employees of the Rajasthan State Electricity Board, a statutory corporation, brought proceedings raising the question whether the Board was “State” within the meaning of Article 12.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 statutory corporation exercising powers conferred by statute falls within the expression “other authorities” in Article 12.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rejected the restrictive ejusdem generis approach taken in University of Madras and held that statutory bodies created by legislation and invested with the power to make rules and regulations having the force of law are “State” for the purposes of Article 12, regardless of whether their functions are sovereign in nature. The decision substantially expanded the reach of Article 12 beyond the traditional organs of government.</w:t>
      </w:r>
    </w:p>
    <w:p>
      <w:pPr>
        <w:spacing w:after="40" w:before="200" w:line="240" w:lineRule="auto"/>
        <w:ind w:left="567" w:right="567"/>
      </w:pPr>
      <w:r>
        <w:rPr>
          <w:rFonts w:ascii="Calibri" w:cs="Calibri" w:eastAsia="Calibri" w:hAnsi="Calibri"/>
          <w:b/>
          <w:bCs/>
          <w:i w:val="false"/>
          <w:iCs w:val="false"/>
          <w:color w:val="000000"/>
          <w:sz w:val="28"/>
          <w:szCs w:val="28"/>
        </w:rPr>
        <w:t xml:space="preserve">Sukhdev Singh v. Bhagatram</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(1975) 1 SCC 421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Employees of statutory corporations, including the Oil and Natural Gas Commission, the Life Insurance Corporation, and the Industrial Finance Corporation, challenged the validity of regulations affecting their service conditions.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such statutory corporations, established to carry out functions of public importance and subject to governmental control, fall within the meaning of “State” under Article 12.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these corporations were instrumentalities of the State, since they were created by statute, performed functions of public importance, and operated under substantial governmental control, with their employees consequently entitled to the protection of Articles 14 and 16 in matters of service. The decision is generally regarded as marking the formal emergence of the instrumentality doctrine in Indian constitutional law.</w:t>
      </w:r>
    </w:p>
    <w:p>
      <w:pPr>
        <w:spacing w:after="40" w:before="200" w:line="240" w:lineRule="auto"/>
        <w:ind w:left="567" w:right="567"/>
      </w:pPr>
      <w:r>
        <w:rPr>
          <w:rFonts w:ascii="Calibri" w:cs="Calibri" w:eastAsia="Calibri" w:hAnsi="Calibri"/>
          <w:b/>
          <w:bCs/>
          <w:i w:val="false"/>
          <w:iCs w:val="false"/>
          <w:color w:val="000000"/>
          <w:sz w:val="28"/>
          <w:szCs w:val="28"/>
        </w:rPr>
        <w:t xml:space="preserve">Ramana Dayaram Shetty v. International Airport Authority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(1979) 3 SCC 489</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International Airport Authority invited tenders for a catering contract but ultimately awarded the contract to a bidder who did not satisfy the eligibility conditions stated in the tender notice.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Authority constituted “State” under Article 12, and if so, whether it was bound to act fairly and consistently with Article 14 even in matters of contract.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Authority was an instrumentality of the State and, as such, could not depart arbitrarily from the conditions it had itself prescribed, since governmental bodies are bound by the requirements of fairness and reasonableness inherent in Article 14 even in their contractual dealings. The decision established that the reach of Article 14 extends to executive and contractual action and is not confined to legislative classification.</w:t>
      </w:r>
    </w:p>
    <w:p>
      <w:pPr>
        <w:spacing w:after="40" w:before="200" w:line="240" w:lineRule="auto"/>
        <w:ind w:left="567" w:right="567"/>
      </w:pPr>
      <w:r>
        <w:rPr>
          <w:rFonts w:ascii="Calibri" w:cs="Calibri" w:eastAsia="Calibri" w:hAnsi="Calibri"/>
          <w:b/>
          <w:bCs/>
          <w:i w:val="false"/>
          <w:iCs w:val="false"/>
          <w:color w:val="000000"/>
          <w:sz w:val="28"/>
          <w:szCs w:val="28"/>
        </w:rPr>
        <w:t xml:space="preserve">Ajay Hasia v. Khalid Mujib Sehravardi</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(1981) 1 SCC 722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Admission practices at a regional engineering college managed by a society registered under the Societies Registration Act were challenged, raising the question whether such a society could itself be “State” under Article 12.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What tests determine whether a body, formally registered as a society rather than a statutory corporation, is nonetheless an instrumentality or agency of the Government.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formulated a comprehensive set of tests, including governmental ownership or control of share capital, the extent of financial assistance, the existence of a State-conferred monopoly, deep and pervasive governmental control, and the transfer of a previously governmental function to the body in question, and on applying them held the society to be “State.” The decision remains the leading authority consolidating the tests used to determine whether a body falls within Article 12.</w:t>
      </w:r>
    </w:p>
    <w:p>
      <w:pPr>
        <w:spacing w:after="40" w:before="200" w:line="240" w:lineRule="auto"/>
        <w:ind w:left="567" w:right="567"/>
      </w:pPr>
      <w:r>
        <w:rPr>
          <w:rFonts w:ascii="Calibri" w:cs="Calibri" w:eastAsia="Calibri" w:hAnsi="Calibri"/>
          <w:b/>
          <w:bCs/>
          <w:i w:val="false"/>
          <w:iCs w:val="false"/>
          <w:color w:val="000000"/>
          <w:sz w:val="28"/>
          <w:szCs w:val="28"/>
        </w:rPr>
        <w:t xml:space="preserve">Pradeep Kumar Biswas v. Indian Institute of Chemical Biology</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(2002) 5 SCC 111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question arose whether the Council of Scientific and Industrial Research, a registered society conducting scientific research, was “State” within the meaning of Article 12.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What degree of governmental control over an ostensibly autonomous body is required before it can be treated as an instrumentality of the State.</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A larger Bench held that the decisive test is whether the control exercised by the Government over the body is so deep and pervasive that it amounts, in substance, to governmental control over its functioning, and, applying that test, held the Council to be “State.” The decision refined and consolidated the instrumentality doctrine first developed in Sukhdev Singh and Ajay Hasia, emphasising substance over form.</w:t>
      </w:r>
    </w:p>
    <w:p>
      <w:pPr>
        <w:spacing w:after="40" w:before="200" w:line="240" w:lineRule="auto"/>
        <w:ind w:left="567" w:right="567"/>
      </w:pPr>
      <w:r>
        <w:rPr>
          <w:rFonts w:ascii="Calibri" w:cs="Calibri" w:eastAsia="Calibri" w:hAnsi="Calibri"/>
          <w:b/>
          <w:bCs/>
          <w:i w:val="false"/>
          <w:iCs w:val="false"/>
          <w:color w:val="000000"/>
          <w:sz w:val="28"/>
          <w:szCs w:val="28"/>
        </w:rPr>
        <w:t xml:space="preserve">Zee Telefilms Ltd.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(2005) 4 SCC 649</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broadcaster challenged action taken by the Board of Control for Cricket in India, contending that the Board, despite its formal status as a private society, performed functions of such public importance that it should be treated as “State” under Article 12.</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performance of an important public function is, by itself, sufficient to bring a body within Article 12, in the absence of deep and pervasive governmental control.</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A majority of the Supreme Court held that the Board, although it performed functions of considerable public importance in regulating cricket in India, was not subject to the kind of deep and pervasive governmental control the instrumentality doctrine requires, and accordingly was not “State” under Article 12, though aggrieved parties might still seek relief under Article 226 in appropriate cases. The decision confirmed that public importance alone, without substantial governmental control, does not satisfy Article 12.</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12 functions as the gateway to the enforcement of Fundamental Rights by identifying the authorities against which Part III may be invoked. Through its inclusive language and the expansive interpretation the judiciary has given it, the provision ensures that constitutional guarantees remain effective notwithstanding the growing complexity of modern governance, the expression "other authorities" in particular having allowed the Supreme Court to extend constitutional accountability well beyond the traditional departments of government to statutory corporations, government companies, universities, and other public sector instrumentalities.</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evolution of the instrumentality doctrine, traced through Rajasthan State Electricity Board, Sukhdev Singh, Ramana Dayaram Shetty, Ajay Hasia, and Pradeep Kumar Biswas, reflects a sustained judicial effort to prevent the State from escaping its constitutional obligations through organisational restructuring, while Zee Telefilms demonstrates that the doctrine is not boundless and that public importance, without deep and pervasive governmental control, does not suffice. As M.P. Jain puts it, Article 12 is the gateway to Part III precisely because the practical value of Fundamental Rights depends on correctly identifying the entities against which they may be enforced, and as D.D. Basu observes, this broad reading of “State” sustains the supremacy of the Constitution by holding every authority that exercises public power answerable to constitutional norms.</w:t>
      </w:r>
    </w:p>
    <w:p>
      <w:pPr>
        <w:spacing w:after="120" w:before="240" w:line="240" w:lineRule="auto"/>
        <w:ind w:left="567" w:right="567"/>
        <w:jc w:val="center"/>
      </w:pPr>
      <w:r>
        <w:rPr>
          <w:rFonts w:ascii="Calibri" w:cs="Calibri" w:eastAsia="Calibri" w:hAnsi="Calibri"/>
          <w:b/>
          <w:bCs/>
          <w:i w:val="false"/>
          <w:iCs w:val="false"/>
          <w:color w:val="000000"/>
          <w:sz w:val="28"/>
          <w:szCs w:val="28"/>
        </w:rPr>
        <w:t xml:space="preserve">Chapter V: Article 13 — laws inconsistent with or in derogation of Fundamental Rights</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1. Introduction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13 embodies the principle of constitutional supremacy and supplies the textual foundation for judicial review in India, ensuring that every law, whether enacted by Parliament or a State Legislature, and every executive action having the force of law, conforms to the Fundamental Rights guaranteed by Part III, and that any law inconsistent with or in derogation of those rights may be declared void by the constitutional courts. The framers incorporated this provision deliberately, to prevent the arbitrary exercise of legislative power and to ensure that Fundamental Rights remained effective safeguards rather than aspirational statements: unlike the British constitutional tradition of parliamentary sovereignty, the Indian scheme rests on constitutional supremacy, under which Parliament's wide legislative powers remain subject to constitutional limitation, Fundamental Rights and the Basic Structure of the Constitution chief among them.</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M.P. Jain describes Article 13 as the cornerstone of judicial review in India, since it empowers constitutional courts to invalidate legislation inconsistent with Fundamental Rights, and D.D. Basu similarly treats it as the provision that establishes the supremacy of the Constitution over ordinary legislation and supplies the legal mechanism through which Fundamental Rights are enforced. Through a sequence of landmark decisions, the Supreme Court has built upon Article 13 to develop the doctrines of eclipse and severability, and, in conjunction with the broader development of constitutional jurisprudence, the Basic Structure doctrine, making Article 13 one of the principal instruments through which constitutional governance and individual liberty are preserved.</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2. Article 13: text and scope</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Article 13 of the Constitution of India provides: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(1) All laws in force in the territory of India immediately before the commencement of this Constitution, in so far as they are inconsistent with the provisions of this Part, shall, to the extent of such inconsistency, be void.</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(2) The State shall not make any law which takes away or abridges the rights conferred by this Part and any law made in contravention of this clause shall, to the extent of the contravention, be void.</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(3) In this article, unless the context otherwise requires— (a) “law” includes any Ordinance, order, bye-law, rule, regulation, notification, custom or usage having in the territory of India the force of law; (b) “laws in force” includes laws passed or made by a Legislature or other competent authority in the territory of India before the commencement of this Constitution and not previously repealed, notwithstanding that any such law or any part thereof may not be then in operation either at all or in particular areas.</w:t>
      </w:r>
    </w:p>
    <w:p>
      <w:pPr>
        <w:spacing w:after="40" w:before="0" w:line="240" w:lineRule="auto"/>
        <w:ind w:left="567" w:right="567"/>
        <w:jc w:val="both"/>
      </w:pPr>
      <w:r>
        <w:rPr>
          <w:rFonts w:ascii="Calibri" w:cs="Calibri" w:eastAsia="Calibri" w:hAnsi="Calibri"/>
          <w:b w:val="false"/>
          <w:bCs w:val="false"/>
          <w:i w:val="false"/>
          <w:iCs w:val="false"/>
          <w:color w:val="000000"/>
          <w:sz w:val="28"/>
          <w:szCs w:val="28"/>
        </w:rPr>
        <w:t xml:space="preserve">(4) Nothing in this article shall apply to any amendment of this Constitution made under article 368.</w:t>
      </w:r>
    </w:p>
    <w:p>
      <w:pPr>
        <w:spacing w:after="80" w:before="260" w:line="240" w:lineRule="auto"/>
        <w:ind w:left="567" w:right="567"/>
      </w:pPr>
      <w:r>
        <w:rPr>
          <w:rFonts w:ascii="Calibri" w:cs="Calibri" w:eastAsia="Calibri" w:hAnsi="Calibri"/>
          <w:b/>
          <w:bCs/>
          <w:i w:val="false"/>
          <w:iCs w:val="false"/>
          <w:color w:val="000000"/>
          <w:sz w:val="28"/>
          <w:szCs w:val="28"/>
        </w:rPr>
        <w:t xml:space="preserve">Explanation</w:t>
      </w:r>
    </w:p>
    <w:p>
      <w:pPr>
        <w:spacing w:after="80" w:before="0" w:line="240" w:lineRule="auto"/>
        <w:ind w:left="567" w:right="567"/>
        <w:jc w:val="both"/>
      </w:pPr>
      <w:r>
        <w:rPr>
          <w:rFonts w:ascii="Calibri" w:cs="Calibri" w:eastAsia="Calibri" w:hAnsi="Calibri"/>
          <w:b w:val="false"/>
          <w:bCs w:val="false"/>
          <w:i w:val="false"/>
          <w:iCs w:val="false"/>
          <w:color w:val="000000"/>
          <w:sz w:val="28"/>
          <w:szCs w:val="28"/>
        </w:rPr>
        <w:t xml:space="preserve">Clauses (1) and (2) perform complementary functions: clause (1) renders void, to the extent of the inconsistency, any pre-Constitution law that conflicts with Part III, while clause (2) prohibits the State from enacting any post-Constitution law that takes away or abridges a Fundamental Right, any such law being void to the same extent. Clause (3) gives the word “law” an inclusive and deliberately wide meaning, extending it to ordinances, orders, bye-laws, rules, regulations, notifications, and even custom or usage having the force of law, so that constitutional scrutiny under Article 13 is not confined to legislation in the formal sense. Clause (4), inserted by the Twenty-fourth Amendment of 1971, excludes constitutional amendments made under Article 368 from the operation of Article 13, a clause whose effect is considerably narrowed, as the discussion below explains, by the Basic Structure doctrine.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13 thus performs two distinct functions: it invalidates pre-Constitution laws to the extent that they conflict with Fundamental Rights, and it forecloses the enactment of new, post-Constitution laws that would have the same effect, together protecting against both the survival of unconstitutional colonial-era law and future legislative encroachment on Part III. The Article applies not only to Acts of Parliament and State Legislatures but to subordinate legislation and the other forms of law recognised in clause (3), and it gives practical effect to judicial review by furnishing constitutional courts with the textual basis on which legislative and executive action inconsistent with Part III can be tested and, where necessary, struck down. Courts ordinarily presume that legislation is constitutional, placing the burden on the party alleging unconstitutionality to establish it, although the Court will not hesitate to invalidate a provision once a violation of Part III is clearly made out, whether the ground is a want of legislative competence, an infringement of Fundamental Rights, inconsistency with some other mandatory constitutional provision, colourable legislation that achieves indirectly what could not be done directly, manifest arbitrariness offending Article 14, or, in the case of a constitutional amendment, damage to the Basic Structure itself.</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Whether a constitutional amendment itself counts as “law” for the purposes of Article 13 proved one of the most contested questions in early Indian constitutional law. Parliament eventually inserted clause (4) through the Twenty-fourth Amendment to put the matter beyond doubt by excluding constitutional amendments from Article 13 altogether, but the Supreme Court's subsequent development of the Basic Structure doctrine ensures that constitutional amendments, although formally outside Article 13, remain subject to judicial review wherever they damage or destroy the Constitution's basic structure, so that clause (4) immunises amendments from Article 13 specifically without rendering them immune from constitutional scrutiny altogether.</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3. Doctrines developed under Article 13</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The doctrine of eclipse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doctrine of eclipse applies principally to pre-Constitution laws inconsistent with Fundamental Rights, and holds that such a law is not rendered void in its entirety but becomes inoperative, or dormant, only to the extent of the inconsistency: the law is, in effect, eclipsed by the Fundamental Right rather than extinguished by it, and the eclipse may lift if the constitutional obstacle is later removed, for instance by a constitutional amendment that eliminates the inconsistency. The doctrine rests on the language of Article 13(1) itself, which speaks of a law becoming void only “to the extent of such inconsistency,” language the Supreme Court has read as indicating partial inoperability rather than outright repeal. It applies principally to pre-Constitution laws that remain unenforceable against citizens, in respect of the inconsistent provisions, without being struck from the statute book altogether and without applying to post-Constitution laws made in direct violation of Article 13(2), which are instead treated as void from their inception; in this way the doctrine preserves legislative continuity and avoids the unnecessary repeal of existing laws while still giving full effect to the supremacy of Fundamental Rights.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The doctrine of severability</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doctrine of severability addresses the converse situation, where only part of a statute is unconstitutional: rather than striking down the entire enactment, a court may allow the valid portion to continue in operation provided it is genuinely separable from the invalid part, a principle the Constitution itself supports through the words "to the extent of such inconsistency" appearing in both clauses (1) and (2) of Article 13. In applying the doctrine, courts ask whether the valid and invalid provisions are in fact separable, whether the Legislature would have enacted the valid portion on its own even without the invalid part, and whether what remains after severance is complete, workable, and capable of independent operation; where these conditions are met, only the unconstitutional portion is struck down, preserving legislative intent, avoiding unnecessary invalidation, and maintaining legal continuity wherever that is consistent with the supremacy of Fundamental Rights.</w:t>
      </w:r>
    </w:p>
    <w:p>
      <w:pPr>
        <w:spacing w:after="60" w:before="160" w:line="240" w:lineRule="auto"/>
        <w:ind w:left="567" w:right="567"/>
        <w:jc w:val="left"/>
      </w:pPr>
      <w:r>
        <w:rPr>
          <w:rFonts w:ascii="Calibri" w:cs="Calibri" w:eastAsia="Calibri" w:hAnsi="Calibri"/>
          <w:b/>
          <w:bCs/>
          <w:i w:val="false"/>
          <w:iCs w:val="false"/>
          <w:color w:val="000000"/>
          <w:sz w:val="28"/>
          <w:szCs w:val="28"/>
        </w:rPr>
        <w:t xml:space="preserve">The Basic Structure doctrine</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The Basic Structure doctrine, evolved in Kesavananda Bharati v. State of Kerala, holds that although Parliament's power to amend the Constitution under Article 368 is wide, it cannot be used to alter, damage, or destroy the Constitution's basic structure. While the Supreme Court has never offered an exhaustive list of what that structure comprises, it has over time recognised the supremacy of the Constitution, a republican and democratic form of government, secularism, federalism, the separation of powers, the rule of law, judicial review, the independence of the judiciary, free and fair elections, the dignity of the individual, the unity and integrity of India, the balance between Fundamental Rights and Directive Principles, and Parliament's own limited amending power as components of it. Although clause (4) of Article 13 excludes constitutional amendments from that Article specifically, the Basic Structure doctrine ensures that such amendments remain subject to judicial review wherever they damage the Constitution's essential features, so that constitutional supremacy is ultimately preserved through the combined operation of Articles 13, 32, 226, and 368 as the Supreme Court has interpreted them, a development M.P. Jain regards as the single most important contribution of the judiciary to Indian constitutional jurisprudence.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4. Landmark and recent case laws</w:t>
      </w:r>
    </w:p>
    <w:p>
      <w:pPr>
        <w:spacing w:after="40" w:before="200" w:line="240" w:lineRule="auto"/>
        <w:ind w:left="567" w:right="567"/>
      </w:pPr>
      <w:r>
        <w:rPr>
          <w:rFonts w:ascii="Calibri" w:cs="Calibri" w:eastAsia="Calibri" w:hAnsi="Calibri"/>
          <w:b/>
          <w:bCs/>
          <w:i w:val="false"/>
          <w:iCs w:val="false"/>
          <w:color w:val="000000"/>
          <w:sz w:val="28"/>
          <w:szCs w:val="28"/>
        </w:rPr>
        <w:t xml:space="preserve">State of Bombay v. F.N. Balsara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1951 SC 318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Bombay Prohibition Act, which restricted the sale and consumption of alcohol, was challenged as inconsistent with several Fundamental Rights, the petitioner contending that the entire statute should fall if any part of it was found unconstitutional.</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an entire statute must be struck down where only some of its provisions are found to be inconsistent with Fundamental Rights.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applied the doctrine of severability, holding that only the specific provisions found to be unconstitutional needed to be struck down, while the remainder of the Act, being separable and capable of independent operation, could continue in force. The decision remains the leading authority establishing the doctrine of severability under Article 13.</w:t>
      </w:r>
    </w:p>
    <w:p>
      <w:pPr>
        <w:spacing w:after="40" w:before="200" w:line="240" w:lineRule="auto"/>
        <w:ind w:left="567" w:right="567"/>
      </w:pPr>
      <w:r>
        <w:rPr>
          <w:rFonts w:ascii="Calibri" w:cs="Calibri" w:eastAsia="Calibri" w:hAnsi="Calibri"/>
          <w:b/>
          <w:bCs/>
          <w:i w:val="false"/>
          <w:iCs w:val="false"/>
          <w:color w:val="000000"/>
          <w:sz w:val="28"/>
          <w:szCs w:val="28"/>
        </w:rPr>
        <w:t xml:space="preserve">Bhikaji Narain Dhakras v. State of Madhya Pradesh</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1955 SC 781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pre-Constitution law that had created a State monopoly over motor transport, valid when enacted, was challenged as inconsistent with the Fundamental Right to carry on trade or business once the Constitution came into force, and the question arose whether a later constitutional amendment removing that inconsistency could revive the law.</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 pre-Constitution law inconsistent with a Fundamental Right is void absolutely and forever, or merely rendered inoperative for so long as the inconsistency persists.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law was not dead but merely eclipsed by the Fundamental Right with which it conflicted, and that it could revive and become fully operative once the constitutional obstacle was removed, as it was, in that case, by a subsequent amendment. The decision is the foundational authority for the doctrine of eclipse.</w:t>
      </w:r>
    </w:p>
    <w:p>
      <w:pPr>
        <w:spacing w:after="40" w:before="200" w:line="240" w:lineRule="auto"/>
        <w:ind w:left="567" w:right="567"/>
      </w:pPr>
      <w:r>
        <w:rPr>
          <w:rFonts w:ascii="Calibri" w:cs="Calibri" w:eastAsia="Calibri" w:hAnsi="Calibri"/>
          <w:b/>
          <w:bCs/>
          <w:i w:val="false"/>
          <w:iCs w:val="false"/>
          <w:color w:val="000000"/>
          <w:sz w:val="28"/>
          <w:szCs w:val="28"/>
        </w:rPr>
        <w:t xml:space="preserve">Deep Chand v. State of Uttar Pradesh</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1959 SC 648</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A post-Constitution transport law, enacted after the Constitution came into force, was challenged as inconsistent with Fundamental Rights, raising the question whether the doctrine of eclipse, developed for pre-Constitution laws, applied equally to it.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doctrine of eclipse can apply to legislation enacted after the Constitution's commencement.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held that the doctrine of eclipse, resting as it does on the specific language of Article 13(1), applies only to pre-Constitution laws, and that a post-Constitution law inconsistent with a Fundamental Right is void from its very inception under Article 13(2), incapable of later revival even if the constitutional obstacle is subsequently removed. The decision sharpened the distinction between the treatment of pre- and post-Constitution legislation under Article 13.</w:t>
      </w:r>
    </w:p>
    <w:p>
      <w:pPr>
        <w:spacing w:after="40" w:before="200" w:line="240" w:lineRule="auto"/>
        <w:ind w:left="567" w:right="567"/>
      </w:pPr>
      <w:r>
        <w:rPr>
          <w:rFonts w:ascii="Calibri" w:cs="Calibri" w:eastAsia="Calibri" w:hAnsi="Calibri"/>
          <w:b/>
          <w:bCs/>
          <w:i w:val="false"/>
          <w:iCs w:val="false"/>
          <w:color w:val="000000"/>
          <w:sz w:val="28"/>
          <w:szCs w:val="28"/>
        </w:rPr>
        <w:t xml:space="preserve">Golak Nath v. State of Punjab</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AIR 1967 SC 1643</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Punjab land reform legislation, placed in the Ninth Schedule, was challenged, and the Court was required to decide a broader question about whether Parliament's amending power under Article 368 could be used to abridge Fundamental Rights in order to give effect to land reform and similar measures.</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a constitutional amendment is “law” within the meaning of Article 13, such that an amendment abridging a Fundamental Right would itself be void.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By a narrow majority, the Supreme Court held that a constitutional amendment is indeed law for the purposes of Article 13 and that Parliament therefore lacked the power to amend the Constitution so as to take away or abridge a Fundamental Right. The decision, which made future land reform and similar legislation considerably harder to insulate from challenge, was soon followed by the Twenty-fourth Constitutional Amendment and ultimately gave way to the different, though related, Basic Structure analysis adopted in Kesavananda Bharati.</w:t>
      </w:r>
    </w:p>
    <w:p>
      <w:pPr>
        <w:spacing w:after="40" w:before="200" w:line="240" w:lineRule="auto"/>
        <w:ind w:left="567" w:right="567"/>
      </w:pPr>
      <w:r>
        <w:rPr>
          <w:rFonts w:ascii="Calibri" w:cs="Calibri" w:eastAsia="Calibri" w:hAnsi="Calibri"/>
          <w:b/>
          <w:bCs/>
          <w:i w:val="false"/>
          <w:iCs w:val="false"/>
          <w:color w:val="000000"/>
          <w:sz w:val="28"/>
          <w:szCs w:val="28"/>
        </w:rPr>
        <w:t xml:space="preserve">Kesavananda Bharati v. State of Kerala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(1973) 4 SCC 225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petitioner's challenge to Kerala land reform legislation required a thirteen-judge Bench, the largest ever convened by the Supreme Court, to settle the validity of several constitutional amendments, including the Twenty-fourth Amendment that had inserted clause (4) into Article 13.</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Parliament's power to amend the Constitution under Article 368 is unlimited, and whether clause (4) of Article 13 validly places constitutional amendments beyond the reach of that Article altogether.</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By a narrow majority, the Court overruled Golak Nath on the scope of the amending power, holding that Parliament may amend any part of the Constitution, including Part III, but evolved the Basic Structure doctrine to hold that it may not damage or destroy the Constitution's basic structure in doing so. While clause (4) of Article 13 was thereby upheld in form, its practical effect was substantially qualified by the new doctrine, since amendments remained reviewable on Basic Structure grounds even though no longer reviewable under Article 13 as such.</w:t>
      </w:r>
    </w:p>
    <w:p>
      <w:pPr>
        <w:spacing w:after="40" w:before="200" w:line="240" w:lineRule="auto"/>
        <w:ind w:left="567" w:right="567"/>
      </w:pPr>
      <w:r>
        <w:rPr>
          <w:rFonts w:ascii="Calibri" w:cs="Calibri" w:eastAsia="Calibri" w:hAnsi="Calibri"/>
          <w:b/>
          <w:bCs/>
          <w:i w:val="false"/>
          <w:iCs w:val="false"/>
          <w:color w:val="000000"/>
          <w:sz w:val="28"/>
          <w:szCs w:val="28"/>
        </w:rPr>
        <w:t xml:space="preserve">Minerva Mills Ltd. v. Union of India</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(1980) 3 SCC 625</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Provisions of the Forty-second Constitutional Amendment that expanded Article 31C to shield a much wider range of legislation from challenge under Articles 14 and 19, and that inserted clauses (4) and (5) into Article 368 to place constitutional amendments beyond judicial review altogether, were challenged.</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Parliament could expand its own amending power without limit, or subordinate Fundamental Rights entirely to Directive Principles by constitutional amendment.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The Supreme Court struck down both the expanded Article 31C and the new clauses of Article 368, holding that a limited amending power, and the harmonious balance between Fundamental Rights and Directive Principles, are themselves part of the Basic Structure. The decision reinforced the principle, first established in Kesavananda Bharati, that the combination of Article 13 and the Basic Structure doctrine together preserve constitutional supremacy against attempts to place constitutional amendments beyond all judicial scrutiny.</w:t>
      </w:r>
    </w:p>
    <w:p>
      <w:pPr>
        <w:spacing w:after="40" w:before="200" w:line="240" w:lineRule="auto"/>
        <w:ind w:left="567" w:right="567"/>
      </w:pPr>
      <w:r>
        <w:rPr>
          <w:rFonts w:ascii="Calibri" w:cs="Calibri" w:eastAsia="Calibri" w:hAnsi="Calibri"/>
          <w:b/>
          <w:bCs/>
          <w:i w:val="false"/>
          <w:iCs w:val="false"/>
          <w:color w:val="000000"/>
          <w:sz w:val="28"/>
          <w:szCs w:val="28"/>
        </w:rPr>
        <w:t xml:space="preserve">I.R. Coelho v. State of Tamil Nadu</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Citation: </w:t>
      </w:r>
      <w:r>
        <w:rPr>
          <w:rFonts w:ascii="Calibri" w:cs="Calibri" w:eastAsia="Calibri" w:hAnsi="Calibri"/>
          <w:b w:val="false"/>
          <w:bCs w:val="false"/>
          <w:i w:val="false"/>
          <w:iCs w:val="false"/>
          <w:color w:val="000000"/>
          <w:sz w:val="28"/>
          <w:szCs w:val="28"/>
        </w:rPr>
        <w:t xml:space="preserve">(2007) 2 SCC 1</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Facts: </w:t>
      </w:r>
      <w:r>
        <w:rPr>
          <w:rFonts w:ascii="Calibri" w:cs="Calibri" w:eastAsia="Calibri" w:hAnsi="Calibri"/>
          <w:b w:val="false"/>
          <w:bCs w:val="false"/>
          <w:i w:val="false"/>
          <w:iCs w:val="false"/>
          <w:color w:val="000000"/>
          <w:sz w:val="28"/>
          <w:szCs w:val="28"/>
        </w:rPr>
        <w:t xml:space="preserve">The Court examined whether laws inserted into the Ninth Schedule, which under Article 31B is ordinarily protected from challenge under Part III, remain open to challenge once the Basic Structure doctrine is brought to bear, particularly in respect of insertions made after the Kesavananda Bharati judgment.</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Issues: </w:t>
      </w:r>
      <w:r>
        <w:rPr>
          <w:rFonts w:ascii="Calibri" w:cs="Calibri" w:eastAsia="Calibri" w:hAnsi="Calibri"/>
          <w:b w:val="false"/>
          <w:bCs w:val="false"/>
          <w:i w:val="false"/>
          <w:iCs w:val="false"/>
          <w:color w:val="000000"/>
          <w:sz w:val="28"/>
          <w:szCs w:val="28"/>
        </w:rPr>
        <w:t xml:space="preserve">Whether the Ninth Schedule's protection from Article 13 review can be reconciled with the principle that constitutional amendments remain subject to Basic Structure scrutiny.</w:t>
      </w:r>
    </w:p>
    <w:p>
      <w:pPr>
        <w:spacing w:after="40" w:before="0" w:line="240" w:lineRule="auto"/>
        <w:ind w:left="567" w:right="567"/>
        <w:jc w:val="both"/>
      </w:pPr>
      <w:r>
        <w:rPr>
          <w:rFonts w:ascii="Calibri" w:cs="Calibri" w:eastAsia="Calibri" w:hAnsi="Calibri"/>
          <w:b/>
          <w:bCs/>
          <w:i w:val="false"/>
          <w:iCs w:val="false"/>
          <w:color w:val="000000"/>
          <w:sz w:val="28"/>
          <w:szCs w:val="28"/>
        </w:rPr>
        <w:t xml:space="preserve">Held: </w:t>
      </w:r>
      <w:r>
        <w:rPr>
          <w:rFonts w:ascii="Calibri" w:cs="Calibri" w:eastAsia="Calibri" w:hAnsi="Calibri"/>
          <w:b w:val="false"/>
          <w:bCs w:val="false"/>
          <w:i w:val="false"/>
          <w:iCs w:val="false"/>
          <w:color w:val="000000"/>
          <w:sz w:val="28"/>
          <w:szCs w:val="28"/>
        </w:rPr>
        <w:t xml:space="preserve">A nine-judge Bench held that laws inserted into the Ninth Schedule after 24 April 1973, the date of the Kesavananda Bharati judgment, remain open to challenge if they violate the basic structure, including the Fundamental Rights that form part of it, since the mere fact of legislative placement in the Schedule cannot exclude judicial review altogether. The decision reaffirmed the continuing vitality of the principles developed under Article 13 even in the face of express constitutional language designed to insulate legislation from challenge.</w:t>
      </w:r>
    </w:p>
    <w:p>
      <w:pPr>
        <w:spacing w:after="80" w:before="200" w:line="240" w:lineRule="auto"/>
        <w:ind w:left="567" w:right="567"/>
        <w:jc w:val="left"/>
      </w:pPr>
      <w:r>
        <w:rPr>
          <w:rFonts w:ascii="Calibri" w:cs="Calibri" w:eastAsia="Calibri" w:hAnsi="Calibri"/>
          <w:b/>
          <w:bCs/>
          <w:i w:val="false"/>
          <w:iCs w:val="false"/>
          <w:color w:val="000000"/>
          <w:sz w:val="28"/>
          <w:szCs w:val="28"/>
        </w:rPr>
        <w:t xml:space="preserve">5. Conclusion</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Article 13 supplies the constitutional foundation of judicial review and remains one of the most effective safeguards for the protection of Fundamental Rights, since declaring inconsistent laws void, to the extent of their inconsistency, affirms the supremacy of the Constitution over ordinary legislation and keeps every legislative and executive authority within constitutional limits. Its distinction between pre-Constitution and post-Constitution laws provides a coherent framework for assessing constitutional validity, and the doctrines the Supreme Court has built upon it, eclipse for pre-Constitution laws inconsistent with Part III, severability for statutes only partly unconstitutional, and, most significantly, the Basic Structure doctrine governing the validity of constitutional amendments themselves, allow courts to preserve valid legislation wherever possible while still protecting the Constitution's essential identity against amendments that would destroy it.</w:t>
      </w:r>
    </w:p>
    <w:p>
      <w:pPr>
        <w:spacing w:after="0" w:before="0" w:line="240" w:lineRule="auto"/>
        <w:ind w:left="567" w:right="567"/>
        <w:jc w:val="both"/>
      </w:pPr>
      <w:r>
        <w:rPr>
          <w:rFonts w:ascii="Calibri" w:cs="Calibri" w:eastAsia="Calibri" w:hAnsi="Calibri"/>
          <w:b w:val="false"/>
          <w:bCs w:val="false"/>
          <w:i w:val="false"/>
          <w:iCs w:val="false"/>
          <w:color w:val="000000"/>
          <w:sz w:val="28"/>
          <w:szCs w:val="28"/>
        </w:rPr>
        <w:t xml:space="preserve">Decisions from Bhikaji Narain Dhakras and State of Bombay v. F.N. Balsara through Golak Nath, Kesavananda Bharati, Minerva Mills, and I.R. Coelho together trace the development of Article 13 from a comparatively narrow textual provision into the principal mechanism by which Indian courts hold both ordinary legislation and constitutional amendments to constitutional account. As M.P. Jain observes, Article 13 is properly described as the cornerstone of judicial review precisely because it makes Fundamental Rights meaningful and enforceable, and as D.D. Basu emphasises, the Article embodies constitutional supremacy by making every law, of whatever kind, answerable to the Constitution. Together with Articles 32, 226, and 368, Article 13 continues to safeguard the rule of law, balance individual liberty against legislative authority, and preserve the democratic and constitutional character of the Republic.</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40" w:lineRule="auto"/>
      <w:jc w:val="center"/>
    </w:pPr>
    <w:r>
      <w:rPr>
        <w:rFonts w:ascii="Calibri" w:cs="Calibri" w:eastAsia="Calibri" w:hAnsi="Calibri"/>
        <w:b w:val="false"/>
        <w:bCs w:val="false"/>
        <w:i w:val="false"/>
        <w:iCs w:val="false"/>
        <w:color w:val="000000"/>
        <w:sz w:val="28"/>
        <w:szCs w:val="28"/>
      </w:rPr>
      <w:t xml:space="preserve"/>
    </w:r>
    <w:r>
      <w:rPr>
        <w:rFonts w:ascii="Calibri" w:cs="Calibri" w:eastAsia="Calibri" w:hAnsi="Calibri"/>
        <w:color w:val="000000"/>
        <w:sz w:val="28"/>
        <w:szCs w:val="2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2026-06-30T20:15:14.878Z</dcterms:created>
  <dcterms:modified xsi:type="dcterms:W3CDTF">2026-06-30T20:15:14.879Z</dcterms:modified>
</cp:coreProperties>
</file>

<file path=docProps/custom.xml><?xml version="1.0" encoding="utf-8"?>
<Properties xmlns="http://schemas.openxmlformats.org/officeDocument/2006/custom-properties" xmlns:vt="http://schemas.openxmlformats.org/officeDocument/2006/docPropsVTypes"/>
</file>