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ind w:left="567" w:right="567"/>
        <w:jc w:val="center"/>
      </w:pPr>
      <w:r>
        <w:rPr>
          <w:rFonts w:ascii="Calibri" w:cs="Calibri" w:eastAsia="Calibri" w:hAnsi="Calibri"/>
          <w:b/>
          <w:bCs/>
          <w:i w:val="false"/>
          <w:iCs w:val="false"/>
          <w:color w:val="000000"/>
          <w:sz w:val="28"/>
          <w:szCs w:val="28"/>
        </w:rPr>
        <w:t xml:space="preserve">Module IX</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 Directive Principles of State Policy (Articles 36 to 51)</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Directive Principles of State Policy, contained in Part IV of the Constitution as Articles 36 to 51, are one of the most distinctive features of Indian constitutional design. They set out the social and economic philosophy of the Constitution and describe the kind of society the State is expected to build, even though no court can compel it to do so directly. The framers were conscious that political democracy on its own would mean little to a citizen who remained poor, illiterate, or excluded from the basic conditions of a dignified life, and the Directive Principles were their answer: a set of goals addressed to every future government, asking it to secure social and economic justice alongside the civil and political liberties guaranteed in Part III.</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immediate model for this part of the Constitution was the Constitution of Ireland, 1937, whose own Directive Principles of Social Policy impressed Sir B.N. Rau, the Constitutional Adviser to the Constituent Assembly, during his comparative study of other constitutions. The framers also drew on older Indian sources, including the Instruments of Instructions that accompanied the Government of India Act, 1935, and the Karachi Resolution of 1931, in which the Indian National Congress had already committed itself to a living wage, universal education, and economic justice. Dr. B.R. Ambedkar explained to the Constituent Assembly that the Constitution sought to establish not merely political democracy but economic democracy as well, and that the Directive Principles supplied the method by which successive governments, of whatever political persuasion, would be steered towards that goal.</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According to M.P. Jain, the Directive Principles amount to a constitutional blueprint for transforming India into a welfare state, while D.D. Basu observes that, although unenforceable in the strict legal sense, they are indispensable to constitutional interpretation and to assessing the validity of legislative and executive action. Over time, the Supreme Court has drawn increasingly on Part IV while interpreting Part III, particularly Article 21, so that principles the framers regarded as merely directory now shape the everyday content of enforceable Fundamental Rights. This chapter examines the meaning, history, and classification of the Directive Principles, considers each of the Articles from 36 to 51 in turn, traces the evolving relationship between Part III and Part IV, and reviews the case law that has shaped that relationship.</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Meaning and constitutional status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37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provisions contained in this Part shall not be enforceable by any court, but the principles therein laid down are nevertheless fundamental in the governance of the country and it shall be the duty of the State to apply these principles in making laws.</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37 performs two functions at once. It removes Part IV from the ordinary reach of judicial enforcement, so that no citizen can obtain a writ compelling the State to implement a particular Directive Principle. At the same time, it insists that the principles are fundamental in the governance of the country and binds every organ of the State, Union and State alike, to apply them while making laws and shaping policy. The result is a hybrid category unknown to most other constitutions: provisions that confer no legal right enforceable in a court of law, yet which carry real constitutional weight and have repeatedly influenced how the judiciary reads the Fundamental Rights with which they coexist.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Directive Principles are best understood as instructions addressed to the legislature and the executive rather than rights conferred on individuals. Unlike Fundamental Rights, which generally impose negative obligations restraining the State from interfering with liberty, the Directive Principles impose positive obligations, calling upon the State to act affirmatively to secure social and economic welfare. They are also dynamic rather than fixed: their open-textured language has allowed Parliament and the courts to adapt them to conditions the framers could not have foreseen, from environmental protection to free legal aid. Far from competing with Fundamental Rights, they are now treated as complementary to them, with Part III securing the liberty within which Part IV's vision of a just society can be realised.</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Classification of the Directive Principles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Although the Constitution itself does not group the Directive Principles into categories, constitutional commentators conventionally classify them along three broad lines, based on the philosophical tradition each provision reflects. The socialist principles, found in Articles 38, 39, 39A, 41, 42, 43, 43A and 47, are directed at economic justice: an adequate livelihood, equal pay for equal work, humane conditions of work, a living wage, and free legal aid all belong to this group, and they reflect the framers' conviction that political freedom is incomplete without a measure of economic security. The Gandhian principles, found in Articles 40, 43, 46, 47 and 48, draw on Mahatma Gandhi's vision of village self-government, cottage industry, and the protection of weaker sections, reflecting a more decentralised and rural conception of development. The liberal-intellectual principles, found in Articles 44, 45, 48A, 49, 50 and 51, reflect modern constitutional and administrative values such as a uniform civil code, the separation of the judiciary from the executive, environmental protection, and respect for international law. The categories overlap at the edges, since several Articles serve more than one purpose, but the classification remains a useful way of organising the range of social, economic, and administrative goals Part IV pursues.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Articles 36 to 51 explained</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36. Definition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In this Part, unless the context otherwise requires, "the State" has the same meaning as in Part III.</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36 simply borrows the definition of “State” already laid down in Article 12 for the purposes of Part III, rather than creating a fresh one. The expression therefore covers the Union and State Governments, Parliament and the State Legislatures, local authorities, and other statutory or governmental authorities within Indian territory or under the control of the Government of India. Keeping the definition identical across Parts III and IV ensures that the same range of bodies that are bound to respect Fundamental Rights are also the bodies expected to implement the Directive Principles, preserving a consistent constitutional vocabulary across the document.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37. Application of the principles contained in this Part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text of Article 37 and its Explanation have already been set out above, since the Article is more conveniently discussed together with the general meaning and constitutional status of the Directive Principles.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38. State to secure a social order for the promotion of welfare of the people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The State shall strive to promote the welfare of the people by securing and protecting as effectively as it may a social order in which justice, social, economic and political, shall inform all the institutions of the national life.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The State shall, in particular, strive to minimise the inequalities in income, and endeavour to eliminate inequalities in status, facilities and opportunities, not only amongst individuals but also amongst groups of people residing in different areas or engaged in different vocations.</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Clause (1), the Article as originally enacted, commits the State to a social order animated by social, economic, and political justice, echoing the language of the Preamble itself. Clause (2), inserted by the Forty-second Amendment of 1976, makes that commitment more concrete by directing the State to actively reduce disparities of income, status, and opportunity, whether between individuals or between entire regions and occupational groups. Article 38 is regarded as the philosophical foundation of the Indian welfare state, since the more specific directives that follow in Articles 39 onward can each be traced back to the general vision of inclusive, distributive justice this Article sets out.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39. Certain principles of policy to be followed by the State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in particular, direct its policy towards securing—</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(a) that the citizens, men and women equally, have the right to an adequate means of livelihood;</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(b) that the ownership and control of the material resources of the community are so distributed as best to subserve the common good;</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(c) that the operation of the economic system does not result in the concentration of wealth and means of production to the common detriment;</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(d) that there is equal pay for equal work for both men and women;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(e) that the health and strength of workers, men and women, and the tender age of children are not abused and that citizens are not forced by economic necessity to enter avocations unsuited to their age or strength;</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(f) that children are given opportunities and facilities to develop in a healthy manner and in conditions of freedom and dignity and that childhood and youth are protected against exploitation and against moral and material abandonment.</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39 is the most wide-ranging of the socialist Directive Principles, addressing livelihood, the distribution of resources, the prevention of monopolies, equal pay, the protection of workers, and the welfare of children, all within a single provision. Clauses (e) and (f) were substituted by the Forty-second Amendment to give them their present, broader form. The Supreme Court has treated clause (d), on equal pay for equal work, as a constitutional goal that informs labour adjudication even though it is not separately enforceable, and clause (b), on distributing material resources for the common good, became the subject of intense litigation in the early decades of the Republic over the scope of permissible land and property reform.</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39A. Equal justice and free legal aid</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secure that the operation of the legal system promotes justice, on a basis of equal opportunity, and shall, in particular, provide free legal aid, by suitable legislation or schemes or in any other way, to ensure that opportunities for securing justice are not denied to any citizen by reason of economic or other disabilities.</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Inserted by the Forty-second Amendment of 1976, Article 39A recognises that formal access to courts means little if a litigant cannot afford a lawyer. It directs the State to ensure that justice is not rationed by wealth, and to provide free legal aid through legislation or administrative schemes wherever economic or other disability would otherwise shut a citizen out of the legal system. The Article led directly to the Legal Services Authorities Act, 1987, which created the National and State Legal Services Authorities and the network of Lok Adalats through which free legal aid and alternative dispute resolution are now delivered across the country.</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40. Organisation of village panchayats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take steps to organise village panchayats and endow them with such powers and authority as may be necessary to enable them to function as units of self-government.</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40 reflects the Gandhian ideal of Gram Swaraj, or village self-rule, and directs the State to build panchayats into genuine units of local self-government rather than leaving them as purely advisory bodies. For more than four decades the Article remained a statement of aspiration, since panchayats functioned, where they functioned at all, under ordinary State legislation that could be amended or ignored. The Seventy-third Constitutional Amendment Act, 1992, finally gave panchayats constitutional status by inserting Part IX, prescribing regular elections, reservation of seats, and defined functions, thereby substantially realising the objective Article 40 had set out decades earlier.</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41. Right to work, to education and to public assistance in certain cases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within the limits of its economic capacity and development, make effective provision for securing the right to work, to education and to public assistance in cases of unemployment, old age, sickness and disablement, and in other cases of undeserved want.</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41 is deliberately qualified by the phrase “within the limits of its economic capacity and development,” recognising that the rights to work, education, and public assistance it describes cannot be guaranteed unconditionally by a developing economy. The Article nonetheless lists the central pillars of a social security system: employment, education, and assistance during unemployment, old age, sickness, or disability. It has supplied the constitutional rationale for a wide range of social security legislation and welfare schemes, and its reference to education was eventually given the force of an enforceable right, for children between six and fourteen years, through the insertion of Article 21A by the Eighty-sixth Amendment.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42. Provision for just and humane conditions of work and maternity relief</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make provision for securing just and humane conditions of work and for maternity relief.</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42 directs the State to ensure that work is carried out under humane conditions and that working women receive maternity relief, recognising both occupational safety and the particular needs of women workers as matters of constitutional concern rather than purely private arrangements between employer and employee. It underlies a substantial body of labour welfare legislation, including statutes governing factory safety, occupational health, and maternity benefits, and remains one of the more frequently invoked Directive Principles in litigation concerning the rights of industrial and unorganised workers.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43. Living wage, etc., for workers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endeavour to secure, by suitable legislation or economic organisation or in any other way, to all workers, agricultural, industrial or otherwise, work, a living wage, conditions of work ensuring a decent standard of life and full enjoyment of leisure and social and cultural opportunities and, in particular, the State shall endeavour to promote cottage industries on an individual or co-operative basis in rural areas.</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43 goes beyond the concept of a bare minimum wage to that of a living wage, one sufficient not merely for subsistence but for a decent standard of life, leisure, and social and cultural participation. The Article applies to agricultural and industrial workers alike, and its closing clause, added after debate in the Constituent Assembly, specifically commits the State to promoting cottage industries in rural areas, reflecting Gandhian concerns about rural employment and self-sufficiency. Statutes such as the Minimum Wages Act, 1948, have been upheld by the Supreme Court as legislative steps towards the living wage Article 43 contemplates.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43A. Participation of workers in management of industries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take steps, by suitable legislation or in any other way, to secure the participation of workers in the management of undertakings, establishments or other organisations engaged in any industry.</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Inserted by the Forty-second Amendment of 1976, Article 43A directs the State to give workers a voice in the management of the industrial undertakings in which they are employed, rather than confining their role to that of wage earners alone. The underlying objective is industrial democracy: harmonising the interests of labour and management by giving workers a genuine stake in decisions that affect their working lives. Although comprehensive central legislation on workers' participation has not followed, the principle has influenced sector-specific schemes and collective bargaining practice in several industries.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43B. Promotion of co-operative societies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endeavour to promote voluntary formation, autonomous functioning, democratic control and professional management of co-operative societies.</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43B, inserted by the Ninety-seventh Amendment of 2011, recognises co-operative societies as a distinct vehicle for economic development, particularly in agriculture, credit, and rural marketing, and directs the State to encourage their voluntary formation while respecting their autonomy. The four qualities the Article highlights, voluntary formation, autonomous functioning, democratic control, and professional management, were intended to address long-standing concerns about excessive governmental control over co-operative institutions, and the accompanying amendment also inserted Part IXB of the Constitution dealing specifically with the incorporation and regulation of co-operative societies.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44. Uniform civil code for the citizens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endeavour to secure for the citizens a uniform civil code throughout the territory of India.</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44 invites the State to work towards a single body of civil law governing matters such as marriage, divorce, succession, and adoption, applicable to all citizens regardless of religion, in place of the various personal laws that currently apply to different religious communities. It remains among the most debated of the Directive Principles, since any move towards a uniform code must be reconciled with the freedom of religion guaranteed under Articles 25 and 26, and successive governments have approached the subject with considerable caution, although the Supreme Court has on several occasions urged the State to give effect to the Article.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45. Provision for early childhood care and education to children below the age of six years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endeavour to provide early childhood care and education for all children until they complete the age of six years.</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45 was substantially rewritten by the Eighty-sixth Amendment of 2002. As originally enacted, it had directed the State to provide free and compulsory education for all children up to the age of fourteen years within ten years of the Constitution's commencement, a target never fully achieved. The Eighty-sixth Amendment converted that obligation, for children between six and fourteen years, into the enforceable Fundamental Right found in the newly inserted Article 21A, leaving Article 45 to address the years before formal schooling begins, by directing the State to provide early childhood care and education for children below six years of age.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46. Promotion of educational and economic interests of Scheduled Castes, Scheduled Tribes and other weaker sections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promote with special care the educational and economic interests of the weaker sections of the people, and, in particular, of the Scheduled Castes and the Scheduled Tribes, and shall protect them from social injustice and all forms of exploitation.</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46 singles out the Scheduled Castes, Scheduled Tribes, and other weaker sections for special State attention, recognising that formal equality is not enough to undo the effects of historical social and economic disadvantage. It directs the State both to promote the educational and economic interests of these groups and to protect them from social injustice and exploitation, and it supplies much of the constitutional rationale for affirmative action measures, including reservation in education and public employment under Articles 15(4) and 16(4), together with a wide range of scholarship and welfare schemes.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47. Duty of the State to raise the level of nutrition and the standard of living and to improve public health</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regard the raising of the level of nutrition and the standard of living of its people and the improvement of public health as among its primary duties and, in particular, the State shall endeavour to bring about prohibition of the consumption except for medicinal purposes of intoxicating drinks and of drugs which are injurious to health.</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47 treats nutrition, the standard of living, and public health as among the primary duties of the State, language stronger than that used in most other Directive Principles. Its specific reference to prohibition reflects Gandhian views on temperance and has supplied the constitutional basis for State prohibition laws, although the Article leaves the State free to choose whether and how to pursue prohibition, and a number of States have adopted such policies while others have not. More broadly, the Article underlies food security legislation, public health programmes, and nutrition schemes implemented since independence.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48. Organisation of agriculture and animal husbandry</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endeavour to organise agriculture and animal husbandry on modern and scientific lines and shall, in particular, take steps for preserving and improving the breeds, and prohibiting the slaughter, of cows and calves and other milch and draught cattle.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48 directs the State to modernise agriculture and animal husbandry, and specifically to take steps for preserving cattle breeds and prohibiting the slaughter of cows, calves, and other milch and draught animals. The cattle-preservation clause has been the subject of considerable litigation, since several States have enacted legislation restricting or prohibiting cow slaughter relying on this Article, and the Supreme Court has had to consider the extent to which such legislation can be reconciled with the freedom of trade and occupation under Article 19(1)(g).</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48A. Protection and improvement of environment and safeguarding of forests and wild life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endeavour to protect and improve the environment and to safeguard the forests and wild life of the country.</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Inserted by the Forty-second Amendment of 1976, Article 48A makes environmental protection an explicit constitutional goal for the first time, directing the State to protect and improve the environment and safeguard forests and wildlife. Although framed as a non-justiciable Directive Principle, it has had an outsized influence on Indian law: the Supreme Court has read it together with Article 21 to hold that the right to life includes the right to a clean and healthy environment, and it underlies central legislation such as the Water (Prevention and Control of Pollution) Act, 1974, the Environment (Protection) Act, 1986, and the Forest (Conservation) Act, 1980.</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49. Protection of monuments and places and objects of national importance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It shall be the obligation of the State to protect every monument or place or object of artistic or historic interest, declared by or under law made by Parliament to be of national importance, from spoliation, disfigurement, destruction, removal, disposal or export, as the case may be.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49 imposes on the State an obligation, expressed in stronger terms than the “endeavour to secure” language used elsewhere in Part IV, to protect monuments, places, and objects of artistic or historic interest that Parliament has declared to be of national importance. It guards specifically against spoliation, disfigurement, destruction, removal, disposal, or export of such heritage, and it underlies legislation such as the Ancient Monuments and Archaeological Sites and Remains Act, 1958, through which sites of historical and cultural significance are formally protected.</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50. Separation of judiciary from executive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take steps to separate the judiciary from the executive in the public services of the State.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50 directs the State to separate the judiciary from the executive within the public services, a reform aimed principally at the subordinate judiciary and at magistrates who, in much of British India, combined judicial and administrative functions in a single office. The objective is to insulate judicial decision-making from executive influence and thereby strengthen both judicial independence and the rule of law. The Code of Criminal Procedure was amended to give substantial effect to this separation, and the Supreme Court has since recognised judicial independence as part of the Basic Structure of the Constitution, a status considerably stronger than that of the Directive Principle from which the reform originated.</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51. Promotion of international peace and security</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The State shall endeavour to—</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(a) promote international peace and security;</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(b) maintain just and honourable relations between nations;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(c) foster respect for international law and treaty obligations in the dealings of organised peoples with one another; and</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(d) encourage settlement of international disputes by arbitration.</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51 directs Indian foreign policy towards peace, just relations between nations, respect for international law and treaty obligations, and the peaceful settlement of disputes through arbitration rather than force. Though directed at the conduct of the State on the international plane rather than at domestic governance, it reflects the same constitutional commitment to a rules-based, cooperative order that runs through the rest of Part IV, and Indian courts have referred to it on occasion while interpreting domestic law in a manner consistent with India's international legal obligations.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Relationship between Fundamental Rights and Directive Principles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relationship between Part III and Part IV has been one of the most closely contested questions in Indian constitutional law, and it has passed through several distinct phases. In the early years of the Republic, the Supreme Court treated Fundamental Rights as plainly superior, since they alone were enforceable in court, an approach evident in State of Madras v. Champakam Dorairajan, where a communal reservation scheme defended by reference to Directive Principles was struck down for conflicting with Article 29(2). Parliament responded with the First Amendment, and a long sequence of amendments and decisions followed as successive governments sought greater room to give legislative effect to Part IV even where this trenched upon Part III.</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By the time of Kesavananda Bharati v. State of Kerala, the Supreme Court had moved towards a more harmonious reading, treating the two Parts as complementary rather than competing: Fundamental Rights secure the values of individual liberty and political democracy, while the Directive Principles pursue social and economic democracy, and neither set of values can be considered absolute at the expense of the other. In Minerva Mills Ltd. v. Union of India, the Court went further, holding that the harmony and balance between Fundamental Rights and Directive Principles is itself part of the Basic Structure of the Constitution, so that Parliament cannot, even through a constitutional amendment, give Part IV an unqualified primacy over Part III. The present position is that the two Parts are read together wherever possible, with the judiciary increasingly drawing on the language of Part IV to give content to the open-ended guarantees of Part III, particularly Article 21.</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736"/>
        <w:gridCol w:w="3078"/>
        <w:gridCol w:w="3078"/>
      </w:tblGrid>
      <w:tr>
        <w:trPr>
          <w:tblHeader/>
        </w:trP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Fundamental Rights (Part III)</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Directive Principles (Part IV)</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Enforceability</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Justiciable; enforceable through Articles 32 and 226</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Non-justiciable under Article 37</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Nature of obligation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Generally negative, restraining State action</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Generally positive, requiring State action</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Object</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Protect individual liberty and political democracy</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Promote social and economic democracy</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Amendability</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May be amended, subject to the Basic Structure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May be amended by ordinary constitutional amendment</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Relationship</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Cannot be subordinated entirely to Part IV</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Used to inform the interpretation of Part III</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Madras v. Champakam Dorairajan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1951 SC 226</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Government of Madras operated a communal General Order under which seats in State medical and engineering colleges were allocated among different castes and communities according to fixed proportions, without regard to merit.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communal reservation scheme, defended on the ground that it gave effect to the Directive Principle of promoting the interests of weaker sections, could override the Fundamental Right against discrimination under Article 29(2).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Order, holding that Directive Principles, however laudable their aims, had to conform to and run subsidiary to Fundamental Rights, and that a non-justiciable directive to the State could not be used to defeat an enforceable Fundamental Right. The decision prompted Parliament to enact the First Constitutional Amendment, which inserted Article 15(4) to permit special provision for socially and educationally backward classes.</w:t>
      </w:r>
    </w:p>
    <w:p>
      <w:pPr>
        <w:spacing w:after="40" w:before="200" w:line="240" w:lineRule="auto"/>
        <w:ind w:left="567" w:right="567"/>
      </w:pPr>
      <w:r>
        <w:rPr>
          <w:rFonts w:ascii="Calibri" w:cs="Calibri" w:eastAsia="Calibri" w:hAnsi="Calibri"/>
          <w:b/>
          <w:bCs/>
          <w:i w:val="false"/>
          <w:iCs w:val="false"/>
          <w:color w:val="000000"/>
          <w:sz w:val="28"/>
          <w:szCs w:val="28"/>
        </w:rPr>
        <w:t xml:space="preserve">Golak Nath v. State of Punjab</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1967 SC 1643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challenged Punjab land reform legislation, placed in the Ninth Schedule, that affected their holdings, raising a broader question about Parliament's power to amend Fundamental Rights in order to give effect to Directive Principles concerning agrarian reform.</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constitutional amendment is “law” within the meaning of Article 13(2), and whether Parliament could use its amending power under Article 368 to abridge or take away Fundamental Rights.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By a narrow majority, the Supreme Court held that a constitutional amendment is law for the purposes of Article 13(2) and that Parliament therefore could not amend Part III so as to take away or abridge Fundamental Rights. The ruling, which made it considerably harder for Parliament to implement land reform and other Directive Principles through ordinary amendment, was itself overruled within a few years, but it prompted the Twenty-fourth Constitutional Amendment and set the stage for the Basic Structure doctrine that followed in Kesavananda Bharati.</w:t>
      </w:r>
    </w:p>
    <w:p>
      <w:pPr>
        <w:spacing w:after="40" w:before="200" w:line="240" w:lineRule="auto"/>
        <w:ind w:left="567" w:right="567"/>
      </w:pPr>
      <w:r>
        <w:rPr>
          <w:rFonts w:ascii="Calibri" w:cs="Calibri" w:eastAsia="Calibri" w:hAnsi="Calibri"/>
          <w:b/>
          <w:bCs/>
          <w:i w:val="false"/>
          <w:iCs w:val="false"/>
          <w:color w:val="000000"/>
          <w:sz w:val="28"/>
          <w:szCs w:val="28"/>
        </w:rPr>
        <w:t xml:space="preserve">Kesavananda Bharati v. State of Kerala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(1973) 4 SCC 225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challenged Kerala land reform legislation, and the Court was called upon to settle the validity of constitutional amendments, including the Twenty-fourth and Twenty-fifth Amendments, that sought to enlarge Parliament's amending power and shield laws giving effect to Directive Principles from challenge under Articles 14, 19 and 31.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Parliament's power to amend the Constitution under Article 368 is unlimited, and how far Parliament may go in subordinating Fundamental Rights to Directive Principles.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narrow majority of a thirteen-judge Bench held that Parliament may amend any part of the Constitution, including Part III, but may not damage or destroy its basic structure. The decision overruled Golak Nath on the scope of the amending power while still imposing an outer limit on it, and it established that Fundamental Rights and Directive Principles must be read harmoniously rather than treated as a hierarchy with one Part dominating the other.</w:t>
      </w:r>
    </w:p>
    <w:p>
      <w:pPr>
        <w:spacing w:after="40" w:before="200" w:line="240" w:lineRule="auto"/>
        <w:ind w:left="567" w:right="567"/>
      </w:pPr>
      <w:r>
        <w:rPr>
          <w:rFonts w:ascii="Calibri" w:cs="Calibri" w:eastAsia="Calibri" w:hAnsi="Calibri"/>
          <w:b/>
          <w:bCs/>
          <w:i w:val="false"/>
          <w:iCs w:val="false"/>
          <w:color w:val="000000"/>
          <w:sz w:val="28"/>
          <w:szCs w:val="28"/>
        </w:rPr>
        <w:t xml:space="preserve">Minerva Mills Ltd.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(1980) 3 SCC 625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challenged sections of the Forty-second Constitutional Amendment, which had amended Article 31C to give overriding effect to laws made to implement any of the Directive Principles, not merely those in clauses (b) and (c) of Article 39 as before, and had also inserted clauses (4) and (5) into Article 368 to place constitutional amendments beyond judicial review.</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could give Directive Principles unconditional primacy over Fundamental Rights, and whether it could exempt its own amending power from judicial review.</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both the expanded Article 31C and the newly inserted clauses of Article 368, holding that a limited amending power and the harmony between Fundamental Rights and Directive Principles are themselves part of the Basic Structure. The judgment remains the leading authority for the proposition that neither Part III nor Part IV may be allowed to swallow the other, and that the Constitution's strength lies precisely in maintaining a balance between the two.</w:t>
      </w:r>
    </w:p>
    <w:p>
      <w:pPr>
        <w:spacing w:after="40" w:before="200" w:line="240" w:lineRule="auto"/>
        <w:ind w:left="567" w:right="567"/>
      </w:pPr>
      <w:r>
        <w:rPr>
          <w:rFonts w:ascii="Calibri" w:cs="Calibri" w:eastAsia="Calibri" w:hAnsi="Calibri"/>
          <w:b/>
          <w:bCs/>
          <w:i w:val="false"/>
          <w:iCs w:val="false"/>
          <w:color w:val="000000"/>
          <w:sz w:val="28"/>
          <w:szCs w:val="28"/>
        </w:rPr>
        <w:t xml:space="preserve">Olga Tellis v. Bombay Municipal Corporation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(1985) 3 SCC 545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Pavement and slum dwellers in Bombay, who earned their livelihood in the city, challenged municipal action to evict them and demolish their dwellings without notice or an opportunity to be heard, arguing that eviction would deprive them of their only means of livelihood.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right to life under Article 21 includes the right to a livelihood, and whether eviction without a fair procedure violated that right.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right to life is wide enough to include the right to livelihood, since a person cannot live without the means of living, drawing support from the Directive Principles in Articles 39(a) and 41 concerning an adequate means of livelihood. While the eviction itself was not set aside, given the unauthorised nature of the occupation, the Court insisted that any future eviction follow a fair procedure, and the decision remains a leading illustration of how Directive Principles have been used to widen the content of Article 21.</w:t>
      </w:r>
    </w:p>
    <w:p>
      <w:pPr>
        <w:spacing w:after="40" w:before="200" w:line="240" w:lineRule="auto"/>
        <w:ind w:left="567" w:right="567"/>
      </w:pPr>
      <w:r>
        <w:rPr>
          <w:rFonts w:ascii="Calibri" w:cs="Calibri" w:eastAsia="Calibri" w:hAnsi="Calibri"/>
          <w:b/>
          <w:bCs/>
          <w:i w:val="false"/>
          <w:iCs w:val="false"/>
          <w:color w:val="000000"/>
          <w:sz w:val="28"/>
          <w:szCs w:val="28"/>
        </w:rPr>
        <w:t xml:space="preserve">Unni Krishnan, J.P. v. State of Andhra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(1993) 1 SCC 645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case concerned the regulation of capitation fees and admission practices in private professional educational institutions, in the course of which the Court had to consider whether a right to education could be read into Part III despite its express placement among the Directive Principles in Articles 41 and 45.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right to education forms part of the right to life under Article 21, and if so, to what extent and for what age group.</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every citizen has a fundamental right to education up to the age of fourteen years, flowing from Article 21 read in the light of the Directive Principle in Article 45, while the right to education beyond that age remained subject to the limits of the State's economic capacity under Article 41. The decision was instrumental in the eventual insertion of Article 21A by the Eighty-sixth Constitutional Amendment, which made elementary education an express and unqualified Fundamental Right.</w:t>
      </w:r>
    </w:p>
    <w:p>
      <w:pPr>
        <w:spacing w:after="40" w:before="200" w:line="240" w:lineRule="auto"/>
        <w:ind w:left="567" w:right="567"/>
      </w:pPr>
      <w:r>
        <w:rPr>
          <w:rFonts w:ascii="Calibri" w:cs="Calibri" w:eastAsia="Calibri" w:hAnsi="Calibri"/>
          <w:b/>
          <w:bCs/>
          <w:i w:val="false"/>
          <w:iCs w:val="false"/>
          <w:color w:val="000000"/>
          <w:sz w:val="28"/>
          <w:szCs w:val="28"/>
        </w:rPr>
        <w:t xml:space="preserve">M.C. Mehta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(1987) 4 SCC 463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Acting on a public interest petition concerning the pollution of the river Ganga, the Supreme Court examined the discharge of untreated effluent into the river by tanneries operating at Jajmau, near Kanpur, and by the municipal sewerage system of the city.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State and local bodies were under a constitutional and statutory obligation to prevent industrial and municipal pollution of a major river, and what remedies a court exercising writ jurisdiction could grant to enforce that obligation.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directed the tanneries to install primary effluent treatment plants within a fixed period, failing which they were to cease operating, and directed the Kanpur Nagar Mahapalika to take comprehensive steps to control municipal pollution of the river. Reading Article 21 together with Article 48A, the Court treated environmental protection as a constitutional obligation of the State rather than a matter of executive discretion, and the case remains the foundational decision in Indian environmental jurisprudence.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Directive Principles of State Policy supply the social and economic vision that Part III, on its own, was never designed to deliver. Articles 36 to 51 range across land and labour, education and health, local government and the environment, cultural heritage and foreign policy, yet they share a common premise: that the State bears a continuing responsibility to build the conditions in which the liberties guaranteed elsewhere in the Constitution can be meaningfully exercised by every citizen. Although Article 37 places them beyond direct judicial enforcement, decisions from Champakam Dorairajan through Kesavananda Bharati, Minerva Mills, Olga Tellis, Unni Krishnan, and the M.C. Mehta line of environmental cases show a steady judicial movement away from treating Part IV as subordinate to Part III and towards reading the two together, so that the content of enforceable rights such as Article 21 is now substantially shaped by principles the framers chose not to make directly justiciable. As M.P. Jain and D.D. Basu have each observed, the Directive Principles remain the constitutional conscience of the welfare state: not a source of individual entitlement before a court, but a continuing measure of the legitimacy of every law the State makes.</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 Fundamental Duties (Article 51A)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original Constitution of 1950 conferred Fundamental Rights and set out Directive Principles, but it imposed no corresponding list of duties on the citizen. That changed in 1976, when the Forty-second Constitutional Amendment Act inserted Part IVA, consisting of a single Article, 51A, listing duties that every citizen of India is expected to observe. A further duty, concerning the education of children, was added by the Eighty-sixth Amendment in 2002, bringing the total to eleven. Fundamental Duties express the constitutional premise that a republic cannot be sustained by rights alone: citizens who enjoy extensive constitutional freedoms are also expected to act with a measure of restraint, responsibility, and commitment towards the institutions, culture, and people that make up the nation.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immediate occasion for Part IVA was the Emergency of 1975 to 1977, during which the Government appointed the Sardar Swaran Singh Committee to consider amendments to the Constitution, including the question of citizens' duties. Although the Committee recommended eight duties, modelled in part on the citizens' duties found in the Constitution of the erstwhile Soviet Union, Parliament eventually adopted ten when it enacted the Forty-second Amendment. Unlike many of the other changes introduced during that period, the chapter on Fundamental Duties survived the political reaction that followed the Emergency and was never repealed, suggesting that, whatever the circumstances of their introduction, the duties themselves attracted broad and lasting acceptance.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According to M.P. Jain, the Fundamental Duties emphasise that citizenship involves active participation in preserving national unity and constitutional values, and not merely the passive enjoyment of guaranteed freedoms. D.D. Basu similarly regards them as intended to cultivate civic consciousness consistent with the ideals proclaimed in the Preamble. Although Article 51A is not directly enforceable by a court in the way that Part III is, the Supreme Court has increasingly relied on it while interpreting Fundamental Rights, environmental legislation, and questions of public order, so that, like the Directive Principles, the Fundamental Duties exert an influence on constitutional adjudication considerably greater than their unenforceable character might initially suggest. This chapter considers the meaning and nature of Fundamental Duties, the circumstances of their introduction, the text of Article 51A clause by clause, and the case law in which the judiciary has given them practical effect.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Meaning and nature of Fundamental Duties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Fundamental Duties are the basic civic and moral obligations that the Constitution expects every citizen to observe in order to preserve the sovereignty, unity, integrity, and democratic character of India. Where Fundamental Rights protect the individual against the State, Fundamental Duties run in the opposite direction, asking the individual to contribute positively to the nation and to the constitutional order from which those very rights derive. Several features mark them out from ordinary legal obligations. They derive directly from the Constitution rather than from any ordinary statute, yet they bind only citizens of India and not foreign nationals resident in the country. They are, like the Directive Principles, generally non-justiciable, so that no citizen can be hauled before a court simply for failing to perform one of them, although Parliament remains free to give particular duties legal teeth through ordinary legislation. And they are best understood as moral and civic in character, intended to cultivate responsible citizenship rather than to create a parallel system of criminal or civil liability.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Several existing statutes already draw on the duties enumerated in Article 51A even though the Article itself creates no offence. The Prevention of Insults to National Honour Act, 1971, the Wild Life (Protection) Act, 1972, the Forest (Conservation) Act, 1980, and the Prevention of Damage to Public Property Act, 1984, each give legislative effect to one or more of the duties, illustrating how a constitutional provision that confers no direct right of action can nonetheless shape the content of ordinary law. Fundamental Duties are also treated as complementary to both Fundamental Rights and Directive Principles: the three together, addressed respectively to the citizen, restraining the State, and guiding the State, are increasingly read as a single, interlocking constitutional scheme rather than as three unrelated chapters.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Insertion of Part IVA: the Forty-second and Eighty-sixth Amendments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Sardar Swaran Singh Committee, appointed in 1976 to examine possible constitutional changes, recommended that a chapter on citizens' duties be added to the Constitution, drawing inspiration in part from comparable provisions in the constitutions of socialist States. Although the Committee itself proposed only eight duties, Parliament settled on ten when it enacted the Forty-second Constitutional Amendment Act, 1976, often described as a mini-Constitution because of the breadth of changes it made across many parts of the document. The Amendment inserted Part IVA, containing the single Article 51A, and for the first time gave constitutional voice to the idea that citizenship in India carries responsibilities as well as freedoms.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list remained unchanged for over two decades until the Eighty-sixth Constitutional Amendment Act, 2002, which is chiefly remembered for inserting Article 21A, making free and compulsory education a Fundamental Right for children between six and fourteen years. The same Amendment added a corresponding duty, now found in clause (k) of Article 51A, requiring every parent or guardian to provide their child or ward with the opportunity to receive that education. The pairing of Article 21A with Article 51A(k) is often cited as the clearest illustration in the Constitution of how a Fundamental Right and a Fundamental Duty can be drafted to reinforce one another: the State is bound to provide free education, and the family is expected to ensure the child actually receives it.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Article 51A: the eleven Fundamental Duties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51A of the Constitution of India provides that it shall be the duty of every citizen of India—</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(a) to abide by the Constitution and respect its ideals and institutions, the National Flag and the National Anthem;</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(b) to cherish and follow the noble ideals which inspired our national struggle for freedom;</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(c) to uphold and protect the sovereignty, unity and integrity of India;</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(d) to defend the country and render national service when called upon to do so;</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(e) to promote harmony and the spirit of common brotherhood amongst all the people of India transcending religious, linguistic and regional or sectional diversities; to renounce practices derogatory to the dignity of women;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(f) to value and preserve the rich heritage of our composite culture;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(g) to protect and improve the natural environment including forests, lakes, rivers and wild life, and to have compassion for living creatures;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(h) to develop the scientific temper, humanism and the spirit of inquiry and reform;</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(i) to safeguard public property and to abjure violence;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(j) to strive towards excellence in all spheres of individual and collective activity so that the nation constantly rises to higher levels of endeavour and achievement;</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(k) who is a parent or guardian, to provide opportunities for education to his child or, as the case may be, ward between the age of six and fourteen years.</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51A's eleven clauses move from the most general duties of constitutional loyalty in clause (a) to highly specific obligations such as the duty of parents in clause (k). Clauses (a) to (d), inserted in 1976, address loyalty to the Constitution, the freedom struggle, national unity, and national defence. Clauses (e) and (f) speak to social harmony, the dignity of women, and cultural heritage; clauses (g) to (j) address the environment, scientific temper, public property, and excellence; and clause (k), added in 2002, is the only duty directed at a defined class of citizens, namely parents and guardians, rather than at citizens generally. Although none of the eleven duties can be enforced by a court against an individual citizen, Parliament has used several of them as the constitutional basis for ordinary legislation, and the judiciary has drawn on their language when interpreting the scope of Fundamental Rights and the reasonableness of restrictions placed upon them.</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Each duty considered in turn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Respect for the Constitution and national symbols, and the freedom struggle (clauses (a) and (b))</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Clause (a) requires every citizen to abide by the Constitution and to respect its ideals, its institutions, the National Flag, and the National Anthem, while clause (b) asks citizens to cherish the ideals of liberty, equality, justice, and sacrifice that animated the struggle for independence. Together they root the remaining, more specific duties in a general commitment to constitutional fidelity and to the values for which the freedom movement was fought, and the Supreme Court has had occasion to consider both clauses directly in disputes concerning the manner in which respect for the National Flag and Anthem may be shown.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Sovereignty, unity, integrity and national defence (clauses (c) and (d))</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Clauses (c) and (d) ask citizens to uphold the sovereignty, unity, and territorial integrity of India and to be prepared to defend the country and render national service when the law calls upon them to do so. These duties are framed in general terms rather than as a standing obligation of military service, leaving Parliament free to define, through ordinary legislation, the circumstances in which national service may actually be required.</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Harmony, the dignity of women, and composite culture (clauses (e) and (f))</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Clause (e) combines two distinct ideas in a single clause: promoting harmony and a spirit of common brotherhood across India's many religious, linguistic, and regional communities, and renouncing practices derogatory to the dignity of women. Clause (f) asks citizens to value and preserve the country's composite cultural heritage, its languages, art, monuments, and traditions. Both clauses have been invoked in judicial discussion of constitutional morality and of measures intended to protect women from discriminatory customs and practices.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Environment and compassion for living creatures (clause (g))</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Clause (g) requires citizens to protect and improve the natural environment, including forests, lakes, rivers, and wildlife, and to show compassion for living creatures. Read together with the Directive Principle in Article 48A and with Article 21, this clause has become one of the most frequently cited provisions of Article 51A, supplying part of the constitutional foundation for the environmental jurisprudence developed in cases such as M.C. Mehta v. Union of India and Rural Litigation and Entitlement Kendra v. State of Uttar Pradesh.</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Scientific temper, humanism, and the spirit of inquiry (clause (h))</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Clause (h) calls upon citizens to develop a scientific temper, humanism, and a spirit of inquiry and reform, encouraging rational and evidence-based thinking over superstition and asking citizens to remain open to questioning and improving social practices and institutions in line with constitutional values. The duty has occasionally been invoked in debates over school curricula and public education policy.</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Public property and the renunciation of violence (clause (i))</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Clause (i) asks citizens to safeguard public property, understood broadly to include government buildings, schools, hospitals, transport infrastructure, and other assets belonging collectively to the people, and to abjure violence, particularly during protest and political agitation. The Prevention of Damage to Public Property Act, 1984, gives this duty practical effect by penalising the destruction of public assets.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Striving for excellence (clause (j))</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Clause (j) asks every citizen to strive for excellence in individual and collective activity, whatever their field of endeavour, so that the nation as a whole continues to rise to higher levels of achievement. It is framed as an aspiration rather than a measurable standard, and is generally read together with the other duties as part of the overall ethic of responsible citizenship the Article seeks to encourage.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The duty of parents and guardians regarding education (clause (k))</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Clause (k), the only duty added after 1976, requires a parent or guardian to provide their child or ward, between the ages of six and fourteen years, with the opportunity to receive an education. It was inserted by the same Eighty-sixth Amendment that created the Fundamental Right to education under Article 21A, and the two provisions are designed to work together: the State bears the primary obligation to provide free and compulsory education, while parents and guardians bear a complementary duty to ensure that the opportunity is actually used.</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AIIMS Students' Union v. AIIMS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(2002) 1 SCC 428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All India Institute of Medical Sciences reserved a third of its postgraduate medical seats for its own undergraduate students, a policy challenged by students who had not studied at the Institute as an unconstitutional form of institutional preference.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institutional reservation of this kind was a permissible classification under Article 14, and what weight, if any, should be given to Fundamental Duties under Article 51A in resolving a dispute of this nature.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institutional reservation as arbitrary and violative of Article 14, and, in the course of its reasoning, observed that Fundamental Duties are prefixed with the same word, fundamental, that qualifies the rights in Part III, and that they cannot be dismissed as of no constitutional consequence merely because they are not directly enforceable. The decision is regularly cited for the proposition that Fundamental Rights and Fundamental Duties are correlative and should be read as complementary parts of a single constitutional scheme.</w:t>
      </w:r>
    </w:p>
    <w:p>
      <w:pPr>
        <w:spacing w:after="40" w:before="200" w:line="240" w:lineRule="auto"/>
        <w:ind w:left="567" w:right="567"/>
      </w:pPr>
      <w:r>
        <w:rPr>
          <w:rFonts w:ascii="Calibri" w:cs="Calibri" w:eastAsia="Calibri" w:hAnsi="Calibri"/>
          <w:b/>
          <w:bCs/>
          <w:i w:val="false"/>
          <w:iCs w:val="false"/>
          <w:color w:val="000000"/>
          <w:sz w:val="28"/>
          <w:szCs w:val="28"/>
        </w:rPr>
        <w:t xml:space="preserve">Rural Litigation and Entitlement Kendra v. State of Uttar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(1985) 2 SCC 431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voluntary organisation wrote to the Supreme Court, in a letter treated as a writ petition, complaining of large-scale and largely unregulated limestone quarrying in the Mussoorie hill range above Dehradun, which had caused landslides, the blocking of water sources, and significant ecological damage.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continued quarrying that caused serious ecological harm could be permitted to continue, and how the Court should balance environmental protection against the economic and other interests served by the quarries.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ordered the closure of a number of quarries found to be operating in ecologically fragile zones, while permitting others, classified according to an expert committee's report, to continue subject to safeguards, and directed afforestation and rehabilitation of affected workers. Decided under Article 32 even though no individual Fundamental Right was directly in issue, the case is generally regarded as India's first environmental Public Interest Litigation and an early illustration of the courts giving practical effect to the values underlying Article 48A and Article 51A(g).</w:t>
      </w:r>
    </w:p>
    <w:p>
      <w:pPr>
        <w:spacing w:after="40" w:before="200" w:line="240" w:lineRule="auto"/>
        <w:ind w:left="567" w:right="567"/>
      </w:pPr>
      <w:r>
        <w:rPr>
          <w:rFonts w:ascii="Calibri" w:cs="Calibri" w:eastAsia="Calibri" w:hAnsi="Calibri"/>
          <w:b/>
          <w:bCs/>
          <w:i w:val="false"/>
          <w:iCs w:val="false"/>
          <w:color w:val="000000"/>
          <w:sz w:val="28"/>
          <w:szCs w:val="28"/>
        </w:rPr>
        <w:t xml:space="preserve">Bijoe Emmanuel v. State of Kerala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(1986) 3 SCC 615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Three schoolchildren belonging to the Jehovah's Witnesses faith stood respectfully when the National Anthem was sung at their school but did not themselves sing it, in keeping with their religious belief against reciting any text other than their prayers, and were expelled for this reason.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failing to sing the National Anthem, while standing respectfully and causing no disturbance, amounted to disrespect justifying expulsion, and how such a requirement should be reconciled with the freedom of religion and conscience guaranteed under Article 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children had shown no disrespect to the National Anthem and that their expulsion, based solely on their religiously motivated silence, violated their Fundamental Right under Article 25 and directed their reinstatement. The judgment is a leading illustration of the principle that the Fundamental Duty to respect the National Anthem under Article 51A(a) cannot be used to override a genuine Fundamental Right where no actual disrespect or disturbance has occurred.</w:t>
      </w:r>
    </w:p>
    <w:p>
      <w:pPr>
        <w:spacing w:after="40" w:before="200" w:line="240" w:lineRule="auto"/>
        <w:ind w:left="567" w:right="567"/>
      </w:pPr>
      <w:r>
        <w:rPr>
          <w:rFonts w:ascii="Calibri" w:cs="Calibri" w:eastAsia="Calibri" w:hAnsi="Calibri"/>
          <w:b/>
          <w:bCs/>
          <w:i w:val="false"/>
          <w:iCs w:val="false"/>
          <w:color w:val="000000"/>
          <w:sz w:val="28"/>
          <w:szCs w:val="28"/>
        </w:rPr>
        <w:t xml:space="preserve">Aruna Roy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(2002) 7 SCC 368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challenged the National Curriculum Framework for School Education, 2000, on the ground that its provisions for value-based and religious education violated the constitutional principle of secularism under the Preamble and Articles 25 to 28.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curriculum that included study of the basic tenets of different religions and value education drawing on constitutional ideals and Fundamental Duties was inconsistent with India's secular character.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curriculum, holding that imparting knowledge about religions and inculcating constitutional values, including the Fundamental Duties under Article 51A, did not amount to imposing any particular religion and was consistent with secularism properly understood. The decision is frequently cited for its recognition that constitutional education, including education about the duties citizens owe to the nation, has a legitimate place in the school curriculum.</w:t>
      </w:r>
    </w:p>
    <w:p>
      <w:pPr>
        <w:spacing w:after="40" w:before="200" w:line="240" w:lineRule="auto"/>
        <w:ind w:left="567" w:right="567"/>
      </w:pPr>
      <w:r>
        <w:rPr>
          <w:rFonts w:ascii="Calibri" w:cs="Calibri" w:eastAsia="Calibri" w:hAnsi="Calibri"/>
          <w:b/>
          <w:bCs/>
          <w:i w:val="false"/>
          <w:iCs w:val="false"/>
          <w:color w:val="000000"/>
          <w:sz w:val="28"/>
          <w:szCs w:val="28"/>
        </w:rPr>
        <w:t xml:space="preserve">Vellore Citizens' Welfare Forum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(1996) 5 SCC 647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Tanneries and other industries operating in Tamil Nadu discharged untreated effluent that contaminated agricultural land, drinking water, and the Palar river, prompting a public interest petition seeking the closure or regulation of the polluting units.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precautionary principle and the polluter pays principle, as developed in international environmental law, formed part of Indian environmental jurisprudence, and what obligations they imposed on polluting industries.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precautionary principle and the polluter pays principle are part of the law of the land under Article 21 read with Article 48A and Article 51A(g), directed the closure of tanneries that had not set up adequate effluent treatment facilities, and ordered the establishment of an authority to assess and recover compensation for the environmental harm caused. The decision substantially developed the constitutional and statutory framework within which industrial pollution is now regulated in India.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Fundamental Duties complete the constitutional triangle formed with Fundamental Rights and Directive Principles, reminding every citizen that the freedoms guaranteed under Part III and the welfare goals set out in Part IV depend, in the end, on citizens who are willing to act responsibly towards the Constitution, towards one another, and towards the natural and cultural inheritance they share. Introduced in the unusual circumstances of the Emergency through the Forty-second Amendment, and completed by the addition of the education duty under the Eighty-sixth Amendment, Article 51A has outlived the political controversy of its origins and become a settled, if still non-justiciable, part of the constitutional text.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Decisions such as AIIMS Students' Union, Bijoe Emmanuel, Aruna Roy, Rural Litigation and Entitlement Kendra, and Vellore Citizens' Welfare Forum show that, notwithstanding the absence of direct enforceability, Fundamental Duties have acquired genuine interpretative weight, shaping how courts read the reasonableness of restrictions on Fundamental Rights, the scope of environmental obligations, and the content of public education. As M.P. Jain observes, the duties reinforce constitutional democracy by reminding citizens that rights and responsibilities are two sides of the same constitutional commitment, while D.D. Basu regards them as a moral compass for citizenship that, together with Fundamental Rights and Directive Principles, completes the vision of a sovereign, socialist, secular, democratic republic dedicated to justice, liberty, equality, and fraternity.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Calibri" w:cs="Calibri" w:eastAsia="Calibri" w:hAnsi="Calibri"/>
        <w:b w:val="false"/>
        <w:bCs w:val="false"/>
        <w:i w:val="false"/>
        <w:iCs w:val="false"/>
        <w:color w:val="000000"/>
        <w:sz w:val="28"/>
        <w:szCs w:val="28"/>
      </w:rPr>
      <w:t xml:space="preserve"/>
    </w: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2026-06-30T19:57:16.370Z</dcterms:created>
  <dcterms:modified xsi:type="dcterms:W3CDTF">2026-06-30T19:57:16.381Z</dcterms:modified>
</cp:coreProperties>
</file>

<file path=docProps/custom.xml><?xml version="1.0" encoding="utf-8"?>
<Properties xmlns="http://schemas.openxmlformats.org/officeDocument/2006/custom-properties" xmlns:vt="http://schemas.openxmlformats.org/officeDocument/2006/docPropsVTypes"/>
</file>