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VIII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Right to constitutional remedies (Articles 32 and 226)</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occupy the most prominent place in the Constitution of India, yet a right that cannot be enforced is of little practical value to the person who holds it. The framers were conscious of this difficulty, and they responded by building enforcement directly into the constitutional text itself rather than leaving it to ordinary legislation. Articles 32 and 226, placed respectively in Part III and Part VI of the Constitution, together constitute what is known as the Right to Constitutional Remedies: a guarantee that the Supreme Court and the High Courts will examine any complaint that a Fundamental Right, or, in the case of Article 226, any other legal right, has been violated by the State or its instrumentalities.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Dr. B.R. Ambedkar, while piloting the Draft Constitution through the Constituent Assembly on 9 December 1948, described Article 32 as the article without which the Constitution would be a nullity, calling it the very soul of the Constitution and the very heart of it. That description was not rhetorical excess. A catalogue of rights without a corresponding machinery of enforcement would have reduced Part III to a statement of intent rather than a body of enforceable law. By making the right to approach the Supreme Court itself a Fundamental Right, the Constitution ensured that the remedy could never be diluted by ordinary legislative action, and that the Supreme Court would always retain a direct and original jurisdiction to protect the rights it is charged with guarding.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226 complements this scheme by vesting a parallel, and in some respects wider, power in the High Courts. M.P. Jain has observed that Articles 32 and 226 between them form the principal institutional mechanism through which constitutional governance in India is maintained, while D.D. Basu has noted that it is enforceability, rather than the mere declaration of rights, that distinguishes a constitutional democracy from a State that merely proclaims rights on paper. Over the seven decades since the Constitution came into force, the Supreme Court has used this foundation to develop doctrines never spelt out in the original text, including Public Interest Litigation, a considerably relaxed approach to locus standi, and an expansive reading of Article 21 that has, in turn, widened the substantive content the writ courts are now called upon to protect. The remainder of this chapter examines the text and scope of Articles 32 and 226, the five constitutional writs through which they operate, the doctrine of Public Interest Litigation, the position of Fundamental Rights during a National Emergency, and the principal judicial decisions that have shaped this branch of constitutional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It is worth noting at the outset how this remedy differs from an ordinary civil suit. A suit is generally governed by a fixed limitation period, requires detailed pleadings and oral evidence, and is confined to enforcing private rights between the parties before the court. A writ petition, by contrast, is summary in form, proceeds principally on affidavits rather than oral testimony, is not bound by the Limitation Act, and may be used not only to vindicate a private right but, through Public Interest Litigation, to address a wrong suffered by persons who are not before the court at all. These features make the writ jurisdiction considerably faster and more accessible than civil litigation, though that same speed means a writ court will often decline to enter into a dispute that turns on seriously contested questions of fact, leaving such questions to be resolved in a properly constituted civil suit where evidence can be led and tested by cross-examination.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Enforcement of Fundamental Rights and the place of judicial review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Enforcement, in this context, is the constitutional process through which a court restores a right infringed by an authority falling within the meaning of "State" under Article 12. Because Part III ordinarily binds the State rather than private individuals, the first question in any enforcement proceeding is usually whether the body complained of answers that description; once that threshold is crossed, the aggrieved person may invoke either Article 32 before the Supreme Court or Article 226 before the High Court having territorial jurisdiction over the matter.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constitutional philosophy underlying this scheme rests on a simple but far-reaching proposition: a right is only as strong as the remedy available for its breach. The framers therefore built an independent judiciary, equipped it with the power of judicial review, and gave it direct access through the writ jurisdiction, rather than relying on the executive or the legislature to police their own conduct. Judicial review is the authority of the constitutional courts to examine whether a law or an executive act conforms to the Constitution, and to declare it void to the extent of any inconsistency under Article 13. The Supreme Court has repeatedly held that judicial review is itself part of the Basic Structure of the Constitution, so that even a constitutional amendment cannot abolish it or render it illusory, a position reaffirmed as recently as the Supreme Court Advocates-on-Record Association decision on the National Judicial Appointments Commission in 2015.</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Without this enforcement machinery, the rights guaranteed under Part III would have remained moral exhortations rather than legal entitlements. It is the combination of an enforceable right of access to the courts, an independent judiciary willing to exercise that jurisdiction, and a doctrine of judicial review insulated from ordinary legislative reversal, that gives the Indian Fundamental Rights chapter its practical strength.</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Article 32: remedies for enforcement of rights conferred by this Part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32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The right to move the Supreme Court by appropriate proceedings for the enforcement of the rights conferred by this Part is guaranteed.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Supreme Court shall have power to issue directions or orders or writs, including writs in the nature of habeas corpus, mandamus, prohibition, quo warranto and certiorari, whichever may be appropriate, for the enforcement of any of the rights conferred by this Part.</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Without prejudice to the powers conferred on the Supreme Court by clauses (1) and (2), Parliament may by law empower any other court to exercise within the local limits of its jurisdiction all or any of the powers exercisable by the Supreme Court under clause (2).</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The right guaranteed by this article shall not be suspended except as otherwise provided for by this Constitution.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makes the right of access to the Supreme Court itself a Fundamental Right, so that Parliament cannot take it away by ordinary law. Clause (2) lists the five writs the Court may issue, while the words "directions or orders or writs" make clear that the Court is not confined to the rigid technical form those remedies took under English common law. Clause (3) allows Parliament to confer similar writ powers on other courts, a power Parliament has never in fact exercised, leaving the Supreme Court and the High Courts as the only constitutional writ courts. Clause (4) protects the right from dilution, permitting its suspension only as the Constitution itself allows, principally during a Proclamation of Emergency under Article 359. Read together, the four clauses convert Part III from a list of promises into a body of directly enforceable law, with the Supreme Court positioned as its primary guardian.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Nature and scope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32 possesses several features that mark it out from an ordinary procedural provision. It is itself a Fundamental Right, so a person whose right has been infringed need not first exhaust any other remedy before approaching the Supreme Court, although the Court retains discretion over the form of relief it grants. Proceedings under the article fall within the original jurisdiction of the Supreme Court, meaning the petitioner can approach the Court directly rather than by way of appeal from a lower forum. Because the article is confined to rights conferred by Part III, it cannot ordinarily be used to enforce a purely statutory or contractual right with no constitutional dimension; for such rights, Article 226 before the High Court is the appropriate avenue. Within its own field, however, the jurisdiction is wide: the Supreme Court may grant interim relief, pass a continuing mandamus where compliance needs to be monitored over time, award compensation in appropriate cases of custodial violence or death, and frame guidelines to fill a legislative vacuum until Parliament acts, as it did in Vishaka v. State of Rajasthan pending dedicated legislation on workplace sexual harassment.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Why Dr. B.R. Ambedkar called Article 32 the heart and soul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During the Constituent Assembly Debates, Dr. Ambedkar stated that if he were asked to name the most important article in the Constitution, one without which the Constitution would be a nullity, he could refer to no other article except this one, since it is the very soul of the Constitution and the very heart of it. His remark reflected a considered judgment that a Fundamental Rights chapter is only as good as the machinery available to enforce it. Without Article 32, an aggrieved citizen would have had to work through the ordinary appellate hierarchy before any constitutional question could be authoritatively settled; the article instead guarantees immediate access to the apex court, supported by a simplified procedure that has, over time, extended even to letters and postcards addressed to the Court being treated as writ petitions in deserving cases.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Jurisdiction of the Supreme Court under Article 32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exercises jurisdiction under Article 32 throughout the territory of India, and its orders bind every authority, civil and judicial, within that territory under Article 142 read with Article 141. The Court may issue any of the five writs, grant interim protection pending final disposal, strike down a statute or executive instruction found to be unconstitutional, and quash administrative action that infringes a Fundamental Right. According to M.P. Jain, this combination of nationwide reach and constitutional status makes Article 32 the most effective single safeguard available to an Indian citizen against arbitrary State action.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 226: power of High Courts to issue certain writs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226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Notwithstanding anything in article 32, every High Court shall have power, throughout the territories in relation to which it exercises jurisdiction, to issue to any person or authority, including in appropriate cases, any Government, within those territories directions, orders or writs, including writs in the nature of habeas corpus, mandamus, prohibition, quo warranto and certiorari, or any of them, for the enforcement of any of the rights conferred by Part III and for any other purpose.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power conferred by clause (1) to issue directions, orders or writs to any Government, authority or person may also be exercised by any High Court exercising jurisdiction in relation to the territories within which the cause of action, wholly or in part, arises for the exercise of such power, notwithstanding that the seat of such Government or authority or the residence of such person is not within those territories.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Where any party against whom an interim order, whether by way of injunction or stay or in any other manner, is made on, or in any proceedings relating to, a petition under clause (1), without (a) furnishing to such party copies of such petition and all documents in support of the plea for such interim order, and (b) giving such party an opportunity of being heard, makes an application to the High Court for the vacation of such order and furnishes a copy of such application to the party in whose favour such order has been made or the counsel of such party, the High Court shall dispose of the application within a period of two weeks from the date on which it is received or from the date on which the copy of such application is so furnished, whichever is later, or, where the High Court is closed on the last day of that period, before the expiry of the next day afterwards on which the High Court is open; and if the application is not so disposed of, the interim order shall, on the expiry of that period, or, as the case may be, the expiry of the said next day, stand vacated.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The power conferred on a High Court by this article shall not be in derogation of the power conferred on the Supreme Court by clause (2) of article 32.</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gives the High Courts a writ jurisdiction wider than that of the Supreme Court in one important respect: it extends not only to Fundamental Rights but to "any other purpose," read by the courts as covering any legal right and any corresponding public duty. Clause (2), inserted by the Fifteenth Amendment, lets a High Court act wherever the cause of action arises, even where the authority concerned is seated outside that State. Clause (3), added by the Forty-fourth Amendment of 1978 in the aftermath of the Emergency, was designed to stop ex parte interim orders from running indefinitely: if the affected party applies to vacate such an order without first being heard, the High Court must decide that application within two weeks, failing which the order automatically stands vacated. Clause (4) preserves the Supreme Court’s writ jurisdiction under Article 32 from being treated as displaced by the existence of the High Courts’ power.</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Nature and scope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Unlike Article 32, Article 226 is not itself a Fundamental Right; it is a constitutional power vested in the High Courts, exercised as a matter of discretion rather than as an absolute entitlement of the petitioner. Its reach is correspondingly broader. A petitioner may approach the High Court not only for breach of a Fundamental Right but for breach of any statutory, contractual, or other legal right enforceable against a public authority, which is why writ petitions concerning service matters, tender disputes, and administrative orders are far more commonly filed under Article 226 than under Article 32. Because the jurisdiction is discretionary, the High Court may decline relief where an equally efficacious alternative remedy exists, where the petitioner has been guilty of unexplained delay or laches, or where the dispute turns on seriously contested questions of fact more appropriate to a civil suit; none of these, however, operates as an absolute bar, and the Court will still intervene where the impugned action is wholly without jurisdiction or where there is a flagrant violation of natural justice.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The five constitutional writs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Both Article 32 and Article 226 operate through five remedies inherited from English common law but adapted to Indian constitutional conditions. Each writ has its own object, its own grounds for issue, and its own limits.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Habeas corpus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expression means "you may have the body," and the writ is directed at securing the production and release of a person who is illegally or arbitrarily detained. It may be sought by the detained person or, since that person is often unable to approach a court personally, by any other individual acting on their behalf, including a relative, a friend, or a public-spirited petitioner. The writ lies against the State as much as against a private person who has unlawfully confined another, and the burden lies on the detaining authority to justify the legality of the detention once a prima facie case of unlawful confinement is shown. It will not issue where the detention has been ordered by a competent court acting within its jurisdiction, and it is not generally available as a substitute for an ordinary appeal against a conviction. Because personal liberty is at stake, courts have traditionally dealt with habeas corpus petitions with particular urgency.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Mandamus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Mandamus, Latin for "we command," is issued to compel a public authority to perform a public duty it has failed or refused to perform, where the petitioner can show both a clear legal right and a corresponding statutory or public duty owed to them. It will not lie to enforce a purely discretionary function, nor against a private person or body unless that body is discharging a public duty, nor against the President or a Governor in respect of the exercise of constitutional functions in a personal capacity. It is equally unavailable to compel the legislature to enact, repeal, or amend a law, since law-making remains a matter for the legislature’s own judgment rather than a duty owed to any individual litigant. Where these conditions are satisfied, however, mandamus has proved a versatile remedy, used to compel everything from the release of withheld pension benefits to the framing of rules required by a parent statute.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distinctive variant developed by the Supreme Court is the continuing mandamus, under which the Court does not dispose of the petition with a single, final direction but retains the matter on its file and issues successive directions over time, calling for periodic compliance reports until its order has been substantially implemented. The device was used to notable effect in Vineet Narain v. Union of India, where the Court monitored the investigation into allegations of high-level corruption until the agencies concerned had been freed from undue executive interference, and it has since been employed in cases ranging from environmental protection to prison reform wherever a one-time direction would be unlikely to secure real compliance.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Certiorari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Certiorari, meaning literally "to be certified," is a corrective writ used to quash an order already passed by an inferior court, tribunal, or other authority exercising judicial or quasi-judicial functions. The grounds on which it issues were settled in decisions such as T.C. Basappa v. T. Nagappa and have remained largely consistent since: want of jurisdiction, excess of jurisdiction, violation of the principles of natural justice, and an error of law apparent on the face of the record. Because it operates after the impugned decision has already been made, certiorari is described as a corrective rather than a preventive remedy, a feature that distinguishes it from prohibition.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Prohibition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Prohibition is the preventive counterpart of certiorari. It is issued to restrain an inferior court or tribunal from proceeding further with a matter in excess of, or in the absence of, jurisdiction, before that body has had the opportunity to pass a final order. Once the proceeding has concluded and an order has actually been passed, prohibition ceases to be the appropriate remedy, and certiorari must be sought instead to undo what has already been done. The distinction is therefore essentially one of timing: prohibition stops an excess of jurisdiction before it occurs, while certiorari corrects it after the event.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Quo warranto</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Latin phrase means “by what authority,” and the writ allows a court to call upon a person occupying a public office to demonstrate the legal basis of their claim to it. Four conditions must ordinarily be satisfied before the writ will issue: the office must be a substantive public office and not merely the post of a servant or employee; it must owe its existence to a statute or to the Constitution itself; the respondent must have actually asserted a claim to that office; and the appointment must be shown to violate the Constitution, a statute, or a statutory rule. Quo warranto thus serves a public function distinct from the other writs, since the petitioner need not show that any personal right of theirs has been infringed; the object of the proceeding is to protect the public from the usurpation of a public office by a person not legally entitled to hold it.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Comparison between Article 32 and Article 226</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Although both provisions empower the writ courts to protect rights, the two operate on different constitutional footings, and the distinction matters in practice when a litigant has to choose where to file a petition.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2920"/>
        <w:gridCol w:w="3236"/>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32</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226</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character</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 Fundamental Right in itself</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 constitutional power conferred on the High Court, not a Fundamental Right</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Forum</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Supreme Court only</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Every High Court, within its own territorial jurisdiction</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Purpose</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Enforcement of Fundamental Rights under Part III only</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Enforcement of Fundamental Rights and any other legal right</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Territorial reach</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Throughout India</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Confined to the territory of the particular High Court, subject to clause (2)</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 of relief</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Available as of right once infringement of a Fundamental Right is shown</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Discretionary; may be refused on grounds such as an effective alternative remedy or delay</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Effect of an alternative remedy</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Generally not treated as a bar</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May lead the High Court to decline relief, though not as an absolute rule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Position during Emergency</w:t>
            </w:r>
          </w:p>
        </w:tc>
        <w:tc>
          <w:tcPr>
            <w:tcW w:type="dxa" w:w="292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May be affected only as Article 359 permits</w:t>
            </w:r>
          </w:p>
        </w:tc>
        <w:tc>
          <w:tcPr>
            <w:tcW w:type="dxa" w:w="32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directly suspended by Article 359, though the underlying right being enforced may itself be affected</w:t>
            </w:r>
          </w:p>
        </w:tc>
      </w:tr>
    </w:tbl>
    <w:p>
      <w:pPr>
        <w:spacing w:after="120" w:before="0" w:line="240" w:lineRule="auto"/>
      </w:pP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two remedies are not, however, rivals. Litigants are routinely advised to approach the High Court first, both because Article 226 carries the wider jurisdiction and because the High Courts, being more numerous and more accessible, can usually dispose of a matter more quickly than the Supreme Court's comparatively limited original-side calendar.</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Locus standi, maintainability and procedure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Who may petition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traditional common law position confined the right to petition to the person whose own right had been infringed. The Supreme Court relaxed this rule considerably from the late 1970s onward, allowing any public-spirited person to maintain a petition on behalf of those who are unable, because of poverty, illiteracy, custody, or social disadvantage, to approach the court themselves. This relaxed standing rule is the doctrinal foundation of Public Interest Litigation, discussed in the section that follows.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Maintainability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Before examining the merits, a writ court typically considers whether it has jurisdiction over the subject matter and the parties, whether the petitioner has a sufficient interest or, in a Public Interest Litigation, has acted bona fide, and, in proceedings under Article 226, whether an equally efficacious alternative remedy is available. The existence of an alternative remedy is treated as a rule of practice rather than a rule of jurisdiction, so the High Court will still entertain a petition despite such a remedy being available where the impugned action is wholly without jurisdiction, where it violates the principles of natural justice, where the vires of a statute are challenged, or where the facts are not seriously in dispute.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rule of alternative remedy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examined this rule closely in Whirlpool Corporation v. Registrar of Trade Marks, Mumbai, holding that the existence of an alternative remedy operates as a self-imposed restraint on the High Court's discretion rather than as a bar to its jurisdiction. The Court identified three situations in which a writ petition will be entertained despite an alternative remedy being available: where the petition seeks enforcement of a Fundamental Right, where there has been a violation of the principles of natural justice, or where the order under challenge, or the provision of law on which it rests, is wholly without jurisdiction or its vires is itself in question. The same flexibility applies with even greater force to Article 32, where the existence of an alternative remedy is unlikely to deter the Supreme Court once a Fundamental Right is shown to be at stake.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Delay and laches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No fixed period of limitation governs a writ petition, but a court may decline relief where the petitioner has approached it after unreasonable and unexplained delay, particularly where third-party rights have intervened in the meantime or the State would be prejudiced in resisting a stale claim. In State of Madhya Pradesh v. Bhailal Bhai, the Supreme Court suggested that the limitation period prescribed for an analogous civil suit offers a useful, though not binding, yardstick for assessing whether delay in a writ petition is reasonable, while making clear that delay alone will rarely defeat a petition that seeks to vindicate a continuing Fundamental Right.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Res judicata and successive petitions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writ petition heard and dismissed on its merits operates as res judicata and bars a subsequent petition, or even a regular suit, founded on the same cause of action, a principle the Supreme Court affirmed in Direct Recruit Class II Engineering Officers' Association v. State of Maharashtra. The position is different where an earlier petition was dismissed in limine, without a speaking order on the merits, since such a dismissal does not by itself preclude a fresh petition or an appeal raising the same grounds.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Interim relief and appeals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Pending final disposal, both the Supreme Court and the High Courts may grant interim protection in the form of a stay, an injunction, or other interim direction calculated to prevent irreparable harm, subject, in the case of the High Courts, to the time limit on ex parte interim orders introduced by Article 226(3). Judgments of a High Court under Article 226 may, in appropriate cases, be carried in appeal to a Division Bench of the same High Court and thereafter to the Supreme Court, while orders of the Supreme Court under Article 32 are final, subject only to the limited power of review or curative reconsideration the Court has recognised in its own jurisprudence.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Public interest litigation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Origin and meaning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Public Interest Litigation, commonly abbreviated PIL, is a distinctly Indian innovation that allows a public-spirited individual or organisation to invoke the writ jurisdiction on behalf of persons who cannot approach the court themselves. It took shape in the late 1970s and early 1980s under the leadership of Justices P.N. Bhagwati and V.R. Krishna Iyer, who relaxed the traditional rule of locus standi and treated even a letter addressed to the Court, an approach later termed "epistolary jurisdiction," as sufficient to set the writ machinery in motion. The underlying object was to ensure that the poor and the marginalised, who form a significant part of India’s population but the smallest part of its litigating public, were not excluded from constitutional justice merely because they lacked the resources or the awareness to invoke it themselves.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Reach and illustrative applications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 the decades since, Public Interest Litigation has been used to address prison conditions, bonded and child labour, environmental degradation, custodial violence, the rights of persons with disabilities, electoral transparency, and the safety of women at the workplace, among many other subjects. In Hussainara Khatoon v. State of Bihar, a newspaper report of undertrial prisoners languishing in Bihar's jails for periods longer than the maximum sentence they could have received on conviction was treated as a writ petition, leading the Supreme Court to hold that a speedy trial is itself part of the right to life and personal liberty under Article 21. In Vishaka v. State of Rajasthan, the Court, finding no domestic legislation on the subject, framed binding guidelines on the prevention of sexual harassment of women at the workplace, guidelines that remained in force until Parliament enacted dedicated legislation in 2013. Cases of this kind illustrate how the liberalised standing rule, combined with the wide remedial powers available under Article 32, has allowed the Court to respond to systemic failures that an individual litigant, acting alone, would rarely have had the means to bring before it.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Safeguards against misuse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very openness that gives Public Interest Litigation its strength also makes it susceptible to abuse, and the Supreme Court has on several occasions cautioned against petitions filed for personal, political, or publicity purposes under the guise of public interest. Courts now scrutinise the bona fides of the petitioner, the existence of a genuine public injury, and the absence of any private motive before entertaining such a petition, and have not hesitated to dismiss frivolous or vexatious petitions with exemplary costs in order to discourage their misuse.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9. Fundamental Rights during a National Emergency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358</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358 provides that when a Proclamation of Emergency is made on the ground of war or external aggression, the six freedoms guaranteed by Article 19 stand automatically suspended for the duration of the Emergency, without any separate Presidential Order being required. Following the Forty-fourth Amendment of 1978, this automatic suspension no longer applies where the Emergency is proclaimed solely on the ground of armed rebellion, a change introduced specifically to prevent the kind of internal Emergency declared in 1975 from again displacing Article 19 protections without any external threat being involved.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359</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359 deals separately with the enforcement of rights more generally. It empowers the President, by order, to suspend the right of any person to move a court for the enforcement of such of the Fundamental Rights as may be specified in the order, for the period the Emergency remains in force or for such shorter period as the order may state. The provision suspends the enforcement of the right, not the right itself, a distinction the Supreme Court controversially failed to give full effect to in ADM Jabalpur v. Shivkant Shukla, discussed in the section that follows.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position after the Forty-fourth Amendment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Forty-fourth Amendment Act of 1978 introduced a crucial limitation on Article 359: the rights guaranteed by Article 20, concerning protection in respect of conviction for offences, and Article 21, concerning the protection of life and personal liberty, can never be suspended, even during a National Emergency. This change was a direct legislative response to the experience of 1975 to 1977, and it means that, whatever else a Proclamation of Emergency may affect, the core protections of Articles 20 and 21 remain available to every person throughout its duration.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Judicial review of the Emergency power itself</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Thirty-eighth Amendment of 1975 had attempted to make the President's satisfaction in proclaiming an Emergency final and beyond judicial scrutiny, while the Forty-second Amendment of 1976 went further still, enlarging Article 31C and inserting clauses (4) and (5) into Article 368 to place constitutional amendments beyond judicial review altogether. Both attempts proved short-lived: the Forty-fourth Amendment repealed the immunity introduced by the Thirty-eighth Amendment, and the Supreme Court, in Minerva Mills Ltd. v. Union of India, struck down the newly inserted clauses of Article 368 as destructive of the Basic Structure, holding that a limited amending power is itself an essential feature of the Constitution. The cumulative effect is that the decision to proclaim, continue, or revoke a National Emergency, like the exercise of every other constitutional power, remains subject to judicial review, a position the Supreme Court reaffirmed in the connected context of President's Rule under Article 356 in S.R. Bommai v. Union of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10.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Romesh Thappar v. State of Madras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124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Government of Madras banned the entry and circulation of the petitioner’s journal, Cross Roads, within the State under a public-safety provision of the Madras Maintenance of Public Order Act, 1949, without any finding that the publication threatened the security of the State.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restriction imposed merely in the interest of public safety or public order, without any nexus to the security of the State, could validly curtail the freedom of speech and expression under Article 19(1)(a).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order, holding that restrictions on free speech could be justified only on grounds falling within Article 19(2) as it then stood, and that public disorder of a minor or local character was not equivalent to a threat to the security of the State. Decided within months of the Constitution coming into force, the case also confirmed that Article 32 could be used to test the validity of legislation directly before the Supreme Court.</w:t>
      </w:r>
    </w:p>
    <w:p>
      <w:pPr>
        <w:spacing w:after="40" w:before="200" w:line="240" w:lineRule="auto"/>
        <w:ind w:left="567" w:right="567"/>
      </w:pPr>
      <w:r>
        <w:rPr>
          <w:rFonts w:ascii="Calibri" w:cs="Calibri" w:eastAsia="Calibri" w:hAnsi="Calibri"/>
          <w:b/>
          <w:bCs/>
          <w:i w:val="false"/>
          <w:iCs w:val="false"/>
          <w:color w:val="000000"/>
          <w:sz w:val="28"/>
          <w:szCs w:val="28"/>
        </w:rPr>
        <w:t xml:space="preserve">A.K. Gopalan v. State of Madras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27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detained under the Preventive Detention Act, 1950, challenged his detention as violating Articles 19, 21 and 22, arguing that the expression “procedure established by law” in Article 21 must also be fair and reasonable.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19, 21 and 22 should be read together as a single, connected protection against arbitrary deprivation of liberty, and whether “procedure established by law” imported any requirement of substantive fairness.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majority of the Court read Article 21 narrowly, holding that it required only a procedure enacted by validly made law, regardless of whether that procedure was fair, and that Articles 19 and 21 operated as separate, watertight compartments; the detention was accordingly upheld. This restrictive reading governed Indian constitutional law for nearly three decades until it was substantially overruled in Maneka Gandhi v. Union of India.</w:t>
      </w:r>
    </w:p>
    <w:p>
      <w:pPr>
        <w:spacing w:after="40" w:before="200" w:line="240" w:lineRule="auto"/>
        <w:ind w:left="567" w:right="567"/>
      </w:pPr>
      <w:r>
        <w:rPr>
          <w:rFonts w:ascii="Calibri" w:cs="Calibri" w:eastAsia="Calibri" w:hAnsi="Calibri"/>
          <w:b/>
          <w:bCs/>
          <w:i w:val="false"/>
          <w:iCs w:val="false"/>
          <w:color w:val="000000"/>
          <w:sz w:val="28"/>
          <w:szCs w:val="28"/>
        </w:rPr>
        <w:t xml:space="preserve">Kharak Singh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1295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a suspect in a dacoity case who was never convicted, was placed under police surveillance involving nocturnal domiciliary visits and secret picketing of his house, conducted under police regulations that had no backing in any statute.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such surveillance violated the petitioner’s personal liberty under Article 21 and his freedom of movement under Article 19(1)(d).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struck down the regulation permitting nocturnal domiciliary visits as an unauthorised invasion of personal liberty, although the majority declined at that stage to read a general right to privacy into Article 21. A powerful dissent by Justice Subba Rao, recognising privacy as an essential ingredient of personal liberty, was eventually vindicated more than five decades later in Justice K.S. Puttaswamy (Retd.) v. Union of India.</w:t>
      </w:r>
    </w:p>
    <w:p>
      <w:pPr>
        <w:spacing w:after="40" w:before="200" w:line="240" w:lineRule="auto"/>
        <w:ind w:left="567" w:right="567"/>
      </w:pPr>
      <w:r>
        <w:rPr>
          <w:rFonts w:ascii="Calibri" w:cs="Calibri" w:eastAsia="Calibri" w:hAnsi="Calibri"/>
          <w:b/>
          <w:bCs/>
          <w:i w:val="false"/>
          <w:iCs w:val="false"/>
          <w:color w:val="000000"/>
          <w:sz w:val="28"/>
          <w:szCs w:val="28"/>
        </w:rPr>
        <w:t xml:space="preserve">Kesavananda Bharati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4 SCC 225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Kerala land reform legislation, and in the course of the proceedings the Court was called upon to examine the validity of several constitutional amendments, including the Twenty-fourth and Twenty-fifth Amendments, which sought to enlarge Parliament’s amending power and to curtail judicial review of laws enacted to give effect to Directive Principles.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Parliament’s power to amend the Constitution under Article 368 was unlimited, and whether any part of the Constitution lay beyond the reach of that power.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narrow majority, a thirteen-judge Bench evolved the Basic Structure doctrine, holding that Parliament may amend any part of the Constitution, including the Fundamental Rights, but may not alter or destroy its basic structure, of which judicial review, the rule of law, and the supremacy of the Constitution were later held to form part. The decision remains the single most significant constitutional ruling delivered by the Supreme Court.</w:t>
      </w:r>
    </w:p>
    <w:p>
      <w:pPr>
        <w:spacing w:after="40" w:before="200" w:line="240" w:lineRule="auto"/>
        <w:ind w:left="567" w:right="567"/>
      </w:pPr>
      <w:r>
        <w:rPr>
          <w:rFonts w:ascii="Calibri" w:cs="Calibri" w:eastAsia="Calibri" w:hAnsi="Calibri"/>
          <w:b/>
          <w:bCs/>
          <w:i w:val="false"/>
          <w:iCs w:val="false"/>
          <w:color w:val="000000"/>
          <w:sz w:val="28"/>
          <w:szCs w:val="28"/>
        </w:rPr>
        <w:t xml:space="preserve">ADM Jabalpur v. Shivkant Shukla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(1976) 2 SCC 521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During the National Emergency of 1975 to 1977, several persons detained under the Maintenance of Internal Security Act filed habeas corpus petitions in various High Courts, which allowed them; the State appealed to the Supreme Court, relying on a Presidential Order under Article 359 suspending the right to move any court for the enforcement of Articles 14, 21 and 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detenu could still approach a court for habeas corpus while a Presidential Order under Article 359 suspending the enforcement of Article 21 remained in force.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majority of the Constitution Bench held that no such remedy was available for the duration of the suspension, effectively allowing the State to detain a person without judicial check during the Emergency. The lone dissent of Justice H.R. Khanna has since come to be regarded as one of the most courageous in the Court’s history, and the majority view was expressly and unequivocally disapproved by a nine-judge Bench in Justice K.S. Puttaswamy (Retd.) v. Union of India.</w:t>
      </w:r>
    </w:p>
    <w:p>
      <w:pPr>
        <w:spacing w:after="40" w:before="200" w:line="240" w:lineRule="auto"/>
        <w:ind w:left="567" w:right="567"/>
      </w:pPr>
      <w:r>
        <w:rPr>
          <w:rFonts w:ascii="Calibri" w:cs="Calibri" w:eastAsia="Calibri" w:hAnsi="Calibri"/>
          <w:b/>
          <w:bCs/>
          <w:i w:val="false"/>
          <w:iCs w:val="false"/>
          <w:color w:val="000000"/>
          <w:sz w:val="28"/>
          <w:szCs w:val="28"/>
        </w:rPr>
        <w:t xml:space="preserve">Maneka Gandhi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by the Central Government “in the public interest” without her being furnished any reasons and without being given a hearing before the order was passed.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procedure followed under the Passports Act, 1967, satisfied the requirement of “procedure established by law” under Article 21, and whether Articles 14, 19 and 21 should be read as a connected scheme of protections rather than as isolated guarantees.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overruled the narrow approach taken in A.K. Gopalan, holding that any procedure depriving a person of life or personal liberty must be fair, just and reasonable, and that Articles 14, 19 and 21 are interlinked rather than mutually exclusive. The decision opened the way for the subsequent expansion of Article 21 to include rights as varied as a clean environment, a livelihood, legal aid and a speedy trial.</w:t>
      </w:r>
    </w:p>
    <w:p>
      <w:pPr>
        <w:spacing w:after="40" w:before="200" w:line="240" w:lineRule="auto"/>
        <w:ind w:left="567" w:right="567"/>
      </w:pPr>
      <w:r>
        <w:rPr>
          <w:rFonts w:ascii="Calibri" w:cs="Calibri" w:eastAsia="Calibri" w:hAnsi="Calibri"/>
          <w:b/>
          <w:bCs/>
          <w:i w:val="false"/>
          <w:iCs w:val="false"/>
          <w:color w:val="000000"/>
          <w:sz w:val="28"/>
          <w:szCs w:val="28"/>
        </w:rPr>
        <w:t xml:space="preserve">Hussainara Khatoon v. State of Bihar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1979 SC 1360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newspaper report drew attention to a large number of undertrial prisoners in Bihar’s jails, several of whom had already spent more time in custody awaiting trial than the maximum sentence they could have received had they been convicted; a writ petition was filed on their behalf.</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a speedy trial forms part of the guarantee of personal liberty under Article 21, and whether the State could be excused from providing it on grounds of inadequate resources.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 speedy trial is an essential ingredient of the “reasonable, fair and just” procedure required by Article 21, directed the release of prisoners who had been in custody beyond the permissible period, and required the State to provide free legal aid to undertrial prisoners unable to afford their own counsel. The case is widely regarded as India’s first reported instance of Public Interest Litigation.</w:t>
      </w:r>
    </w:p>
    <w:p>
      <w:pPr>
        <w:spacing w:after="40" w:before="200" w:line="240" w:lineRule="auto"/>
        <w:ind w:left="567" w:right="567"/>
      </w:pPr>
      <w:r>
        <w:rPr>
          <w:rFonts w:ascii="Calibri" w:cs="Calibri" w:eastAsia="Calibri" w:hAnsi="Calibri"/>
          <w:b/>
          <w:bCs/>
          <w:i w:val="false"/>
          <w:iCs w:val="false"/>
          <w:color w:val="000000"/>
          <w:sz w:val="28"/>
          <w:szCs w:val="28"/>
        </w:rPr>
        <w:t xml:space="preserve">S.P. Gupta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1981 Supp SCC 87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case arose from the Central Government’s decision not to confirm certain additional judges as permanent judges of the High Courts, and its practice of transferring High Court judges without their consent, which was challenged by practising advocates and others concerned with judicial independence.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practising advocate, without any personal grievance, had standing to raise matters of judicial appointment and transfer in the public interest, and what weight should attach to the executive’s view in the process of judicial appointments.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significantly liberalised the rule of locus standi, holding that any member of the public with sufficient interest could maintain an action to vindicate a public wrong where the persons directly affected were unable to approach the court themselves, laying the doctrinal foundation for the subsequent growth of Public Interest Litigation, even though its observations on the primacy of the executive in judicial appointments were later overturned in the Judges’ cases that followed.</w:t>
      </w:r>
    </w:p>
    <w:p>
      <w:pPr>
        <w:spacing w:after="40" w:before="200" w:line="240" w:lineRule="auto"/>
        <w:ind w:left="567" w:right="567"/>
      </w:pPr>
      <w:r>
        <w:rPr>
          <w:rFonts w:ascii="Calibri" w:cs="Calibri" w:eastAsia="Calibri" w:hAnsi="Calibri"/>
          <w:b/>
          <w:bCs/>
          <w:i w:val="false"/>
          <w:iCs w:val="false"/>
          <w:color w:val="000000"/>
          <w:sz w:val="28"/>
          <w:szCs w:val="28"/>
        </w:rPr>
        <w:t xml:space="preserve">Bandhua Mukti Morcha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(1984) 3 SCC 161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voluntary organisation working for the release of bonded labourers filed a petition under Article 32 drawing the Supreme Court’s attention to the continued existence of bonded labour in stone quarries in Haryana, despite its statutory abolition.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registered organisation could maintain a petition under Article 32 on behalf of bonded labourers who were themselves unable to approach the Court, and what positive obligations Article 21 placed on the State in such circumstances.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the petition maintainable, directed the identification, release and rehabilitation of the bonded labourers concerned, and held that the right to live with human dignity under Article 21 includes protection against forced labour and exploitation, reinforcing Article 32 as an instrument of social justice and not merely of individual redress.</w:t>
      </w:r>
    </w:p>
    <w:p>
      <w:pPr>
        <w:spacing w:after="40" w:before="200" w:line="240" w:lineRule="auto"/>
        <w:ind w:left="567" w:right="567"/>
      </w:pPr>
      <w:r>
        <w:rPr>
          <w:rFonts w:ascii="Calibri" w:cs="Calibri" w:eastAsia="Calibri" w:hAnsi="Calibri"/>
          <w:b/>
          <w:bCs/>
          <w:i w:val="false"/>
          <w:iCs w:val="false"/>
          <w:color w:val="000000"/>
          <w:sz w:val="28"/>
          <w:szCs w:val="28"/>
        </w:rPr>
        <w:t xml:space="preserve">Nilabati Behera v. State of Orissa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(1993) 2 SCC 746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letter written by the petitioner to the Supreme Court, treated as a writ petition under Article 32, alleged that her twenty-two-year-old son had died of injuries inflicted upon him while in police custody, and that the police version attributing his death to an escape and a subsequent train accident was false.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Supreme Court or a High Court could award monetary compensation directly in a proceeding under Article 32 or Article 226 for a custodial death amounting to a breach of Article 21, independently of any ordinary civil remedy in tort.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Finding that the death had indeed occurred in custody as a result of police violence, the Supreme Court held that the defence of sovereign immunity available in a private law action for damages has no application to a claim in public law for compensation arising from a breach of Fundamental Rights by the State, and awarded compensation directly to the petitioner, establishing compensatory relief as an established remedy under Articles 32 and 226 in appropriate cases of custodial violence.</w:t>
      </w:r>
    </w:p>
    <w:p>
      <w:pPr>
        <w:spacing w:after="40" w:before="200" w:line="240" w:lineRule="auto"/>
        <w:ind w:left="567" w:right="567"/>
      </w:pPr>
      <w:r>
        <w:rPr>
          <w:rFonts w:ascii="Calibri" w:cs="Calibri" w:eastAsia="Calibri" w:hAnsi="Calibri"/>
          <w:b/>
          <w:bCs/>
          <w:i w:val="false"/>
          <w:iCs w:val="false"/>
          <w:color w:val="000000"/>
          <w:sz w:val="28"/>
          <w:szCs w:val="28"/>
        </w:rPr>
        <w:t xml:space="preserve">Vishaka v. State of Rajasthan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1997 SC 3011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case was brought by a group of social activists and non-governmental organisations following the alleged gang rape of a social worker in Rajasthan, against the backdrop of a complete absence of domestic legislation on sexual harassment of women at the workplace.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 the absence of specific legislation, the guarantees of equality under Article 14, of the freedom to practise any profession under Article 19(1)(g), and of life and personal liberty under Article 21, could be used to frame enforceable safeguards against workplace sexual harassment.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drawing on India’s obligations under international conventions, laid down detailed guidelines, since known as the Vishaka Guidelines, requiring every employer to prevent and redress sexual harassment at the workplace, and directed that these guidelines would have the force of law under Article 141 until Parliament legislated on the subject, which it eventually did through the Sexual Harassment of Women at Workplace (Prevention, Prohibition and Redressal) Act, 2013.</w:t>
      </w:r>
    </w:p>
    <w:p>
      <w:pPr>
        <w:spacing w:after="40" w:before="200" w:line="240" w:lineRule="auto"/>
        <w:ind w:left="567" w:right="567"/>
      </w:pPr>
      <w:r>
        <w:rPr>
          <w:rFonts w:ascii="Calibri" w:cs="Calibri" w:eastAsia="Calibri" w:hAnsi="Calibri"/>
          <w:b/>
          <w:bCs/>
          <w:i w:val="false"/>
          <w:iCs w:val="false"/>
          <w:color w:val="000000"/>
          <w:sz w:val="28"/>
          <w:szCs w:val="28"/>
        </w:rPr>
        <w:t xml:space="preserve">Justice K.S. Puttaswamy (Retd.)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10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challenge to the constitutional validity of the Aadhaar biometric identification scheme required the Court first to settle a preliminary question on which earlier Benches had expressed conflicting views: whether the Constitution guarantees a fundamental right to privacy at all.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privacy is a Fundamental Right protected under Part III of the Constitution, and if so, under which provisions it is located.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nine-judge Bench unanimously held that the right to privacy is intrinsic to the right to life and personal liberty under Article 21 and to the other freedoms guaranteed by Part III, expressly overruled the contrary observations in M.P. Sharma and Kharak Singh, and disapproved the reasoning of the majority in ADM Jabalpur, marking one of the most significant expansions of Fundamental Rights since Maneka Gandhi.</w:t>
      </w:r>
    </w:p>
    <w:p>
      <w:pPr>
        <w:spacing w:after="40" w:before="200" w:line="240" w:lineRule="auto"/>
        <w:ind w:left="567" w:right="567"/>
      </w:pPr>
      <w:r>
        <w:rPr>
          <w:rFonts w:ascii="Calibri" w:cs="Calibri" w:eastAsia="Calibri" w:hAnsi="Calibri"/>
          <w:b/>
          <w:bCs/>
          <w:i w:val="false"/>
          <w:iCs w:val="false"/>
          <w:color w:val="000000"/>
          <w:sz w:val="28"/>
          <w:szCs w:val="28"/>
        </w:rPr>
        <w:t xml:space="preserve">L. Chandra Kumar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(1997) 3 SCC 261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validity of Articles 323A and 323B, inserted by the Forty-second Amendment to permit the constitution of administrative tribunals, was challenged on the ground that accompanying provisions excluded the jurisdiction of the High Courts under Articles 226 and 227 and confined any further appeal to the Supreme Court under Article 136 alone.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exclude the writ jurisdiction of the High Courts over tribunal decisions, and whether such tribunals could function as complete substitutes for the High Courts in exercising the power of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seven-judge Bench held that the power of judicial review vested in the High Courts under Articles 226 and 227 and in the Supreme Court under Article 32 forms part of the Basic Structure of the Constitution and cannot be ousted even by constitutional amendment. While upholding the tribunals as a supplementary, rather than a substitutional, mechanism, the Court directed that their decisions would remain subject to scrutiny by a Division Bench of the jurisdictional High Court, preserving the writ courts as the ultimate guardians of constitutional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11.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Right to Constitutional Remedies converts the promises of Part III into enforceable law. Articles 32 and 226 do this by giving every person direct, simplified access to a constitutional court, by equipping that court with five flexible writs adapted from English practice but reshaped to Indian conditions, and by treating judicial review itself as a feature of the Constitution that no ordinary amendment can remove. The expansion of Public Interest Litigation since the late 1970s has carried this guarantee further than the framers could have anticipated, extending constitutional protection to prisoners, bonded labourers, women at the workplace and countless others who would otherwise have had no practical means of approaching a court.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experience of the Emergency of 1975 to 1977, and the Forty-fourth Amendment's response to it, stand as a reminder of how fragile these guarantees can become when judicial review is allowed to lapse, and of why the Supreme Court has since insisted, through Kesavananda Bharati and the line of cases that followed it, that the basic structure of the Constitution, including the writ jurisdiction itself, lies beyond the reach of any future amendment. Dr. Ambedkar's description of Article 32 as the heart and soul of the Constitution has, in this sense, been borne out by seven decades of constitutional practice: it remains the provision that makes every other right in Part III worth having.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2026-06-30T18:58:23.452Z</dcterms:created>
  <dcterms:modified xsi:type="dcterms:W3CDTF">2026-06-30T18:58:23.452Z</dcterms:modified>
</cp:coreProperties>
</file>

<file path=docProps/custom.xml><?xml version="1.0" encoding="utf-8"?>
<Properties xmlns="http://schemas.openxmlformats.org/officeDocument/2006/custom-properties" xmlns:vt="http://schemas.openxmlformats.org/officeDocument/2006/docPropsVTypes"/>
</file>