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44"/>
          <w:szCs w:val="44"/>
        </w:rPr>
        <w:t xml:space="preserve">CLAT Passage Source Analysis</w:t>
      </w:r>
    </w:p>
    <w:p>
      <w:pPr>
        <w:spacing w:after="200"/>
        <w:jc w:val="center"/>
      </w:pPr>
      <w:r>
        <w:rPr>
          <w:sz w:val="28"/>
          <w:szCs w:val="28"/>
        </w:rPr>
        <w:t xml:space="preserve">Source Analysis of Reading Passages</w:t>
      </w:r>
    </w:p>
    <w:p>
      <w:pPr>
        <w:spacing w:after="160"/>
      </w:pPr>
      <w:r>
        <w:rPr>
          <w:b/>
          <w:bCs/>
          <w:sz w:val="22"/>
          <w:szCs w:val="22"/>
        </w:rPr>
        <w:t xml:space="preserve">CLAT (UG) 2025, CLAT (UG) 2024, CLAT (UG) 2023, CLAT (UG) 2022, CLAT (UG) 2021 and CLAT (UG) 2020 Question Papers</w:t>
      </w:r>
    </w:p>
    <w:p>
      <w:pPr>
        <w:spacing w:after="240"/>
      </w:pPr>
      <w:r>
        <w:rPr>
          <w:i/>
          <w:iCs/>
        </w:rPr>
        <w:t xml:space="preserve">A subject-wise breakdown of the original source for each comprehension passage</w:t>
      </w:r>
    </w:p>
    <w:p>
      <w:pPr>
        <w:pStyle w:val="Heading1"/>
      </w:pPr>
      <w:r>
        <w:t xml:space="preserve">Introduction</w:t>
      </w:r>
    </w:p>
    <w:p>
      <w:pPr>
        <w:spacing w:after="200"/>
      </w:pPr>
      <w:r>
        <w:t xml:space="preserve">This document identifies the original source of every reading passage used in the CLAT (UG) 2025, CLAT (UG) 2024, CLAT (UG) 2023, CLAT (UG) 2022, CLAT (UG) 2021 and CLAT (UG) 2020 question papers, organised subject-wise as they appear in each paper. Passages drawn from published books, news articles, official speeches, and government documents are attributed to their named author, publication, and date wherever indicated in the question paper. Passages that were evidently composed by the paper-setters for testing purposes (typical of Logical Reasoning, Legal Reasoning, and Quantitative Techniques sections) are marked accordingly, since no external source was cited.</w:t>
      </w:r>
    </w:p>
    <w:p>
      <w:pPr>
        <w:spacing w:after="200"/>
      </w:pPr>
      <w:r>
        <w:t xml:space="preserve">Note on the 2023 and 2022 papers: unlike the 2025 and 2024 papers, the 2023 and 2022 question booklets generally did not print attribution lines beneath each passage. Sources for the English Language and Current Affairs passages in these two years have therefore been identified independently from the passage text itself (matching phrasing, named individuals, and described events to their original published source), while passages in the Legal Reasoning, Logical Reasoning and Quantitative Techniques sections of 2023 and 2022 — consistent with the pattern observed in 2025 and 2024 — are predominantly composed/explanatory passages written by the paper-setters.</w:t>
      </w:r>
    </w:p>
    <w:p>
      <w:pPr>
        <w:spacing w:after="200"/>
      </w:pPr>
      <w:r>
        <w:t xml:space="preserve">Note on the 2021 and 2020 papers: the CLAT 2020 question booklet is distinctive in that it frequently prints the source citation directly beneath each Current Affairs, Legal Reasoning and Logical Reasoning passage (e.g., "Excerpt from The Hindu, written by..."), making attribution for that year unusually reliable and explicit — closer to the 2025/2024 pattern than to 2023/2022. The CLAT 2021 booklet, by contrast, did not print attribution lines, so its English Language, Current Affairs and Logical Reasoning sources have been identified from internal textual evidence (named authors quoted within the text, such as Arthur Conan Doyle, G.K. Chesterton's Father Brown and Agatha Christie's Poirot, or David Malone's "Does the Elephant Dance?"; cited reports such as the Boston Consulting Group/Michael &amp; Susan Dell Foundation study and the McKinsey "Climate risk and response in Asia" report; and described real-world events such as the Galwan Valley clash and the Tso Kar wetland designation), while its Legal Reasoning passages, Logical Reasoning data passages and Quantitative Techniques sections are predominantly composed/explanatory passages written by the paper-setters, consistent with the pattern observed in other years.</w:t>
      </w:r>
    </w:p>
    <w:p>
      <w:pPr>
        <w:pStyle w:val="Heading1"/>
        <w:pageBreakBefore/>
      </w:pPr>
      <w:r>
        <w:t xml:space="preserve">CLAT (UG) 2025</w:t>
      </w:r>
    </w:p>
    <w:p>
      <w:pPr>
        <w:pStyle w:val="Heading2"/>
      </w:pPr>
      <w:r>
        <w:t xml:space="preserve">English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999999" w:sz="2"/>
              <w:left w:val="single" w:color="999999" w:sz="2"/>
              <w:bottom w:val="single" w:color="999999" w:sz="2"/>
              <w:right w:val="single" w:color="999999" w:sz="2"/>
            </w:tcBorders>
            <w:shd w:fill="1F4E5F" w:val="clear"/>
            <w:tcMar>
              <w:top w:type="dxa" w:w="80"/>
              <w:left w:type="dxa" w:w="120"/>
              <w:bottom w:type="dxa" w:w="80"/>
              <w:right w:type="dxa" w:w="120"/>
            </w:tcMar>
          </w:tcPr>
          <w:p>
            <w:r>
              <w:rPr>
                <w:b/>
                <w:bCs/>
                <w:color w:val="FFFFFF"/>
                <w:sz w:val="19"/>
                <w:szCs w:val="19"/>
              </w:rPr>
              <w:t xml:space="preserve">Passage</w:t>
            </w:r>
          </w:p>
        </w:tc>
        <w:tc>
          <w:tcPr>
            <w:tcW w:type="dxa" w:w="3000"/>
            <w:tcBorders>
              <w:top w:val="single" w:color="999999" w:sz="2"/>
              <w:left w:val="single" w:color="999999" w:sz="2"/>
              <w:bottom w:val="single" w:color="999999" w:sz="2"/>
              <w:right w:val="single" w:color="999999" w:sz="2"/>
            </w:tcBorders>
            <w:shd w:fill="1F4E5F" w:val="clear"/>
            <w:tcMar>
              <w:top w:type="dxa" w:w="80"/>
              <w:left w:type="dxa" w:w="120"/>
              <w:bottom w:type="dxa" w:w="80"/>
              <w:right w:type="dxa" w:w="120"/>
            </w:tcMar>
          </w:tcPr>
          <w:p>
            <w:r>
              <w:rPr>
                <w:b/>
                <w:bCs/>
                <w:color w:val="FFFFFF"/>
                <w:sz w:val="19"/>
                <w:szCs w:val="19"/>
              </w:rPr>
              <w:t xml:space="preserve">Subject / Topic</w:t>
            </w:r>
          </w:p>
        </w:tc>
        <w:tc>
          <w:tcPr>
            <w:tcW w:type="dxa" w:w="4860"/>
            <w:tcBorders>
              <w:top w:val="single" w:color="999999" w:sz="2"/>
              <w:left w:val="single" w:color="999999" w:sz="2"/>
              <w:bottom w:val="single" w:color="999999" w:sz="2"/>
              <w:right w:val="single" w:color="999999" w:sz="2"/>
            </w:tcBorders>
            <w:shd w:fill="1F4E5F" w:val="clear"/>
            <w:tcMar>
              <w:top w:type="dxa" w:w="80"/>
              <w:left w:type="dxa" w:w="120"/>
              <w:bottom w:type="dxa" w:w="80"/>
              <w:right w:type="dxa" w:w="120"/>
            </w:tcMar>
          </w:tcPr>
          <w:p>
            <w:r>
              <w:rPr>
                <w:b/>
                <w:bCs/>
                <w:color w:val="FFFFFF"/>
                <w:sz w:val="19"/>
                <w:szCs w:val="19"/>
              </w:rPr>
              <w:t xml:space="preserve">Source</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Reflection on motives for writing</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George Orwell, “Why I Write” (essay)</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II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On the true meaning and goal of education</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Swami Vivekananda, “Education” (essay/lecture)</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III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The astrologer and the marketplace</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R.K. Narayan, “An Astrologer’s Day” (short story)</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IV</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The right approach to educating a child</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J. Krishnamurti, “The Right Kind of Education”</w:t>
            </w:r>
          </w:p>
        </w:tc>
      </w:tr>
    </w:tbl>
    <w:p>
      <w:pPr>
        <w:spacing w:after="200"/>
      </w:pPr>
    </w:p>
    <w:p>
      <w:pPr>
        <w:pStyle w:val="Heading2"/>
      </w:pPr>
      <w:r>
        <w:t xml:space="preserve">Current Affairs Including General Knowledge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999999" w:sz="2"/>
              <w:left w:val="single" w:color="999999" w:sz="2"/>
              <w:bottom w:val="single" w:color="999999" w:sz="2"/>
              <w:right w:val="single" w:color="999999" w:sz="2"/>
            </w:tcBorders>
            <w:shd w:fill="1F4E5F" w:val="clear"/>
            <w:tcMar>
              <w:top w:type="dxa" w:w="80"/>
              <w:left w:type="dxa" w:w="120"/>
              <w:bottom w:type="dxa" w:w="80"/>
              <w:right w:type="dxa" w:w="120"/>
            </w:tcMar>
          </w:tcPr>
          <w:p>
            <w:r>
              <w:rPr>
                <w:b/>
                <w:bCs/>
                <w:color w:val="FFFFFF"/>
                <w:sz w:val="19"/>
                <w:szCs w:val="19"/>
              </w:rPr>
              <w:t xml:space="preserve">Passage</w:t>
            </w:r>
          </w:p>
        </w:tc>
        <w:tc>
          <w:tcPr>
            <w:tcW w:type="dxa" w:w="3000"/>
            <w:tcBorders>
              <w:top w:val="single" w:color="999999" w:sz="2"/>
              <w:left w:val="single" w:color="999999" w:sz="2"/>
              <w:bottom w:val="single" w:color="999999" w:sz="2"/>
              <w:right w:val="single" w:color="999999" w:sz="2"/>
            </w:tcBorders>
            <w:shd w:fill="1F4E5F" w:val="clear"/>
            <w:tcMar>
              <w:top w:type="dxa" w:w="80"/>
              <w:left w:type="dxa" w:w="120"/>
              <w:bottom w:type="dxa" w:w="80"/>
              <w:right w:type="dxa" w:w="120"/>
            </w:tcMar>
          </w:tcPr>
          <w:p>
            <w:r>
              <w:rPr>
                <w:b/>
                <w:bCs/>
                <w:color w:val="FFFFFF"/>
                <w:sz w:val="19"/>
                <w:szCs w:val="19"/>
              </w:rPr>
              <w:t xml:space="preserve">Subject / Topic</w:t>
            </w:r>
          </w:p>
        </w:tc>
        <w:tc>
          <w:tcPr>
            <w:tcW w:type="dxa" w:w="4860"/>
            <w:tcBorders>
              <w:top w:val="single" w:color="999999" w:sz="2"/>
              <w:left w:val="single" w:color="999999" w:sz="2"/>
              <w:bottom w:val="single" w:color="999999" w:sz="2"/>
              <w:right w:val="single" w:color="999999" w:sz="2"/>
            </w:tcBorders>
            <w:shd w:fill="1F4E5F" w:val="clear"/>
            <w:tcMar>
              <w:top w:type="dxa" w:w="80"/>
              <w:left w:type="dxa" w:w="120"/>
              <w:bottom w:type="dxa" w:w="80"/>
              <w:right w:type="dxa" w:w="120"/>
            </w:tcMar>
          </w:tcPr>
          <w:p>
            <w:r>
              <w:rPr>
                <w:b/>
                <w:bCs/>
                <w:color w:val="FFFFFF"/>
                <w:sz w:val="19"/>
                <w:szCs w:val="19"/>
              </w:rPr>
              <w:t xml:space="preserve">Source</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V</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16th BRICS Summit – India-China-Russia diplomacy</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Vladimir Soldatkin &amp; Guy Faulconbridge, “Putin scores a BRICS win with rare Xi and Modi show of harmony,” Reuters, 23 Oct 2024</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VI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Abrogation of Article 370 and J&amp;K reorganisation</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Press Information Bureau (Union Home Ministry) release, 2 Nov 2019</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VII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Nari Shakti Vandan Adhiniyam, 2023 and women’s representation</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Cites Rudolf C. Heredia, “Holding Up Half the Sky: Reservations for Women in India” (2012) and Soumya Bhowmick, “Equality versus Empowerment: Women in Indian Legislature” (2023)</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VIII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Civil Disobedience Movement and Indian industrialists/workers</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NCERT, India and the Contemporary World, Chapter II – “Nationalism in India”</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IX</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Paris Olympics 2024 – geopolitical backdrop and India’s medal tally</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NBC News, “The Olympics are nearly here. For a weary world, they can’t come soon enough”</w:t>
            </w:r>
          </w:p>
        </w:tc>
      </w:tr>
    </w:tbl>
    <w:p>
      <w:pPr>
        <w:spacing w:after="200"/>
      </w:pPr>
    </w:p>
    <w:p>
      <w:pPr>
        <w:pStyle w:val="Heading2"/>
      </w:pPr>
      <w:r>
        <w:t xml:space="preserve">Legal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999999" w:sz="2"/>
              <w:left w:val="single" w:color="999999" w:sz="2"/>
              <w:bottom w:val="single" w:color="999999" w:sz="2"/>
              <w:right w:val="single" w:color="999999" w:sz="2"/>
            </w:tcBorders>
            <w:shd w:fill="1F4E5F" w:val="clear"/>
            <w:tcMar>
              <w:top w:type="dxa" w:w="80"/>
              <w:left w:type="dxa" w:w="120"/>
              <w:bottom w:type="dxa" w:w="80"/>
              <w:right w:type="dxa" w:w="120"/>
            </w:tcMar>
          </w:tcPr>
          <w:p>
            <w:r>
              <w:rPr>
                <w:b/>
                <w:bCs/>
                <w:color w:val="FFFFFF"/>
                <w:sz w:val="19"/>
                <w:szCs w:val="19"/>
              </w:rPr>
              <w:t xml:space="preserve">Passage</w:t>
            </w:r>
          </w:p>
        </w:tc>
        <w:tc>
          <w:tcPr>
            <w:tcW w:type="dxa" w:w="3000"/>
            <w:tcBorders>
              <w:top w:val="single" w:color="999999" w:sz="2"/>
              <w:left w:val="single" w:color="999999" w:sz="2"/>
              <w:bottom w:val="single" w:color="999999" w:sz="2"/>
              <w:right w:val="single" w:color="999999" w:sz="2"/>
            </w:tcBorders>
            <w:shd w:fill="1F4E5F" w:val="clear"/>
            <w:tcMar>
              <w:top w:type="dxa" w:w="80"/>
              <w:left w:type="dxa" w:w="120"/>
              <w:bottom w:type="dxa" w:w="80"/>
              <w:right w:type="dxa" w:w="120"/>
            </w:tcMar>
          </w:tcPr>
          <w:p>
            <w:r>
              <w:rPr>
                <w:b/>
                <w:bCs/>
                <w:color w:val="FFFFFF"/>
                <w:sz w:val="19"/>
                <w:szCs w:val="19"/>
              </w:rPr>
              <w:t xml:space="preserve">Subject / Topic</w:t>
            </w:r>
          </w:p>
        </w:tc>
        <w:tc>
          <w:tcPr>
            <w:tcW w:type="dxa" w:w="4860"/>
            <w:tcBorders>
              <w:top w:val="single" w:color="999999" w:sz="2"/>
              <w:left w:val="single" w:color="999999" w:sz="2"/>
              <w:bottom w:val="single" w:color="999999" w:sz="2"/>
              <w:right w:val="single" w:color="999999" w:sz="2"/>
            </w:tcBorders>
            <w:shd w:fill="1F4E5F" w:val="clear"/>
            <w:tcMar>
              <w:top w:type="dxa" w:w="80"/>
              <w:left w:type="dxa" w:w="120"/>
              <w:bottom w:type="dxa" w:w="80"/>
              <w:right w:type="dxa" w:w="120"/>
            </w:tcMar>
          </w:tcPr>
          <w:p>
            <w:r>
              <w:rPr>
                <w:b/>
                <w:bCs/>
                <w:color w:val="FFFFFF"/>
                <w:sz w:val="19"/>
                <w:szCs w:val="19"/>
              </w:rPr>
              <w:t xml:space="preserve">Source</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Children in the criminal justice system; NCRB data</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Dr. Asha Bajpai, “Child Rights in the Criminal Justice System: Need for Law Reform,” Journal of the National Human Rights Commission, India</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42nd Amendment, environmental protection and climate justice</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The Economic Times, “Supreme Court of India bolts Right to Life with climate justice,” 6 May 2024</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XII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Void agreements vs voidable contracts (Indian Contract Act, 1872)</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“A Comparative Study of Voidable Contracts and Void Agreements” (academic article)</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XIII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Geographical Indications (GIs) and TRIPS</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Composed/explanatory passage – no specific external source cited</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XIV</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Public Examinations (Prevention of Unfair Means) Act, 2024</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The Hindu, “Act that Punishes Organized Cheating in Government Exams Comes into Effect,” 22 June 2024</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XV</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Digital Personal Data Protection Act, 2023</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Anirudh Burman, “Understanding India’s New Data Protection Law,” Carnegie India, 3 Oct 2023</w:t>
            </w:r>
          </w:p>
        </w:tc>
      </w:tr>
    </w:tbl>
    <w:p>
      <w:pPr>
        <w:spacing w:after="200"/>
      </w:pPr>
    </w:p>
    <w:p>
      <w:pPr>
        <w:pStyle w:val="Heading2"/>
      </w:pPr>
      <w:r>
        <w:t xml:space="preserve">Logical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999999" w:sz="2"/>
              <w:left w:val="single" w:color="999999" w:sz="2"/>
              <w:bottom w:val="single" w:color="999999" w:sz="2"/>
              <w:right w:val="single" w:color="999999" w:sz="2"/>
            </w:tcBorders>
            <w:shd w:fill="1F4E5F" w:val="clear"/>
            <w:tcMar>
              <w:top w:type="dxa" w:w="80"/>
              <w:left w:type="dxa" w:w="120"/>
              <w:bottom w:type="dxa" w:w="80"/>
              <w:right w:type="dxa" w:w="120"/>
            </w:tcMar>
          </w:tcPr>
          <w:p>
            <w:r>
              <w:rPr>
                <w:b/>
                <w:bCs/>
                <w:color w:val="FFFFFF"/>
                <w:sz w:val="19"/>
                <w:szCs w:val="19"/>
              </w:rPr>
              <w:t xml:space="preserve">Passage</w:t>
            </w:r>
          </w:p>
        </w:tc>
        <w:tc>
          <w:tcPr>
            <w:tcW w:type="dxa" w:w="3000"/>
            <w:tcBorders>
              <w:top w:val="single" w:color="999999" w:sz="2"/>
              <w:left w:val="single" w:color="999999" w:sz="2"/>
              <w:bottom w:val="single" w:color="999999" w:sz="2"/>
              <w:right w:val="single" w:color="999999" w:sz="2"/>
            </w:tcBorders>
            <w:shd w:fill="1F4E5F" w:val="clear"/>
            <w:tcMar>
              <w:top w:type="dxa" w:w="80"/>
              <w:left w:type="dxa" w:w="120"/>
              <w:bottom w:type="dxa" w:w="80"/>
              <w:right w:type="dxa" w:w="120"/>
            </w:tcMar>
          </w:tcPr>
          <w:p>
            <w:r>
              <w:rPr>
                <w:b/>
                <w:bCs/>
                <w:color w:val="FFFFFF"/>
                <w:sz w:val="19"/>
                <w:szCs w:val="19"/>
              </w:rPr>
              <w:t xml:space="preserve">Subject / Topic</w:t>
            </w:r>
          </w:p>
        </w:tc>
        <w:tc>
          <w:tcPr>
            <w:tcW w:type="dxa" w:w="4860"/>
            <w:tcBorders>
              <w:top w:val="single" w:color="999999" w:sz="2"/>
              <w:left w:val="single" w:color="999999" w:sz="2"/>
              <w:bottom w:val="single" w:color="999999" w:sz="2"/>
              <w:right w:val="single" w:color="999999" w:sz="2"/>
            </w:tcBorders>
            <w:shd w:fill="1F4E5F" w:val="clear"/>
            <w:tcMar>
              <w:top w:type="dxa" w:w="80"/>
              <w:left w:type="dxa" w:w="120"/>
              <w:bottom w:type="dxa" w:w="80"/>
              <w:right w:type="dxa" w:w="120"/>
            </w:tcMar>
          </w:tcPr>
          <w:p>
            <w:r>
              <w:rPr>
                <w:b/>
                <w:bCs/>
                <w:color w:val="FFFFFF"/>
                <w:sz w:val="19"/>
                <w:szCs w:val="19"/>
              </w:rPr>
              <w:t xml:space="preserve">Source</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XVI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Global homelessness and COVID-19</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Journal of Social Issues, “The impact of COVID-19 and housing insecurity on lower-income women,” 3 Oct 2022</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XVII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Role and responsibilities of a business consultant</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Composed/explanatory passage – no external source cited</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XVIII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Circular seating arrangement puzzle</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Original logic puzzle – not an excerpt</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XIX</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Lifestyle, technology and youth mental health in India</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V. Anantha Nageswaran &amp; Shailender Swaminathan, “How our lifestyle is creating an epidemic of mental ill health,” The Indian Express, 7 Sept 2024</w:t>
            </w:r>
          </w:p>
        </w:tc>
      </w:tr>
    </w:tbl>
    <w:p>
      <w:pPr>
        <w:spacing w:after="200"/>
      </w:pPr>
    </w:p>
    <w:p>
      <w:pPr>
        <w:pStyle w:val="Heading2"/>
      </w:pPr>
      <w:r>
        <w:t xml:space="preserve">Quantitative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999999" w:sz="2"/>
              <w:left w:val="single" w:color="999999" w:sz="2"/>
              <w:bottom w:val="single" w:color="999999" w:sz="2"/>
              <w:right w:val="single" w:color="999999" w:sz="2"/>
            </w:tcBorders>
            <w:shd w:fill="1F4E5F" w:val="clear"/>
            <w:tcMar>
              <w:top w:type="dxa" w:w="80"/>
              <w:left w:type="dxa" w:w="120"/>
              <w:bottom w:type="dxa" w:w="80"/>
              <w:right w:type="dxa" w:w="120"/>
            </w:tcMar>
          </w:tcPr>
          <w:p>
            <w:r>
              <w:rPr>
                <w:b/>
                <w:bCs/>
                <w:color w:val="FFFFFF"/>
                <w:sz w:val="19"/>
                <w:szCs w:val="19"/>
              </w:rPr>
              <w:t xml:space="preserve">Passage</w:t>
            </w:r>
          </w:p>
        </w:tc>
        <w:tc>
          <w:tcPr>
            <w:tcW w:type="dxa" w:w="3000"/>
            <w:tcBorders>
              <w:top w:val="single" w:color="999999" w:sz="2"/>
              <w:left w:val="single" w:color="999999" w:sz="2"/>
              <w:bottom w:val="single" w:color="999999" w:sz="2"/>
              <w:right w:val="single" w:color="999999" w:sz="2"/>
            </w:tcBorders>
            <w:shd w:fill="1F4E5F" w:val="clear"/>
            <w:tcMar>
              <w:top w:type="dxa" w:w="80"/>
              <w:left w:type="dxa" w:w="120"/>
              <w:bottom w:type="dxa" w:w="80"/>
              <w:right w:type="dxa" w:w="120"/>
            </w:tcMar>
          </w:tcPr>
          <w:p>
            <w:r>
              <w:rPr>
                <w:b/>
                <w:bCs/>
                <w:color w:val="FFFFFF"/>
                <w:sz w:val="19"/>
                <w:szCs w:val="19"/>
              </w:rPr>
              <w:t xml:space="preserve">Subject / Topic</w:t>
            </w:r>
          </w:p>
        </w:tc>
        <w:tc>
          <w:tcPr>
            <w:tcW w:type="dxa" w:w="4860"/>
            <w:tcBorders>
              <w:top w:val="single" w:color="999999" w:sz="2"/>
              <w:left w:val="single" w:color="999999" w:sz="2"/>
              <w:bottom w:val="single" w:color="999999" w:sz="2"/>
              <w:right w:val="single" w:color="999999" w:sz="2"/>
            </w:tcBorders>
            <w:shd w:fill="1F4E5F" w:val="clear"/>
            <w:tcMar>
              <w:top w:type="dxa" w:w="80"/>
              <w:left w:type="dxa" w:w="120"/>
              <w:bottom w:type="dxa" w:w="80"/>
              <w:right w:type="dxa" w:w="120"/>
            </w:tcMar>
          </w:tcPr>
          <w:p>
            <w:r>
              <w:rPr>
                <w:b/>
                <w:bCs/>
                <w:color w:val="FFFFFF"/>
                <w:sz w:val="19"/>
                <w:szCs w:val="19"/>
              </w:rPr>
              <w:t xml:space="preserve">Source</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XX</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Gender wage gap data (agriculture &amp; other sectors)</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Composed data passage referencing World Inequality Report 2022 and Ministry of Agriculture data (2020–21) – not a direct excerpt</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XXI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Mr. Das’s household budget calculation</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Original composed arithmetic-word problem – not an excerpt</w:t>
            </w:r>
          </w:p>
        </w:tc>
      </w:tr>
    </w:tbl>
    <w:p>
      <w:pPr>
        <w:spacing w:after="200"/>
      </w:pPr>
    </w:p>
    <w:p>
      <w:pPr>
        <w:pStyle w:val="Heading1"/>
        <w:pageBreakBefore/>
      </w:pPr>
      <w:r>
        <w:t xml:space="preserve">CLAT (UG) 2024</w:t>
      </w:r>
    </w:p>
    <w:p>
      <w:pPr>
        <w:pStyle w:val="Heading2"/>
      </w:pPr>
      <w:r>
        <w:t xml:space="preserve">English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999999" w:sz="2"/>
              <w:left w:val="single" w:color="999999" w:sz="2"/>
              <w:bottom w:val="single" w:color="999999" w:sz="2"/>
              <w:right w:val="single" w:color="999999" w:sz="2"/>
            </w:tcBorders>
            <w:shd w:fill="1F4E5F" w:val="clear"/>
            <w:tcMar>
              <w:top w:type="dxa" w:w="80"/>
              <w:left w:type="dxa" w:w="120"/>
              <w:bottom w:type="dxa" w:w="80"/>
              <w:right w:type="dxa" w:w="120"/>
            </w:tcMar>
          </w:tcPr>
          <w:p>
            <w:r>
              <w:rPr>
                <w:b/>
                <w:bCs/>
                <w:color w:val="FFFFFF"/>
                <w:sz w:val="19"/>
                <w:szCs w:val="19"/>
              </w:rPr>
              <w:t xml:space="preserve">Passage</w:t>
            </w:r>
          </w:p>
        </w:tc>
        <w:tc>
          <w:tcPr>
            <w:tcW w:type="dxa" w:w="3000"/>
            <w:tcBorders>
              <w:top w:val="single" w:color="999999" w:sz="2"/>
              <w:left w:val="single" w:color="999999" w:sz="2"/>
              <w:bottom w:val="single" w:color="999999" w:sz="2"/>
              <w:right w:val="single" w:color="999999" w:sz="2"/>
            </w:tcBorders>
            <w:shd w:fill="1F4E5F" w:val="clear"/>
            <w:tcMar>
              <w:top w:type="dxa" w:w="80"/>
              <w:left w:type="dxa" w:w="120"/>
              <w:bottom w:type="dxa" w:w="80"/>
              <w:right w:type="dxa" w:w="120"/>
            </w:tcMar>
          </w:tcPr>
          <w:p>
            <w:r>
              <w:rPr>
                <w:b/>
                <w:bCs/>
                <w:color w:val="FFFFFF"/>
                <w:sz w:val="19"/>
                <w:szCs w:val="19"/>
              </w:rPr>
              <w:t xml:space="preserve">Subject / Topic</w:t>
            </w:r>
          </w:p>
        </w:tc>
        <w:tc>
          <w:tcPr>
            <w:tcW w:type="dxa" w:w="4860"/>
            <w:tcBorders>
              <w:top w:val="single" w:color="999999" w:sz="2"/>
              <w:left w:val="single" w:color="999999" w:sz="2"/>
              <w:bottom w:val="single" w:color="999999" w:sz="2"/>
              <w:right w:val="single" w:color="999999" w:sz="2"/>
            </w:tcBorders>
            <w:shd w:fill="1F4E5F" w:val="clear"/>
            <w:tcMar>
              <w:top w:type="dxa" w:w="80"/>
              <w:left w:type="dxa" w:w="120"/>
              <w:bottom w:type="dxa" w:w="80"/>
              <w:right w:type="dxa" w:w="120"/>
            </w:tcMar>
          </w:tcPr>
          <w:p>
            <w:r>
              <w:rPr>
                <w:b/>
                <w:bCs/>
                <w:color w:val="FFFFFF"/>
                <w:sz w:val="19"/>
                <w:szCs w:val="19"/>
              </w:rPr>
              <w:t xml:space="preserve">Source</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Interplay between character and setting in literature</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Composed/original essay referencing Jhumpa Lahiri’s The Namesake, Arundhati Roy’s The God of Small Things, and Shakespeare’s Macbeth – not a direct single-source excerpt</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II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Crisis of access to justice for the middle class and the poor in India</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G. Mohan Gopal, “Justice and the Two Ideas of India,” Frontline</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III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Protagonist’s solitude and connection with nature at Carignano</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Anita Desai, “Fire on the Mountain” (novel)</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IV</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Survey of English literature across eras</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Composed/original overview essay – not a direct excerpt from a single named source</w:t>
            </w:r>
          </w:p>
        </w:tc>
      </w:tr>
    </w:tbl>
    <w:p>
      <w:pPr>
        <w:spacing w:after="200"/>
      </w:pPr>
    </w:p>
    <w:p>
      <w:pPr>
        <w:pStyle w:val="Heading2"/>
      </w:pPr>
      <w:r>
        <w:t xml:space="preserve">Current Affairs Including General Knowledge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999999" w:sz="2"/>
              <w:left w:val="single" w:color="999999" w:sz="2"/>
              <w:bottom w:val="single" w:color="999999" w:sz="2"/>
              <w:right w:val="single" w:color="999999" w:sz="2"/>
            </w:tcBorders>
            <w:shd w:fill="1F4E5F" w:val="clear"/>
            <w:tcMar>
              <w:top w:type="dxa" w:w="80"/>
              <w:left w:type="dxa" w:w="120"/>
              <w:bottom w:type="dxa" w:w="80"/>
              <w:right w:type="dxa" w:w="120"/>
            </w:tcMar>
          </w:tcPr>
          <w:p>
            <w:r>
              <w:rPr>
                <w:b/>
                <w:bCs/>
                <w:color w:val="FFFFFF"/>
                <w:sz w:val="19"/>
                <w:szCs w:val="19"/>
              </w:rPr>
              <w:t xml:space="preserve">Passage</w:t>
            </w:r>
          </w:p>
        </w:tc>
        <w:tc>
          <w:tcPr>
            <w:tcW w:type="dxa" w:w="3000"/>
            <w:tcBorders>
              <w:top w:val="single" w:color="999999" w:sz="2"/>
              <w:left w:val="single" w:color="999999" w:sz="2"/>
              <w:bottom w:val="single" w:color="999999" w:sz="2"/>
              <w:right w:val="single" w:color="999999" w:sz="2"/>
            </w:tcBorders>
            <w:shd w:fill="1F4E5F" w:val="clear"/>
            <w:tcMar>
              <w:top w:type="dxa" w:w="80"/>
              <w:left w:type="dxa" w:w="120"/>
              <w:bottom w:type="dxa" w:w="80"/>
              <w:right w:type="dxa" w:w="120"/>
            </w:tcMar>
          </w:tcPr>
          <w:p>
            <w:r>
              <w:rPr>
                <w:b/>
                <w:bCs/>
                <w:color w:val="FFFFFF"/>
                <w:sz w:val="19"/>
                <w:szCs w:val="19"/>
              </w:rPr>
              <w:t xml:space="preserve">Subject / Topic</w:t>
            </w:r>
          </w:p>
        </w:tc>
        <w:tc>
          <w:tcPr>
            <w:tcW w:type="dxa" w:w="4860"/>
            <w:tcBorders>
              <w:top w:val="single" w:color="999999" w:sz="2"/>
              <w:left w:val="single" w:color="999999" w:sz="2"/>
              <w:bottom w:val="single" w:color="999999" w:sz="2"/>
              <w:right w:val="single" w:color="999999" w:sz="2"/>
            </w:tcBorders>
            <w:shd w:fill="1F4E5F" w:val="clear"/>
            <w:tcMar>
              <w:top w:type="dxa" w:w="80"/>
              <w:left w:type="dxa" w:w="120"/>
              <w:bottom w:type="dxa" w:w="80"/>
              <w:right w:type="dxa" w:w="120"/>
            </w:tcMar>
          </w:tcPr>
          <w:p>
            <w:r>
              <w:rPr>
                <w:b/>
                <w:bCs/>
                <w:color w:val="FFFFFF"/>
                <w:sz w:val="19"/>
                <w:szCs w:val="19"/>
              </w:rPr>
              <w:t xml:space="preserve">Source</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V</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Jallianwala Bagh Massacre, 1919</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Col. Wedgwood, MP – speech in the British Parliament, 22 December 1919</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VI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Israel-Hamas conflict, October 2023</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Composed current-affairs passage – no single named source cited</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VII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Chandrayaan-3 Moon landing</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Speech by Prime Minister Narendra Modi on the landing of Chandrayaan-3, 26 August 2023</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VIII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18th G20 Summit, New Delhi, 2023</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Hindustan Times, “India gears up for G20 Summit: Check event venue, guest list, special invitees”</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IX</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Equality, democracy and the working of the Constitution</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Dr. B.R. Ambedkar’s address to the Constituent Assembly, 25 November 1949</w:t>
            </w:r>
          </w:p>
        </w:tc>
      </w:tr>
    </w:tbl>
    <w:p>
      <w:pPr>
        <w:spacing w:after="200"/>
      </w:pPr>
    </w:p>
    <w:p>
      <w:pPr>
        <w:pStyle w:val="Heading2"/>
      </w:pPr>
      <w:r>
        <w:t xml:space="preserve">Legal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999999" w:sz="2"/>
              <w:left w:val="single" w:color="999999" w:sz="2"/>
              <w:bottom w:val="single" w:color="999999" w:sz="2"/>
              <w:right w:val="single" w:color="999999" w:sz="2"/>
            </w:tcBorders>
            <w:shd w:fill="1F4E5F" w:val="clear"/>
            <w:tcMar>
              <w:top w:type="dxa" w:w="80"/>
              <w:left w:type="dxa" w:w="120"/>
              <w:bottom w:type="dxa" w:w="80"/>
              <w:right w:type="dxa" w:w="120"/>
            </w:tcMar>
          </w:tcPr>
          <w:p>
            <w:r>
              <w:rPr>
                <w:b/>
                <w:bCs/>
                <w:color w:val="FFFFFF"/>
                <w:sz w:val="19"/>
                <w:szCs w:val="19"/>
              </w:rPr>
              <w:t xml:space="preserve">Passage</w:t>
            </w:r>
          </w:p>
        </w:tc>
        <w:tc>
          <w:tcPr>
            <w:tcW w:type="dxa" w:w="3000"/>
            <w:tcBorders>
              <w:top w:val="single" w:color="999999" w:sz="2"/>
              <w:left w:val="single" w:color="999999" w:sz="2"/>
              <w:bottom w:val="single" w:color="999999" w:sz="2"/>
              <w:right w:val="single" w:color="999999" w:sz="2"/>
            </w:tcBorders>
            <w:shd w:fill="1F4E5F" w:val="clear"/>
            <w:tcMar>
              <w:top w:type="dxa" w:w="80"/>
              <w:left w:type="dxa" w:w="120"/>
              <w:bottom w:type="dxa" w:w="80"/>
              <w:right w:type="dxa" w:w="120"/>
            </w:tcMar>
          </w:tcPr>
          <w:p>
            <w:r>
              <w:rPr>
                <w:b/>
                <w:bCs/>
                <w:color w:val="FFFFFF"/>
                <w:sz w:val="19"/>
                <w:szCs w:val="19"/>
              </w:rPr>
              <w:t xml:space="preserve">Subject / Topic</w:t>
            </w:r>
          </w:p>
        </w:tc>
        <w:tc>
          <w:tcPr>
            <w:tcW w:type="dxa" w:w="4860"/>
            <w:tcBorders>
              <w:top w:val="single" w:color="999999" w:sz="2"/>
              <w:left w:val="single" w:color="999999" w:sz="2"/>
              <w:bottom w:val="single" w:color="999999" w:sz="2"/>
              <w:right w:val="single" w:color="999999" w:sz="2"/>
            </w:tcBorders>
            <w:shd w:fill="1F4E5F" w:val="clear"/>
            <w:tcMar>
              <w:top w:type="dxa" w:w="80"/>
              <w:left w:type="dxa" w:w="120"/>
              <w:bottom w:type="dxa" w:w="80"/>
              <w:right w:type="dxa" w:w="120"/>
            </w:tcMar>
          </w:tcPr>
          <w:p>
            <w:r>
              <w:rPr>
                <w:b/>
                <w:bCs/>
                <w:color w:val="FFFFFF"/>
                <w:sz w:val="19"/>
                <w:szCs w:val="19"/>
              </w:rPr>
              <w:t xml:space="preserve">Source</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Juvenile Justice (Care and Protection of Children) Act, 2015</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Composed/explanatory passage – no external source cited</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Online defamation and intermediary liability in India</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Composed/explanatory passage referencing Shreya Singhal v. Union of India – no external source cited</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XII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Press and Registration of Periodicals (PRP) Bill, 2023</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The Telegraph, “Editors Guild of India expresses concern over draconian provisions of the Press and Registration of Periodicals Bills, 2023,” 7 Aug 2023</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XIII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Digital Personal Data Protection Act (DPDPA), 2023 – government exemptions</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The Wire, “Digital Personal Data Protection Law Raises Questions About Consistency with Right to Privacy Ruling,” 22 Aug 2023</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XIV</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Inheritance rights of children from void/voidable marriages</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Krishnadas Rajagopal, “Children from void, voidable marriages entitled to parents’ share in ancestral property: Supreme Court,” The Hindu</w:t>
            </w:r>
          </w:p>
        </w:tc>
      </w:tr>
    </w:tbl>
    <w:p>
      <w:pPr>
        <w:spacing w:after="200"/>
      </w:pPr>
    </w:p>
    <w:p>
      <w:pPr>
        <w:pStyle w:val="Heading2"/>
      </w:pPr>
      <w:r>
        <w:t xml:space="preserve">Logical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999999" w:sz="2"/>
              <w:left w:val="single" w:color="999999" w:sz="2"/>
              <w:bottom w:val="single" w:color="999999" w:sz="2"/>
              <w:right w:val="single" w:color="999999" w:sz="2"/>
            </w:tcBorders>
            <w:shd w:fill="1F4E5F" w:val="clear"/>
            <w:tcMar>
              <w:top w:type="dxa" w:w="80"/>
              <w:left w:type="dxa" w:w="120"/>
              <w:bottom w:type="dxa" w:w="80"/>
              <w:right w:type="dxa" w:w="120"/>
            </w:tcMar>
          </w:tcPr>
          <w:p>
            <w:r>
              <w:rPr>
                <w:b/>
                <w:bCs/>
                <w:color w:val="FFFFFF"/>
                <w:sz w:val="19"/>
                <w:szCs w:val="19"/>
              </w:rPr>
              <w:t xml:space="preserve">Passage</w:t>
            </w:r>
          </w:p>
        </w:tc>
        <w:tc>
          <w:tcPr>
            <w:tcW w:type="dxa" w:w="3000"/>
            <w:tcBorders>
              <w:top w:val="single" w:color="999999" w:sz="2"/>
              <w:left w:val="single" w:color="999999" w:sz="2"/>
              <w:bottom w:val="single" w:color="999999" w:sz="2"/>
              <w:right w:val="single" w:color="999999" w:sz="2"/>
            </w:tcBorders>
            <w:shd w:fill="1F4E5F" w:val="clear"/>
            <w:tcMar>
              <w:top w:type="dxa" w:w="80"/>
              <w:left w:type="dxa" w:w="120"/>
              <w:bottom w:type="dxa" w:w="80"/>
              <w:right w:type="dxa" w:w="120"/>
            </w:tcMar>
          </w:tcPr>
          <w:p>
            <w:r>
              <w:rPr>
                <w:b/>
                <w:bCs/>
                <w:color w:val="FFFFFF"/>
                <w:sz w:val="19"/>
                <w:szCs w:val="19"/>
              </w:rPr>
              <w:t xml:space="preserve">Subject / Topic</w:t>
            </w:r>
          </w:p>
        </w:tc>
        <w:tc>
          <w:tcPr>
            <w:tcW w:type="dxa" w:w="4860"/>
            <w:tcBorders>
              <w:top w:val="single" w:color="999999" w:sz="2"/>
              <w:left w:val="single" w:color="999999" w:sz="2"/>
              <w:bottom w:val="single" w:color="999999" w:sz="2"/>
              <w:right w:val="single" w:color="999999" w:sz="2"/>
            </w:tcBorders>
            <w:shd w:fill="1F4E5F" w:val="clear"/>
            <w:tcMar>
              <w:top w:type="dxa" w:w="80"/>
              <w:left w:type="dxa" w:w="120"/>
              <w:bottom w:type="dxa" w:w="80"/>
              <w:right w:type="dxa" w:w="120"/>
            </w:tcMar>
          </w:tcPr>
          <w:p>
            <w:r>
              <w:rPr>
                <w:b/>
                <w:bCs/>
                <w:color w:val="FFFFFF"/>
                <w:sz w:val="19"/>
                <w:szCs w:val="19"/>
              </w:rPr>
              <w:t xml:space="preserve">Source</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XV</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Reflective essay on the nature and power of words</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Original reflective/literary passage – author not explicitly named in the extract</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XVI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India’s position in global AI development and regulation</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Times of India, “First, get the tech: Unless India develops domestic AI heft, it wouldn’t play any meaningful part in global regulatory efforts”</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XVII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Consultant case study – manufacturing efficiency decline</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Composed case-study passage – not a direct excerpt</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XVIII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Kota coaching institutes, student suicides and the “tyranny of merit”</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Akash Kumar, “Kota suicides: Coaching institutes manufacture insecurity — moving beyond the tyranny of merit might help,” The Indian Express, 2 Sept 2023</w:t>
            </w:r>
          </w:p>
        </w:tc>
      </w:tr>
    </w:tbl>
    <w:p>
      <w:pPr>
        <w:spacing w:after="200"/>
      </w:pPr>
    </w:p>
    <w:p>
      <w:pPr>
        <w:pStyle w:val="Heading2"/>
      </w:pPr>
      <w:r>
        <w:t xml:space="preserve">Quantitative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999999" w:sz="2"/>
              <w:left w:val="single" w:color="999999" w:sz="2"/>
              <w:bottom w:val="single" w:color="999999" w:sz="2"/>
              <w:right w:val="single" w:color="999999" w:sz="2"/>
            </w:tcBorders>
            <w:shd w:fill="1F4E5F" w:val="clear"/>
            <w:tcMar>
              <w:top w:type="dxa" w:w="80"/>
              <w:left w:type="dxa" w:w="120"/>
              <w:bottom w:type="dxa" w:w="80"/>
              <w:right w:type="dxa" w:w="120"/>
            </w:tcMar>
          </w:tcPr>
          <w:p>
            <w:r>
              <w:rPr>
                <w:b/>
                <w:bCs/>
                <w:color w:val="FFFFFF"/>
                <w:sz w:val="19"/>
                <w:szCs w:val="19"/>
              </w:rPr>
              <w:t xml:space="preserve">Passage</w:t>
            </w:r>
          </w:p>
        </w:tc>
        <w:tc>
          <w:tcPr>
            <w:tcW w:type="dxa" w:w="3000"/>
            <w:tcBorders>
              <w:top w:val="single" w:color="999999" w:sz="2"/>
              <w:left w:val="single" w:color="999999" w:sz="2"/>
              <w:bottom w:val="single" w:color="999999" w:sz="2"/>
              <w:right w:val="single" w:color="999999" w:sz="2"/>
            </w:tcBorders>
            <w:shd w:fill="1F4E5F" w:val="clear"/>
            <w:tcMar>
              <w:top w:type="dxa" w:w="80"/>
              <w:left w:type="dxa" w:w="120"/>
              <w:bottom w:type="dxa" w:w="80"/>
              <w:right w:type="dxa" w:w="120"/>
            </w:tcMar>
          </w:tcPr>
          <w:p>
            <w:r>
              <w:rPr>
                <w:b/>
                <w:bCs/>
                <w:color w:val="FFFFFF"/>
                <w:sz w:val="19"/>
                <w:szCs w:val="19"/>
              </w:rPr>
              <w:t xml:space="preserve">Subject / Topic</w:t>
            </w:r>
          </w:p>
        </w:tc>
        <w:tc>
          <w:tcPr>
            <w:tcW w:type="dxa" w:w="4860"/>
            <w:tcBorders>
              <w:top w:val="single" w:color="999999" w:sz="2"/>
              <w:left w:val="single" w:color="999999" w:sz="2"/>
              <w:bottom w:val="single" w:color="999999" w:sz="2"/>
              <w:right w:val="single" w:color="999999" w:sz="2"/>
            </w:tcBorders>
            <w:shd w:fill="1F4E5F" w:val="clear"/>
            <w:tcMar>
              <w:top w:type="dxa" w:w="80"/>
              <w:left w:type="dxa" w:w="120"/>
              <w:bottom w:type="dxa" w:w="80"/>
              <w:right w:type="dxa" w:w="120"/>
            </w:tcMar>
          </w:tcPr>
          <w:p>
            <w:r>
              <w:rPr>
                <w:b/>
                <w:bCs/>
                <w:color w:val="FFFFFF"/>
                <w:sz w:val="19"/>
                <w:szCs w:val="19"/>
              </w:rPr>
              <w:t xml:space="preserve">Source</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XIX</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Distribution of diesel/petrol/electric cars across four states</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Original composed data passage – not an excerpt</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XX</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Survey of self-employed, casual wage and salaried workers</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Original composed data passage – not an excerpt</w:t>
            </w:r>
          </w:p>
        </w:tc>
      </w:tr>
    </w:tbl>
    <w:p>
      <w:pPr>
        <w:spacing w:after="200"/>
      </w:pPr>
    </w:p>
    <w:p>
      <w:pPr>
        <w:pStyle w:val="Heading1"/>
        <w:pageBreakBefore/>
      </w:pPr>
      <w:r>
        <w:t xml:space="preserve">CLAT (UG) 2023</w:t>
      </w:r>
    </w:p>
    <w:p>
      <w:pPr>
        <w:pStyle w:val="Heading2"/>
      </w:pPr>
      <w:r>
        <w:t xml:space="preserve">English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999999" w:sz="2"/>
              <w:left w:val="single" w:color="999999" w:sz="2"/>
              <w:bottom w:val="single" w:color="999999" w:sz="2"/>
              <w:right w:val="single" w:color="999999" w:sz="2"/>
            </w:tcBorders>
            <w:shd w:fill="1F4E5F" w:val="clear"/>
            <w:tcMar>
              <w:top w:type="dxa" w:w="80"/>
              <w:left w:type="dxa" w:w="120"/>
              <w:bottom w:type="dxa" w:w="80"/>
              <w:right w:type="dxa" w:w="120"/>
            </w:tcMar>
          </w:tcPr>
          <w:p>
            <w:r>
              <w:rPr>
                <w:b/>
                <w:bCs/>
                <w:color w:val="FFFFFF"/>
                <w:sz w:val="19"/>
                <w:szCs w:val="19"/>
              </w:rPr>
              <w:t xml:space="preserve">Passage</w:t>
            </w:r>
          </w:p>
        </w:tc>
        <w:tc>
          <w:tcPr>
            <w:tcW w:type="dxa" w:w="3000"/>
            <w:tcBorders>
              <w:top w:val="single" w:color="999999" w:sz="2"/>
              <w:left w:val="single" w:color="999999" w:sz="2"/>
              <w:bottom w:val="single" w:color="999999" w:sz="2"/>
              <w:right w:val="single" w:color="999999" w:sz="2"/>
            </w:tcBorders>
            <w:shd w:fill="1F4E5F" w:val="clear"/>
            <w:tcMar>
              <w:top w:type="dxa" w:w="80"/>
              <w:left w:type="dxa" w:w="120"/>
              <w:bottom w:type="dxa" w:w="80"/>
              <w:right w:type="dxa" w:w="120"/>
            </w:tcMar>
          </w:tcPr>
          <w:p>
            <w:r>
              <w:rPr>
                <w:b/>
                <w:bCs/>
                <w:color w:val="FFFFFF"/>
                <w:sz w:val="19"/>
                <w:szCs w:val="19"/>
              </w:rPr>
              <w:t xml:space="preserve">Subject / Topic</w:t>
            </w:r>
          </w:p>
        </w:tc>
        <w:tc>
          <w:tcPr>
            <w:tcW w:type="dxa" w:w="4860"/>
            <w:tcBorders>
              <w:top w:val="single" w:color="999999" w:sz="2"/>
              <w:left w:val="single" w:color="999999" w:sz="2"/>
              <w:bottom w:val="single" w:color="999999" w:sz="2"/>
              <w:right w:val="single" w:color="999999" w:sz="2"/>
            </w:tcBorders>
            <w:shd w:fill="1F4E5F" w:val="clear"/>
            <w:tcMar>
              <w:top w:type="dxa" w:w="80"/>
              <w:left w:type="dxa" w:w="120"/>
              <w:bottom w:type="dxa" w:w="80"/>
              <w:right w:type="dxa" w:w="120"/>
            </w:tcMar>
          </w:tcPr>
          <w:p>
            <w:r>
              <w:rPr>
                <w:b/>
                <w:bCs/>
                <w:color w:val="FFFFFF"/>
                <w:sz w:val="19"/>
                <w:szCs w:val="19"/>
              </w:rPr>
              <w:t xml:space="preserve">Source</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Belatedness and the experience of the “provincial reader” growing up in pre-liberalisation India</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Sumana Roy, “The Provincial Reader,” Los Angeles Review of Books</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II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The Keeladi excavations and the re-dating of urbanisation and script in Tamil Nadu</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Sowmiya Ashok, “The Dig,” Fifty-Two</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III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The “curdling” of the social internet and the performance incentive of online identity</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Jia Tolentino, Trick Mirror: Reflections on Self-Delusion, Random House, 2019</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IV</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Delhi's illegal groundwater extraction and the “water-tanker mafia”</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Aman Sethi, “At the Mercy of the Water Mafia,” Foreign Policy</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V</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English, class, and unequal access to the language in India</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Snigdha Poonam, Dreamers: How Young Indians Are Changing the World, Penguin Viking, 2018 (cites Chetan Bhagat and Gandhi)</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VI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Imagination, naming, and belief (Iff and Haroun dialogue)</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Salman Rushdie, Haroun and the Sea of Stories, Granta &amp; Penguin, 1990</w:t>
            </w:r>
          </w:p>
        </w:tc>
      </w:tr>
    </w:tbl>
    <w:p>
      <w:pPr>
        <w:spacing w:after="200"/>
      </w:pPr>
    </w:p>
    <w:p>
      <w:pPr>
        <w:pStyle w:val="Heading2"/>
      </w:pPr>
      <w:r>
        <w:t xml:space="preserve">Current Affairs Including General Knowledge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999999" w:sz="2"/>
              <w:left w:val="single" w:color="999999" w:sz="2"/>
              <w:bottom w:val="single" w:color="999999" w:sz="2"/>
              <w:right w:val="single" w:color="999999" w:sz="2"/>
            </w:tcBorders>
            <w:shd w:fill="1F4E5F" w:val="clear"/>
            <w:tcMar>
              <w:top w:type="dxa" w:w="80"/>
              <w:left w:type="dxa" w:w="120"/>
              <w:bottom w:type="dxa" w:w="80"/>
              <w:right w:type="dxa" w:w="120"/>
            </w:tcMar>
          </w:tcPr>
          <w:p>
            <w:r>
              <w:rPr>
                <w:b/>
                <w:bCs/>
                <w:color w:val="FFFFFF"/>
                <w:sz w:val="19"/>
                <w:szCs w:val="19"/>
              </w:rPr>
              <w:t xml:space="preserve">Passage</w:t>
            </w:r>
          </w:p>
        </w:tc>
        <w:tc>
          <w:tcPr>
            <w:tcW w:type="dxa" w:w="3000"/>
            <w:tcBorders>
              <w:top w:val="single" w:color="999999" w:sz="2"/>
              <w:left w:val="single" w:color="999999" w:sz="2"/>
              <w:bottom w:val="single" w:color="999999" w:sz="2"/>
              <w:right w:val="single" w:color="999999" w:sz="2"/>
            </w:tcBorders>
            <w:shd w:fill="1F4E5F" w:val="clear"/>
            <w:tcMar>
              <w:top w:type="dxa" w:w="80"/>
              <w:left w:type="dxa" w:w="120"/>
              <w:bottom w:type="dxa" w:w="80"/>
              <w:right w:type="dxa" w:w="120"/>
            </w:tcMar>
          </w:tcPr>
          <w:p>
            <w:r>
              <w:rPr>
                <w:b/>
                <w:bCs/>
                <w:color w:val="FFFFFF"/>
                <w:sz w:val="19"/>
                <w:szCs w:val="19"/>
              </w:rPr>
              <w:t xml:space="preserve">Subject / Topic</w:t>
            </w:r>
          </w:p>
        </w:tc>
        <w:tc>
          <w:tcPr>
            <w:tcW w:type="dxa" w:w="4860"/>
            <w:tcBorders>
              <w:top w:val="single" w:color="999999" w:sz="2"/>
              <w:left w:val="single" w:color="999999" w:sz="2"/>
              <w:bottom w:val="single" w:color="999999" w:sz="2"/>
              <w:right w:val="single" w:color="999999" w:sz="2"/>
            </w:tcBorders>
            <w:shd w:fill="1F4E5F" w:val="clear"/>
            <w:tcMar>
              <w:top w:type="dxa" w:w="80"/>
              <w:left w:type="dxa" w:w="120"/>
              <w:bottom w:type="dxa" w:w="80"/>
              <w:right w:type="dxa" w:w="120"/>
            </w:tcMar>
          </w:tcPr>
          <w:p>
            <w:r>
              <w:rPr>
                <w:b/>
                <w:bCs/>
                <w:color w:val="FFFFFF"/>
                <w:sz w:val="19"/>
                <w:szCs w:val="19"/>
              </w:rPr>
              <w:t xml:space="preserve">Source</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VII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Election of Droupadi Murmu as 15th President of India</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The Hindu, “Droupadi Murmu elected 15th President of India”</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VIII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Google engineer's claim that the LaMDA AI chatbot is sentient</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Leonardo De Cosmo, “Google Engineer Claims AI Chatbot Is Sentient: Why That Matters,” Scientific American</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IX</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FIFA's restriction on the OneLove rainbow armband at the 2022 Qatar World Cup</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The Economic Times, “World Cup 2022: Germany's players cover mouths during team photo to protest FIFA's rainbow armband rule”</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Collapse of FTX and Sam Bankman-Fried</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Hindustan Times, “Who is [Sam Bankman-Fried], the co-founder of collapsed crypto firm FTX”</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India's agricultural sector growth and the Green Revolution legacy</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NS Ramaswamy, “India's changing agricultural landscape and its way to inclusive growth,” The Economic Times</w:t>
            </w:r>
          </w:p>
        </w:tc>
      </w:tr>
    </w:tbl>
    <w:p>
      <w:pPr>
        <w:spacing w:after="200"/>
      </w:pPr>
    </w:p>
    <w:p>
      <w:pPr>
        <w:pStyle w:val="Heading2"/>
      </w:pPr>
      <w:r>
        <w:t xml:space="preserve">Legal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999999" w:sz="2"/>
              <w:left w:val="single" w:color="999999" w:sz="2"/>
              <w:bottom w:val="single" w:color="999999" w:sz="2"/>
              <w:right w:val="single" w:color="999999" w:sz="2"/>
            </w:tcBorders>
            <w:shd w:fill="1F4E5F" w:val="clear"/>
            <w:tcMar>
              <w:top w:type="dxa" w:w="80"/>
              <w:left w:type="dxa" w:w="120"/>
              <w:bottom w:type="dxa" w:w="80"/>
              <w:right w:type="dxa" w:w="120"/>
            </w:tcMar>
          </w:tcPr>
          <w:p>
            <w:r>
              <w:rPr>
                <w:b/>
                <w:bCs/>
                <w:color w:val="FFFFFF"/>
                <w:sz w:val="19"/>
                <w:szCs w:val="19"/>
              </w:rPr>
              <w:t xml:space="preserve">Passage</w:t>
            </w:r>
          </w:p>
        </w:tc>
        <w:tc>
          <w:tcPr>
            <w:tcW w:type="dxa" w:w="3000"/>
            <w:tcBorders>
              <w:top w:val="single" w:color="999999" w:sz="2"/>
              <w:left w:val="single" w:color="999999" w:sz="2"/>
              <w:bottom w:val="single" w:color="999999" w:sz="2"/>
              <w:right w:val="single" w:color="999999" w:sz="2"/>
            </w:tcBorders>
            <w:shd w:fill="1F4E5F" w:val="clear"/>
            <w:tcMar>
              <w:top w:type="dxa" w:w="80"/>
              <w:left w:type="dxa" w:w="120"/>
              <w:bottom w:type="dxa" w:w="80"/>
              <w:right w:type="dxa" w:w="120"/>
            </w:tcMar>
          </w:tcPr>
          <w:p>
            <w:r>
              <w:rPr>
                <w:b/>
                <w:bCs/>
                <w:color w:val="FFFFFF"/>
                <w:sz w:val="19"/>
                <w:szCs w:val="19"/>
              </w:rPr>
              <w:t xml:space="preserve">Subject / Topic</w:t>
            </w:r>
          </w:p>
        </w:tc>
        <w:tc>
          <w:tcPr>
            <w:tcW w:type="dxa" w:w="4860"/>
            <w:tcBorders>
              <w:top w:val="single" w:color="999999" w:sz="2"/>
              <w:left w:val="single" w:color="999999" w:sz="2"/>
              <w:bottom w:val="single" w:color="999999" w:sz="2"/>
              <w:right w:val="single" w:color="999999" w:sz="2"/>
            </w:tcBorders>
            <w:shd w:fill="1F4E5F" w:val="clear"/>
            <w:tcMar>
              <w:top w:type="dxa" w:w="80"/>
              <w:left w:type="dxa" w:w="120"/>
              <w:bottom w:type="dxa" w:w="80"/>
              <w:right w:type="dxa" w:w="120"/>
            </w:tcMar>
          </w:tcPr>
          <w:p>
            <w:r>
              <w:rPr>
                <w:b/>
                <w:bCs/>
                <w:color w:val="FFFFFF"/>
                <w:sz w:val="19"/>
                <w:szCs w:val="19"/>
              </w:rPr>
              <w:t xml:space="preserve">Source</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XII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Bombay HC ruling on Section 498A IPC – household work vs. treating a wife “like a maid servant”</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The Wire, “If Wife Is Asked To Do Household Work, Does Not Mean She Is Treated Like Maid: Bombay HC”</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XIII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Criminal Procedure (Identification) Act, 2022 and Rules – collection of measurements of arrested persons</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Vijaita Singh, “Explained │ Rules for identifying criminals,” The Hindu</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XIV</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Amendment to the Electoral Bond Scheme, 2018 (additional 15-day sale window)</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Gaurav Vivek Bhatnagar, “Electoral Bonds Scheme Amended To Allow Sale for Additional 15 Days in Assembly Election Years,” The Wire</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XV</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Twitter's challenge to Union government blocking orders before the Karnataka High Court</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The Wire, “‘Government Must Provide Reasons for Blocking User Accounts,’ Twitter Tells Karnataka HC”</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XVI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Free legal aid under the Legal Services Authority Act, 1987 and NALSA</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National Legal Services Authority, “FAQs”</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XVII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Surrogacy (Regulation) Act, 2021 – eligibility of intending couples and surrogates</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The Indian Express, “What laws regulate surrogacy in India”</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XVIII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Internet shutdown law in India – Temporary Suspension Rules, 2017 and Anuradha Bhasin judgment</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Diksha Munjal, “In India, are internet shut downs in accordance with law? Not always,” Newslaundry</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XIX</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Definition of ‘consumer’ under Consumer Protection Law</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Nyaaya India, “Who is a Consumer?”</w:t>
            </w:r>
          </w:p>
        </w:tc>
      </w:tr>
    </w:tbl>
    <w:p>
      <w:pPr>
        <w:spacing w:after="200"/>
      </w:pPr>
    </w:p>
    <w:p>
      <w:pPr>
        <w:pStyle w:val="Heading2"/>
      </w:pPr>
      <w:r>
        <w:t xml:space="preserve">Logical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999999" w:sz="2"/>
              <w:left w:val="single" w:color="999999" w:sz="2"/>
              <w:bottom w:val="single" w:color="999999" w:sz="2"/>
              <w:right w:val="single" w:color="999999" w:sz="2"/>
            </w:tcBorders>
            <w:shd w:fill="1F4E5F" w:val="clear"/>
            <w:tcMar>
              <w:top w:type="dxa" w:w="80"/>
              <w:left w:type="dxa" w:w="120"/>
              <w:bottom w:type="dxa" w:w="80"/>
              <w:right w:type="dxa" w:w="120"/>
            </w:tcMar>
          </w:tcPr>
          <w:p>
            <w:r>
              <w:rPr>
                <w:b/>
                <w:bCs/>
                <w:color w:val="FFFFFF"/>
                <w:sz w:val="19"/>
                <w:szCs w:val="19"/>
              </w:rPr>
              <w:t xml:space="preserve">Passage</w:t>
            </w:r>
          </w:p>
        </w:tc>
        <w:tc>
          <w:tcPr>
            <w:tcW w:type="dxa" w:w="3000"/>
            <w:tcBorders>
              <w:top w:val="single" w:color="999999" w:sz="2"/>
              <w:left w:val="single" w:color="999999" w:sz="2"/>
              <w:bottom w:val="single" w:color="999999" w:sz="2"/>
              <w:right w:val="single" w:color="999999" w:sz="2"/>
            </w:tcBorders>
            <w:shd w:fill="1F4E5F" w:val="clear"/>
            <w:tcMar>
              <w:top w:type="dxa" w:w="80"/>
              <w:left w:type="dxa" w:w="120"/>
              <w:bottom w:type="dxa" w:w="80"/>
              <w:right w:type="dxa" w:w="120"/>
            </w:tcMar>
          </w:tcPr>
          <w:p>
            <w:r>
              <w:rPr>
                <w:b/>
                <w:bCs/>
                <w:color w:val="FFFFFF"/>
                <w:sz w:val="19"/>
                <w:szCs w:val="19"/>
              </w:rPr>
              <w:t xml:space="preserve">Subject / Topic</w:t>
            </w:r>
          </w:p>
        </w:tc>
        <w:tc>
          <w:tcPr>
            <w:tcW w:type="dxa" w:w="4860"/>
            <w:tcBorders>
              <w:top w:val="single" w:color="999999" w:sz="2"/>
              <w:left w:val="single" w:color="999999" w:sz="2"/>
              <w:bottom w:val="single" w:color="999999" w:sz="2"/>
              <w:right w:val="single" w:color="999999" w:sz="2"/>
            </w:tcBorders>
            <w:shd w:fill="1F4E5F" w:val="clear"/>
            <w:tcMar>
              <w:top w:type="dxa" w:w="80"/>
              <w:left w:type="dxa" w:w="120"/>
              <w:bottom w:type="dxa" w:w="80"/>
              <w:right w:type="dxa" w:w="120"/>
            </w:tcMar>
          </w:tcPr>
          <w:p>
            <w:r>
              <w:rPr>
                <w:b/>
                <w:bCs/>
                <w:color w:val="FFFFFF"/>
                <w:sz w:val="19"/>
                <w:szCs w:val="19"/>
              </w:rPr>
              <w:t xml:space="preserve">Source</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XX</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Depreciation of the Indian rupee and RBI's policy challenges</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The Telegraph, “Stiff test: Editorial on depreciation of rupee &amp; challenges before RBI”</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XXI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Print media's continued public trust relative to social media post-pandemic</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The Telegraph, “Good news: Editorial on print media remaining the most trusted source of information”</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XXII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Developed countries' renewed reliance on fossil fuels amid the energy crisis</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Sunita Narain, “New energy conundrum,” DownToEarth</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XXIII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Age- and gender-based stereotypes affecting women's careers (“motherhood penalty,” menopause bias)</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Ananya Singh, “How Stereotypes Affect Middle-Aged Women's Careers,” The Swaddle</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XXIV</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Negativity bias, availability bias, and modern media's exploitation of attention</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Rutger Bregman, Humankind: A Hopeful History, Bloomsbury Publishing, London, 2021</w:t>
            </w:r>
          </w:p>
        </w:tc>
      </w:tr>
    </w:tbl>
    <w:p>
      <w:pPr>
        <w:spacing w:after="200"/>
      </w:pPr>
    </w:p>
    <w:p>
      <w:pPr>
        <w:pStyle w:val="Heading2"/>
      </w:pPr>
      <w:r>
        <w:t xml:space="preserve">Quantitative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999999" w:sz="2"/>
              <w:left w:val="single" w:color="999999" w:sz="2"/>
              <w:bottom w:val="single" w:color="999999" w:sz="2"/>
              <w:right w:val="single" w:color="999999" w:sz="2"/>
            </w:tcBorders>
            <w:shd w:fill="1F4E5F" w:val="clear"/>
            <w:tcMar>
              <w:top w:type="dxa" w:w="80"/>
              <w:left w:type="dxa" w:w="120"/>
              <w:bottom w:type="dxa" w:w="80"/>
              <w:right w:type="dxa" w:w="120"/>
            </w:tcMar>
          </w:tcPr>
          <w:p>
            <w:r>
              <w:rPr>
                <w:b/>
                <w:bCs/>
                <w:color w:val="FFFFFF"/>
                <w:sz w:val="19"/>
                <w:szCs w:val="19"/>
              </w:rPr>
              <w:t xml:space="preserve">Passage</w:t>
            </w:r>
          </w:p>
        </w:tc>
        <w:tc>
          <w:tcPr>
            <w:tcW w:type="dxa" w:w="3000"/>
            <w:tcBorders>
              <w:top w:val="single" w:color="999999" w:sz="2"/>
              <w:left w:val="single" w:color="999999" w:sz="2"/>
              <w:bottom w:val="single" w:color="999999" w:sz="2"/>
              <w:right w:val="single" w:color="999999" w:sz="2"/>
            </w:tcBorders>
            <w:shd w:fill="1F4E5F" w:val="clear"/>
            <w:tcMar>
              <w:top w:type="dxa" w:w="80"/>
              <w:left w:type="dxa" w:w="120"/>
              <w:bottom w:type="dxa" w:w="80"/>
              <w:right w:type="dxa" w:w="120"/>
            </w:tcMar>
          </w:tcPr>
          <w:p>
            <w:r>
              <w:rPr>
                <w:b/>
                <w:bCs/>
                <w:color w:val="FFFFFF"/>
                <w:sz w:val="19"/>
                <w:szCs w:val="19"/>
              </w:rPr>
              <w:t xml:space="preserve">Subject / Topic</w:t>
            </w:r>
          </w:p>
        </w:tc>
        <w:tc>
          <w:tcPr>
            <w:tcW w:type="dxa" w:w="4860"/>
            <w:tcBorders>
              <w:top w:val="single" w:color="999999" w:sz="2"/>
              <w:left w:val="single" w:color="999999" w:sz="2"/>
              <w:bottom w:val="single" w:color="999999" w:sz="2"/>
              <w:right w:val="single" w:color="999999" w:sz="2"/>
            </w:tcBorders>
            <w:shd w:fill="1F4E5F" w:val="clear"/>
            <w:tcMar>
              <w:top w:type="dxa" w:w="80"/>
              <w:left w:type="dxa" w:w="120"/>
              <w:bottom w:type="dxa" w:w="80"/>
              <w:right w:type="dxa" w:w="120"/>
            </w:tcMar>
          </w:tcPr>
          <w:p>
            <w:r>
              <w:rPr>
                <w:b/>
                <w:bCs/>
                <w:color w:val="FFFFFF"/>
                <w:sz w:val="19"/>
                <w:szCs w:val="19"/>
              </w:rPr>
              <w:t xml:space="preserve">Source</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XXV</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Gender and caste-based wage gaps (India Discrimination Report 2022) and women's LFPR</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Oxfam India, “India Discrimination Report 2022” (data); MoSPI LFPR data</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XXVI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World fruit production trends, 2000–2019</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FAO (Food and Agriculture Organization) data</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XXVII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Judo player weight-group selection puzzle</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Original composed data/puzzle – not an excerpt</w:t>
            </w:r>
          </w:p>
        </w:tc>
      </w:tr>
    </w:tbl>
    <w:p>
      <w:pPr>
        <w:spacing w:after="200"/>
      </w:pPr>
    </w:p>
    <w:p>
      <w:pPr>
        <w:pStyle w:val="Heading1"/>
        <w:pageBreakBefore/>
      </w:pPr>
      <w:r>
        <w:t xml:space="preserve">CLAT (UG) 2022</w:t>
      </w:r>
    </w:p>
    <w:p>
      <w:pPr>
        <w:pStyle w:val="Heading2"/>
      </w:pPr>
      <w:r>
        <w:t xml:space="preserve">English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999999" w:sz="2"/>
              <w:left w:val="single" w:color="999999" w:sz="2"/>
              <w:bottom w:val="single" w:color="999999" w:sz="2"/>
              <w:right w:val="single" w:color="999999" w:sz="2"/>
            </w:tcBorders>
            <w:shd w:fill="1F4E5F" w:val="clear"/>
            <w:tcMar>
              <w:top w:type="dxa" w:w="80"/>
              <w:left w:type="dxa" w:w="120"/>
              <w:bottom w:type="dxa" w:w="80"/>
              <w:right w:type="dxa" w:w="120"/>
            </w:tcMar>
          </w:tcPr>
          <w:p>
            <w:r>
              <w:rPr>
                <w:b/>
                <w:bCs/>
                <w:color w:val="FFFFFF"/>
                <w:sz w:val="19"/>
                <w:szCs w:val="19"/>
              </w:rPr>
              <w:t xml:space="preserve">Passage</w:t>
            </w:r>
          </w:p>
        </w:tc>
        <w:tc>
          <w:tcPr>
            <w:tcW w:type="dxa" w:w="3000"/>
            <w:tcBorders>
              <w:top w:val="single" w:color="999999" w:sz="2"/>
              <w:left w:val="single" w:color="999999" w:sz="2"/>
              <w:bottom w:val="single" w:color="999999" w:sz="2"/>
              <w:right w:val="single" w:color="999999" w:sz="2"/>
            </w:tcBorders>
            <w:shd w:fill="1F4E5F" w:val="clear"/>
            <w:tcMar>
              <w:top w:type="dxa" w:w="80"/>
              <w:left w:type="dxa" w:w="120"/>
              <w:bottom w:type="dxa" w:w="80"/>
              <w:right w:type="dxa" w:w="120"/>
            </w:tcMar>
          </w:tcPr>
          <w:p>
            <w:r>
              <w:rPr>
                <w:b/>
                <w:bCs/>
                <w:color w:val="FFFFFF"/>
                <w:sz w:val="19"/>
                <w:szCs w:val="19"/>
              </w:rPr>
              <w:t xml:space="preserve">Subject / Topic</w:t>
            </w:r>
          </w:p>
        </w:tc>
        <w:tc>
          <w:tcPr>
            <w:tcW w:type="dxa" w:w="4860"/>
            <w:tcBorders>
              <w:top w:val="single" w:color="999999" w:sz="2"/>
              <w:left w:val="single" w:color="999999" w:sz="2"/>
              <w:bottom w:val="single" w:color="999999" w:sz="2"/>
              <w:right w:val="single" w:color="999999" w:sz="2"/>
            </w:tcBorders>
            <w:shd w:fill="1F4E5F" w:val="clear"/>
            <w:tcMar>
              <w:top w:type="dxa" w:w="80"/>
              <w:left w:type="dxa" w:w="120"/>
              <w:bottom w:type="dxa" w:w="80"/>
              <w:right w:type="dxa" w:w="120"/>
            </w:tcMar>
          </w:tcPr>
          <w:p>
            <w:r>
              <w:rPr>
                <w:b/>
                <w:bCs/>
                <w:color w:val="FFFFFF"/>
                <w:sz w:val="19"/>
                <w:szCs w:val="19"/>
              </w:rPr>
              <w:t xml:space="preserve">Source</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Power of public speeches (Chief Joseph, Churchill, Faulkner) to shape history</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Composed/explanatory passage drawing on historical speeches – no single named source cited</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II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Saroo Brierley's story and the loneliness caused by app/social-media overuse</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Composed/explanatory passage (references the “Lion” story of Saroo Brierley) – no single named source cited</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III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Ignaz Semmelweis, Van Gogh, and Kafka – recognition that came too late or posthumously</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Composed/explanatory passage – no single named source cited</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IV</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Critique of cryptocurrencies as a speculative bubble and defence of the fiat money–credit system</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Composed/explanatory opinion passage (unattributed in the question paper) – no specific named source cited</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V</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Fossil fuels, oil, and twentieth-century geopolitical/military strategy</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Composed/explanatory passage citing historians (quotes Elizabeth DeLoughrey and Michael Klare) – no single named source cited</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VI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Religious and philosophical roots of Western moral insensitivity toward animals (animal rights movement)</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Composed/academic passage referencing Joseph Rickaby, Thomas Aquinas, Aristotle, Francis Bacon and René Descartes – no single named source cited</w:t>
            </w:r>
          </w:p>
        </w:tc>
      </w:tr>
    </w:tbl>
    <w:p>
      <w:pPr>
        <w:spacing w:after="200"/>
      </w:pPr>
    </w:p>
    <w:p>
      <w:pPr>
        <w:pStyle w:val="Heading2"/>
      </w:pPr>
      <w:r>
        <w:t xml:space="preserve">Current Affairs and General Knowledge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999999" w:sz="2"/>
              <w:left w:val="single" w:color="999999" w:sz="2"/>
              <w:bottom w:val="single" w:color="999999" w:sz="2"/>
              <w:right w:val="single" w:color="999999" w:sz="2"/>
            </w:tcBorders>
            <w:shd w:fill="1F4E5F" w:val="clear"/>
            <w:tcMar>
              <w:top w:type="dxa" w:w="80"/>
              <w:left w:type="dxa" w:w="120"/>
              <w:bottom w:type="dxa" w:w="80"/>
              <w:right w:type="dxa" w:w="120"/>
            </w:tcMar>
          </w:tcPr>
          <w:p>
            <w:r>
              <w:rPr>
                <w:b/>
                <w:bCs/>
                <w:color w:val="FFFFFF"/>
                <w:sz w:val="19"/>
                <w:szCs w:val="19"/>
              </w:rPr>
              <w:t xml:space="preserve">Passage</w:t>
            </w:r>
          </w:p>
        </w:tc>
        <w:tc>
          <w:tcPr>
            <w:tcW w:type="dxa" w:w="3000"/>
            <w:tcBorders>
              <w:top w:val="single" w:color="999999" w:sz="2"/>
              <w:left w:val="single" w:color="999999" w:sz="2"/>
              <w:bottom w:val="single" w:color="999999" w:sz="2"/>
              <w:right w:val="single" w:color="999999" w:sz="2"/>
            </w:tcBorders>
            <w:shd w:fill="1F4E5F" w:val="clear"/>
            <w:tcMar>
              <w:top w:type="dxa" w:w="80"/>
              <w:left w:type="dxa" w:w="120"/>
              <w:bottom w:type="dxa" w:w="80"/>
              <w:right w:type="dxa" w:w="120"/>
            </w:tcMar>
          </w:tcPr>
          <w:p>
            <w:r>
              <w:rPr>
                <w:b/>
                <w:bCs/>
                <w:color w:val="FFFFFF"/>
                <w:sz w:val="19"/>
                <w:szCs w:val="19"/>
              </w:rPr>
              <w:t xml:space="preserve">Subject / Topic</w:t>
            </w:r>
          </w:p>
        </w:tc>
        <w:tc>
          <w:tcPr>
            <w:tcW w:type="dxa" w:w="4860"/>
            <w:tcBorders>
              <w:top w:val="single" w:color="999999" w:sz="2"/>
              <w:left w:val="single" w:color="999999" w:sz="2"/>
              <w:bottom w:val="single" w:color="999999" w:sz="2"/>
              <w:right w:val="single" w:color="999999" w:sz="2"/>
            </w:tcBorders>
            <w:shd w:fill="1F4E5F" w:val="clear"/>
            <w:tcMar>
              <w:top w:type="dxa" w:w="80"/>
              <w:left w:type="dxa" w:w="120"/>
              <w:bottom w:type="dxa" w:w="80"/>
              <w:right w:type="dxa" w:w="120"/>
            </w:tcMar>
          </w:tcPr>
          <w:p>
            <w:r>
              <w:rPr>
                <w:b/>
                <w:bCs/>
                <w:color w:val="FFFFFF"/>
                <w:sz w:val="19"/>
                <w:szCs w:val="19"/>
              </w:rPr>
              <w:t xml:space="preserve">Source</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VII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History and achievements of the Indian Space Research Organisation (ISRO)</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Composed/explanatory passage – no external source cited</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VIII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Review of the Armed Forces (Special Powers) Act (AFSPA) and its application across states</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Composed/explanatory current-affairs passage – no external source cited</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IX</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Russia-Ukraine war (2022) – justifications and conduct of the invasion</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Composed current-affairs passage – no external source cited</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India's green-technology patents and green-energy policy initiatives</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Composed/explanatory passage citing Ministry of Commerce and Industry data – no single named source cited</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Corporate Social Responsibility (CSR) funding relaxation during COVID-19</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Composed/explanatory passage quoting a letter from the Institute of Company Secretaries of India – no single named source cited</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XII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Drone Shakti and liberalisation of India's drone policy</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Composed/explanatory passage quoting an aerospace company CEO from a business magazine – no single named source cited</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XIII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India's maritime strategy and the SAGAR vision</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Composed/explanatory passage – no external source cited</w:t>
            </w:r>
          </w:p>
        </w:tc>
      </w:tr>
    </w:tbl>
    <w:p>
      <w:pPr>
        <w:spacing w:after="200"/>
      </w:pPr>
    </w:p>
    <w:p>
      <w:pPr>
        <w:pStyle w:val="Heading2"/>
      </w:pPr>
      <w:r>
        <w:t xml:space="preserve">Legal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999999" w:sz="2"/>
              <w:left w:val="single" w:color="999999" w:sz="2"/>
              <w:bottom w:val="single" w:color="999999" w:sz="2"/>
              <w:right w:val="single" w:color="999999" w:sz="2"/>
            </w:tcBorders>
            <w:shd w:fill="1F4E5F" w:val="clear"/>
            <w:tcMar>
              <w:top w:type="dxa" w:w="80"/>
              <w:left w:type="dxa" w:w="120"/>
              <w:bottom w:type="dxa" w:w="80"/>
              <w:right w:type="dxa" w:w="120"/>
            </w:tcMar>
          </w:tcPr>
          <w:p>
            <w:r>
              <w:rPr>
                <w:b/>
                <w:bCs/>
                <w:color w:val="FFFFFF"/>
                <w:sz w:val="19"/>
                <w:szCs w:val="19"/>
              </w:rPr>
              <w:t xml:space="preserve">Passage</w:t>
            </w:r>
          </w:p>
        </w:tc>
        <w:tc>
          <w:tcPr>
            <w:tcW w:type="dxa" w:w="3000"/>
            <w:tcBorders>
              <w:top w:val="single" w:color="999999" w:sz="2"/>
              <w:left w:val="single" w:color="999999" w:sz="2"/>
              <w:bottom w:val="single" w:color="999999" w:sz="2"/>
              <w:right w:val="single" w:color="999999" w:sz="2"/>
            </w:tcBorders>
            <w:shd w:fill="1F4E5F" w:val="clear"/>
            <w:tcMar>
              <w:top w:type="dxa" w:w="80"/>
              <w:left w:type="dxa" w:w="120"/>
              <w:bottom w:type="dxa" w:w="80"/>
              <w:right w:type="dxa" w:w="120"/>
            </w:tcMar>
          </w:tcPr>
          <w:p>
            <w:r>
              <w:rPr>
                <w:b/>
                <w:bCs/>
                <w:color w:val="FFFFFF"/>
                <w:sz w:val="19"/>
                <w:szCs w:val="19"/>
              </w:rPr>
              <w:t xml:space="preserve">Subject / Topic</w:t>
            </w:r>
          </w:p>
        </w:tc>
        <w:tc>
          <w:tcPr>
            <w:tcW w:type="dxa" w:w="4860"/>
            <w:tcBorders>
              <w:top w:val="single" w:color="999999" w:sz="2"/>
              <w:left w:val="single" w:color="999999" w:sz="2"/>
              <w:bottom w:val="single" w:color="999999" w:sz="2"/>
              <w:right w:val="single" w:color="999999" w:sz="2"/>
            </w:tcBorders>
            <w:shd w:fill="1F4E5F" w:val="clear"/>
            <w:tcMar>
              <w:top w:type="dxa" w:w="80"/>
              <w:left w:type="dxa" w:w="120"/>
              <w:bottom w:type="dxa" w:w="80"/>
              <w:right w:type="dxa" w:w="120"/>
            </w:tcMar>
          </w:tcPr>
          <w:p>
            <w:r>
              <w:rPr>
                <w:b/>
                <w:bCs/>
                <w:color w:val="FFFFFF"/>
                <w:sz w:val="19"/>
                <w:szCs w:val="19"/>
              </w:rPr>
              <w:t xml:space="preserve">Source</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XIV</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Writ of mandamus – nature, scope and requirements for issuance</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Composed/explanatory legal passage – no external source cited</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XV</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State funding of religious institutions and the constitutional bar on tax for religious promotion</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Composed/explanatory legal passage – no external source cited</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XVI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Reasonable restrictions on the fundamental rights to free movement and residence</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Composed/explanatory legal passage – no external source cited</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XVII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Offence of bigamy under Indian penal law and the Hindu law exception</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Composed/explanatory legal passage – no external source cited</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XVIII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Divorce by mutual consent under the Special Marriage Act</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Composed/explanatory legal passage – no external source cited</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XIX</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Monism and dualism – theories on the relationship between international law and domestic law</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Composed/explanatory legal passage – no external source cited</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XX</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Anthropocentrism vs. eco-centrism; doctrine of public trust in environmental law</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Composed/explanatory legal passage – no external source cited</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XXI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Doctrine of mistake of fact vs. mistake of law under contract law</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Composed/explanatory legal passage – no external source cited</w:t>
            </w:r>
          </w:p>
        </w:tc>
      </w:tr>
    </w:tbl>
    <w:p>
      <w:pPr>
        <w:spacing w:after="200"/>
      </w:pPr>
    </w:p>
    <w:p>
      <w:pPr>
        <w:pStyle w:val="Heading2"/>
      </w:pPr>
      <w:r>
        <w:t xml:space="preserve">Logical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999999" w:sz="2"/>
              <w:left w:val="single" w:color="999999" w:sz="2"/>
              <w:bottom w:val="single" w:color="999999" w:sz="2"/>
              <w:right w:val="single" w:color="999999" w:sz="2"/>
            </w:tcBorders>
            <w:shd w:fill="1F4E5F" w:val="clear"/>
            <w:tcMar>
              <w:top w:type="dxa" w:w="80"/>
              <w:left w:type="dxa" w:w="120"/>
              <w:bottom w:type="dxa" w:w="80"/>
              <w:right w:type="dxa" w:w="120"/>
            </w:tcMar>
          </w:tcPr>
          <w:p>
            <w:r>
              <w:rPr>
                <w:b/>
                <w:bCs/>
                <w:color w:val="FFFFFF"/>
                <w:sz w:val="19"/>
                <w:szCs w:val="19"/>
              </w:rPr>
              <w:t xml:space="preserve">Passage</w:t>
            </w:r>
          </w:p>
        </w:tc>
        <w:tc>
          <w:tcPr>
            <w:tcW w:type="dxa" w:w="3000"/>
            <w:tcBorders>
              <w:top w:val="single" w:color="999999" w:sz="2"/>
              <w:left w:val="single" w:color="999999" w:sz="2"/>
              <w:bottom w:val="single" w:color="999999" w:sz="2"/>
              <w:right w:val="single" w:color="999999" w:sz="2"/>
            </w:tcBorders>
            <w:shd w:fill="1F4E5F" w:val="clear"/>
            <w:tcMar>
              <w:top w:type="dxa" w:w="80"/>
              <w:left w:type="dxa" w:w="120"/>
              <w:bottom w:type="dxa" w:w="80"/>
              <w:right w:type="dxa" w:w="120"/>
            </w:tcMar>
          </w:tcPr>
          <w:p>
            <w:r>
              <w:rPr>
                <w:b/>
                <w:bCs/>
                <w:color w:val="FFFFFF"/>
                <w:sz w:val="19"/>
                <w:szCs w:val="19"/>
              </w:rPr>
              <w:t xml:space="preserve">Subject / Topic</w:t>
            </w:r>
          </w:p>
        </w:tc>
        <w:tc>
          <w:tcPr>
            <w:tcW w:type="dxa" w:w="4860"/>
            <w:tcBorders>
              <w:top w:val="single" w:color="999999" w:sz="2"/>
              <w:left w:val="single" w:color="999999" w:sz="2"/>
              <w:bottom w:val="single" w:color="999999" w:sz="2"/>
              <w:right w:val="single" w:color="999999" w:sz="2"/>
            </w:tcBorders>
            <w:shd w:fill="1F4E5F" w:val="clear"/>
            <w:tcMar>
              <w:top w:type="dxa" w:w="80"/>
              <w:left w:type="dxa" w:w="120"/>
              <w:bottom w:type="dxa" w:w="80"/>
              <w:right w:type="dxa" w:w="120"/>
            </w:tcMar>
          </w:tcPr>
          <w:p>
            <w:r>
              <w:rPr>
                <w:b/>
                <w:bCs/>
                <w:color w:val="FFFFFF"/>
                <w:sz w:val="19"/>
                <w:szCs w:val="19"/>
              </w:rPr>
              <w:t xml:space="preserve">Source</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XXII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Stress and mental health challenges faced by college students</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Composed/explanatory passage – no external source cited</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XXIII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Sudden shift to online teaching during the COVID-19 pandemic and its impact on academics</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Composed/explanatory passage – no external source cited</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XXIV</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Failure of the UN's Aichi Biodiversity Targets and the post-2020 Global Biodiversity Framework</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Composed/explanatory passage – no external source cited</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XXV</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Unintended persecution of teenage/consensual relationships under the POCSO Act, 2012</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Composed editorial-style passage (paraphrasing High Court observations, e.g. Allahabad HC) – no single named source cited</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XXVI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Madras High Court (Justice G.R. Swaminathan) ruling on humour, satire and the duty to laugh</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Composed editorial-style passage paraphrasing a Madras High Court judgment – no single named source cited</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XXVII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India's reliance on fossil fuels and the case for nuclear power to meet net-zero targets</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Composed editorial-style passage (references views of Anil Kakodkar) – no single named source cited</w:t>
            </w:r>
          </w:p>
        </w:tc>
      </w:tr>
    </w:tbl>
    <w:p>
      <w:pPr>
        <w:spacing w:after="200"/>
      </w:pPr>
    </w:p>
    <w:p>
      <w:pPr>
        <w:pStyle w:val="Heading2"/>
      </w:pPr>
      <w:r>
        <w:t xml:space="preserve">Quantitative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999999" w:sz="2"/>
              <w:left w:val="single" w:color="999999" w:sz="2"/>
              <w:bottom w:val="single" w:color="999999" w:sz="2"/>
              <w:right w:val="single" w:color="999999" w:sz="2"/>
            </w:tcBorders>
            <w:shd w:fill="1F4E5F" w:val="clear"/>
            <w:tcMar>
              <w:top w:type="dxa" w:w="80"/>
              <w:left w:type="dxa" w:w="120"/>
              <w:bottom w:type="dxa" w:w="80"/>
              <w:right w:type="dxa" w:w="120"/>
            </w:tcMar>
          </w:tcPr>
          <w:p>
            <w:r>
              <w:rPr>
                <w:b/>
                <w:bCs/>
                <w:color w:val="FFFFFF"/>
                <w:sz w:val="19"/>
                <w:szCs w:val="19"/>
              </w:rPr>
              <w:t xml:space="preserve">Passage</w:t>
            </w:r>
          </w:p>
        </w:tc>
        <w:tc>
          <w:tcPr>
            <w:tcW w:type="dxa" w:w="3000"/>
            <w:tcBorders>
              <w:top w:val="single" w:color="999999" w:sz="2"/>
              <w:left w:val="single" w:color="999999" w:sz="2"/>
              <w:bottom w:val="single" w:color="999999" w:sz="2"/>
              <w:right w:val="single" w:color="999999" w:sz="2"/>
            </w:tcBorders>
            <w:shd w:fill="1F4E5F" w:val="clear"/>
            <w:tcMar>
              <w:top w:type="dxa" w:w="80"/>
              <w:left w:type="dxa" w:w="120"/>
              <w:bottom w:type="dxa" w:w="80"/>
              <w:right w:type="dxa" w:w="120"/>
            </w:tcMar>
          </w:tcPr>
          <w:p>
            <w:r>
              <w:rPr>
                <w:b/>
                <w:bCs/>
                <w:color w:val="FFFFFF"/>
                <w:sz w:val="19"/>
                <w:szCs w:val="19"/>
              </w:rPr>
              <w:t xml:space="preserve">Subject / Topic</w:t>
            </w:r>
          </w:p>
        </w:tc>
        <w:tc>
          <w:tcPr>
            <w:tcW w:type="dxa" w:w="4860"/>
            <w:tcBorders>
              <w:top w:val="single" w:color="999999" w:sz="2"/>
              <w:left w:val="single" w:color="999999" w:sz="2"/>
              <w:bottom w:val="single" w:color="999999" w:sz="2"/>
              <w:right w:val="single" w:color="999999" w:sz="2"/>
            </w:tcBorders>
            <w:shd w:fill="1F4E5F" w:val="clear"/>
            <w:tcMar>
              <w:top w:type="dxa" w:w="80"/>
              <w:left w:type="dxa" w:w="120"/>
              <w:bottom w:type="dxa" w:w="80"/>
              <w:right w:type="dxa" w:w="120"/>
            </w:tcMar>
          </w:tcPr>
          <w:p>
            <w:r>
              <w:rPr>
                <w:b/>
                <w:bCs/>
                <w:color w:val="FFFFFF"/>
                <w:sz w:val="19"/>
                <w:szCs w:val="19"/>
              </w:rPr>
              <w:t xml:space="preserve">Source</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XXVIII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College enrolment data by stream and gender (Non-Medical, Medical, Arts, Commerce, Fine Arts)</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Original composed data passage – not an excerpt</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XXIX</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Manufacturing company's production and turnover data across five products</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Original composed data passage – not an excerpt</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XXX</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Organisation's department-wise employee and gender-ratio data</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Original composed data passage – not an excerpt</w:t>
            </w:r>
          </w:p>
        </w:tc>
      </w:tr>
    </w:tbl>
    <w:p>
      <w:pPr>
        <w:spacing w:after="200"/>
      </w:pPr>
    </w:p>
    <w:p>
      <w:pPr>
        <w:pStyle w:val="Heading1"/>
        <w:pageBreakBefore/>
      </w:pPr>
      <w:r>
        <w:t xml:space="preserve">CLAT (UG) 2021</w:t>
      </w:r>
    </w:p>
    <w:p>
      <w:pPr>
        <w:spacing w:after="240"/>
      </w:pPr>
      <w:r>
        <w:rPr>
          <w:i/>
          <w:iCs/>
        </w:rPr>
        <w:t xml:space="preserve">The 2021 question booklet did not print attribution lines beneath passages. Sources below are identified from internal textual evidence — named authors, quoted dialogue, cited reports, and described real-world events.</w:t>
      </w:r>
    </w:p>
    <w:p>
      <w:pPr>
        <w:pStyle w:val="Heading2"/>
      </w:pPr>
      <w:r>
        <w:t xml:space="preserve">English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999999" w:sz="2"/>
              <w:left w:val="single" w:color="999999" w:sz="2"/>
              <w:bottom w:val="single" w:color="999999" w:sz="2"/>
              <w:right w:val="single" w:color="999999" w:sz="2"/>
            </w:tcBorders>
            <w:shd w:fill="1F4E5F" w:val="clear"/>
            <w:tcMar>
              <w:top w:type="dxa" w:w="80"/>
              <w:left w:type="dxa" w:w="120"/>
              <w:bottom w:type="dxa" w:w="80"/>
              <w:right w:type="dxa" w:w="120"/>
            </w:tcMar>
          </w:tcPr>
          <w:p>
            <w:r>
              <w:rPr>
                <w:b/>
                <w:bCs/>
                <w:color w:val="FFFFFF"/>
                <w:sz w:val="19"/>
                <w:szCs w:val="19"/>
              </w:rPr>
              <w:t xml:space="preserve">Passage</w:t>
            </w:r>
          </w:p>
        </w:tc>
        <w:tc>
          <w:tcPr>
            <w:tcW w:type="dxa" w:w="3000"/>
            <w:tcBorders>
              <w:top w:val="single" w:color="999999" w:sz="2"/>
              <w:left w:val="single" w:color="999999" w:sz="2"/>
              <w:bottom w:val="single" w:color="999999" w:sz="2"/>
              <w:right w:val="single" w:color="999999" w:sz="2"/>
            </w:tcBorders>
            <w:shd w:fill="1F4E5F" w:val="clear"/>
            <w:tcMar>
              <w:top w:type="dxa" w:w="80"/>
              <w:left w:type="dxa" w:w="120"/>
              <w:bottom w:type="dxa" w:w="80"/>
              <w:right w:type="dxa" w:w="120"/>
            </w:tcMar>
          </w:tcPr>
          <w:p>
            <w:r>
              <w:rPr>
                <w:b/>
                <w:bCs/>
                <w:color w:val="FFFFFF"/>
                <w:sz w:val="19"/>
                <w:szCs w:val="19"/>
              </w:rPr>
              <w:t xml:space="preserve">Subject / Topic</w:t>
            </w:r>
          </w:p>
        </w:tc>
        <w:tc>
          <w:tcPr>
            <w:tcW w:type="dxa" w:w="4860"/>
            <w:tcBorders>
              <w:top w:val="single" w:color="999999" w:sz="2"/>
              <w:left w:val="single" w:color="999999" w:sz="2"/>
              <w:bottom w:val="single" w:color="999999" w:sz="2"/>
              <w:right w:val="single" w:color="999999" w:sz="2"/>
            </w:tcBorders>
            <w:shd w:fill="1F4E5F" w:val="clear"/>
            <w:tcMar>
              <w:top w:type="dxa" w:w="80"/>
              <w:left w:type="dxa" w:w="120"/>
              <w:bottom w:type="dxa" w:w="80"/>
              <w:right w:type="dxa" w:w="120"/>
            </w:tcMar>
          </w:tcPr>
          <w:p>
            <w:r>
              <w:rPr>
                <w:b/>
                <w:bCs/>
                <w:color w:val="FFFFFF"/>
                <w:sz w:val="19"/>
                <w:szCs w:val="19"/>
              </w:rPr>
              <w:t xml:space="preserve">Source</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Fictional detectives' methods of deduction (Holmes, Father Brown, Poirot)</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Opens with a direct extract from Arthur Conan Doyle, "A Scandal in Bohemia" (explicitly named in the paper), followed by a composed comparative discussion referencing G.K. Chesterton's Father Brown and Agatha Christie's Hercule Poirot</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II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Whether planning/strategy or execution matters more for success</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Composed/explanatory passage quoting Benjamin Franklin ("Failing to plan is planning to fail"), Steve Jobs, and Bill Gates, with reference to the 1985 "New Coke" episode – no single named source cited</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III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Vaccine diplomacy and India's COVID-19 vaccine exports</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Composed current-affairs passage citing a </w:t>
            </w:r>
            <w:r>
              <w:rPr>
                <w:i/>
                <w:iCs/>
              </w:rPr>
              <w:t xml:space="preserve">The New York Times</w:t>
            </w:r>
            <w:r>
              <w:t xml:space="preserve"> report based on Duke University vaccine-contract data – no single byline</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IV</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South Africa's Truth and Reconciliation Commission (TRC)</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Composed/explanatory academic passage on restorative justice and the TRC's mandate – no named author</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V</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Role of schools and technology in education during the pandemic</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Composed/explanatory passage quoting Noam Chomsky and referencing Ivan Illich's critique of "de-schooling"</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VI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India's gig economy and the future of work</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Composed current-affairs passage citing a Boston Consulting Group and Michael &amp; Susan Dell Foundation report on gig and flexi jobs</w:t>
            </w:r>
          </w:p>
        </w:tc>
      </w:tr>
    </w:tbl>
    <w:p>
      <w:pPr>
        <w:spacing w:after="200"/>
      </w:pPr>
    </w:p>
    <w:p>
      <w:pPr>
        <w:pStyle w:val="Heading2"/>
      </w:pPr>
      <w:r>
        <w:t xml:space="preserve">Current Affairs and General Knowledge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999999" w:sz="2"/>
              <w:left w:val="single" w:color="999999" w:sz="2"/>
              <w:bottom w:val="single" w:color="999999" w:sz="2"/>
              <w:right w:val="single" w:color="999999" w:sz="2"/>
            </w:tcBorders>
            <w:shd w:fill="1F4E5F" w:val="clear"/>
            <w:tcMar>
              <w:top w:type="dxa" w:w="80"/>
              <w:left w:type="dxa" w:w="120"/>
              <w:bottom w:type="dxa" w:w="80"/>
              <w:right w:type="dxa" w:w="120"/>
            </w:tcMar>
          </w:tcPr>
          <w:p>
            <w:r>
              <w:rPr>
                <w:b/>
                <w:bCs/>
                <w:color w:val="FFFFFF"/>
                <w:sz w:val="19"/>
                <w:szCs w:val="19"/>
              </w:rPr>
              <w:t xml:space="preserve">Passage</w:t>
            </w:r>
          </w:p>
        </w:tc>
        <w:tc>
          <w:tcPr>
            <w:tcW w:type="dxa" w:w="3000"/>
            <w:tcBorders>
              <w:top w:val="single" w:color="999999" w:sz="2"/>
              <w:left w:val="single" w:color="999999" w:sz="2"/>
              <w:bottom w:val="single" w:color="999999" w:sz="2"/>
              <w:right w:val="single" w:color="999999" w:sz="2"/>
            </w:tcBorders>
            <w:shd w:fill="1F4E5F" w:val="clear"/>
            <w:tcMar>
              <w:top w:type="dxa" w:w="80"/>
              <w:left w:type="dxa" w:w="120"/>
              <w:bottom w:type="dxa" w:w="80"/>
              <w:right w:type="dxa" w:w="120"/>
            </w:tcMar>
          </w:tcPr>
          <w:p>
            <w:r>
              <w:rPr>
                <w:b/>
                <w:bCs/>
                <w:color w:val="FFFFFF"/>
                <w:sz w:val="19"/>
                <w:szCs w:val="19"/>
              </w:rPr>
              <w:t xml:space="preserve">Subject / Topic</w:t>
            </w:r>
          </w:p>
        </w:tc>
        <w:tc>
          <w:tcPr>
            <w:tcW w:type="dxa" w:w="4860"/>
            <w:tcBorders>
              <w:top w:val="single" w:color="999999" w:sz="2"/>
              <w:left w:val="single" w:color="999999" w:sz="2"/>
              <w:bottom w:val="single" w:color="999999" w:sz="2"/>
              <w:right w:val="single" w:color="999999" w:sz="2"/>
            </w:tcBorders>
            <w:shd w:fill="1F4E5F" w:val="clear"/>
            <w:tcMar>
              <w:top w:type="dxa" w:w="80"/>
              <w:left w:type="dxa" w:w="120"/>
              <w:bottom w:type="dxa" w:w="80"/>
              <w:right w:type="dxa" w:w="120"/>
            </w:tcMar>
          </w:tcPr>
          <w:p>
            <w:r>
              <w:rPr>
                <w:b/>
                <w:bCs/>
                <w:color w:val="FFFFFF"/>
                <w:sz w:val="19"/>
                <w:szCs w:val="19"/>
              </w:rPr>
              <w:t xml:space="preserve">Source</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VII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India-China LAC standoff and the Galwan Valley clash (2020)</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Composed current-affairs/factual passage – no external source cited</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VIII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India's "Vaccine Maitri" and COVID-19 assistance to SAARC nations</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Composed current-affairs passage – no external source cited</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IX</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UN "Faith for Rights" (F4R) framework and the Rabat Plan of Action</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Composed/explanatory passage on the UN human rights framework – no external source cited</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UNESCO/National Mission for Clean Ganga "World Water Day 2021" programme</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Composed current-affairs passage, paraphrasing an official-release style report on the "H2Ooooh!" initiative</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PM Modi's Bangladesh visit and the Gandhi Peace Prize</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Composed current-affairs passage – no external source cited</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XII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India's Chabahar Port investment in Iran</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Composed/explanatory current-affairs passage on India's connectivity strategy – no external source cited</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XIII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Tso Kar Wetland Complex, Ladakh, designated a Ramsar site</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Composed current-affairs passage, paraphrasing an official-release style report quoting Minister Prakash Javadekar</w:t>
            </w:r>
          </w:p>
        </w:tc>
      </w:tr>
    </w:tbl>
    <w:p>
      <w:pPr>
        <w:spacing w:after="200"/>
      </w:pPr>
    </w:p>
    <w:p>
      <w:pPr>
        <w:pStyle w:val="Heading2"/>
      </w:pPr>
      <w:r>
        <w:t xml:space="preserve">Legal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999999" w:sz="2"/>
              <w:left w:val="single" w:color="999999" w:sz="2"/>
              <w:bottom w:val="single" w:color="999999" w:sz="2"/>
              <w:right w:val="single" w:color="999999" w:sz="2"/>
            </w:tcBorders>
            <w:shd w:fill="1F4E5F" w:val="clear"/>
            <w:tcMar>
              <w:top w:type="dxa" w:w="80"/>
              <w:left w:type="dxa" w:w="120"/>
              <w:bottom w:type="dxa" w:w="80"/>
              <w:right w:type="dxa" w:w="120"/>
            </w:tcMar>
          </w:tcPr>
          <w:p>
            <w:r>
              <w:rPr>
                <w:b/>
                <w:bCs/>
                <w:color w:val="FFFFFF"/>
                <w:sz w:val="19"/>
                <w:szCs w:val="19"/>
              </w:rPr>
              <w:t xml:space="preserve">Passage</w:t>
            </w:r>
          </w:p>
        </w:tc>
        <w:tc>
          <w:tcPr>
            <w:tcW w:type="dxa" w:w="3000"/>
            <w:tcBorders>
              <w:top w:val="single" w:color="999999" w:sz="2"/>
              <w:left w:val="single" w:color="999999" w:sz="2"/>
              <w:bottom w:val="single" w:color="999999" w:sz="2"/>
              <w:right w:val="single" w:color="999999" w:sz="2"/>
            </w:tcBorders>
            <w:shd w:fill="1F4E5F" w:val="clear"/>
            <w:tcMar>
              <w:top w:type="dxa" w:w="80"/>
              <w:left w:type="dxa" w:w="120"/>
              <w:bottom w:type="dxa" w:w="80"/>
              <w:right w:type="dxa" w:w="120"/>
            </w:tcMar>
          </w:tcPr>
          <w:p>
            <w:r>
              <w:rPr>
                <w:b/>
                <w:bCs/>
                <w:color w:val="FFFFFF"/>
                <w:sz w:val="19"/>
                <w:szCs w:val="19"/>
              </w:rPr>
              <w:t xml:space="preserve">Subject / Topic</w:t>
            </w:r>
          </w:p>
        </w:tc>
        <w:tc>
          <w:tcPr>
            <w:tcW w:type="dxa" w:w="4860"/>
            <w:tcBorders>
              <w:top w:val="single" w:color="999999" w:sz="2"/>
              <w:left w:val="single" w:color="999999" w:sz="2"/>
              <w:bottom w:val="single" w:color="999999" w:sz="2"/>
              <w:right w:val="single" w:color="999999" w:sz="2"/>
            </w:tcBorders>
            <w:shd w:fill="1F4E5F" w:val="clear"/>
            <w:tcMar>
              <w:top w:type="dxa" w:w="80"/>
              <w:left w:type="dxa" w:w="120"/>
              <w:bottom w:type="dxa" w:w="80"/>
              <w:right w:type="dxa" w:w="120"/>
            </w:tcMar>
          </w:tcPr>
          <w:p>
            <w:r>
              <w:rPr>
                <w:b/>
                <w:bCs/>
                <w:color w:val="FFFFFF"/>
                <w:sz w:val="19"/>
                <w:szCs w:val="19"/>
              </w:rPr>
              <w:t xml:space="preserve">Source</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XIV</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The tort doctrine of </w:t>
            </w:r>
            <w:r>
              <w:rPr>
                <w:i/>
                <w:iCs/>
              </w:rPr>
              <w:t xml:space="preserve">volenti non fit injuria</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Composed/explanatory legal passage – no external source cited</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XV</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Free consent, fraud and misrepresentation under the Indian Contract Act, 1872</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Composed/explanatory legal passage – no external source cited</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XVI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Communication of proposal and acceptance (Section 4, Indian Contract Act, 1872)</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Composed/explanatory legal passage – no external source cited</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XVII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Agreements in restraint of legal proceedings (Section 28, Indian Contract Act, 1872) and exclusive jurisdiction clauses</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Composed/explanatory legal passage – no external source cited</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XVIII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Doctrine of </w:t>
            </w:r>
            <w:r>
              <w:rPr>
                <w:i/>
                <w:iCs/>
              </w:rPr>
              <w:t xml:space="preserve">res judicata</w:t>
            </w:r>
            <w:r>
              <w:t xml:space="preserve"> and its application to writ petitions</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Composed/explanatory legal passage – no external source cited</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XIX</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Compassionate appointment as an exception to ordinary recruitment</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Composed/explanatory legal passage, paraphrasing service-law judgments – no single named source cited</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XX</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Bigamy and "solemnisation" under the Hindu Marriage Act, 1955</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Composed/explanatory legal passage citing </w:t>
            </w:r>
            <w:r>
              <w:rPr>
                <w:i/>
                <w:iCs/>
              </w:rPr>
              <w:t xml:space="preserve">Bhaurao Shankar Lokhande v. State of Maharashtra</w:t>
            </w:r>
            <w:r>
              <w:t xml:space="preserve">, AIR 1965 SC 1564</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XXI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"Consent" under Section 90, Indian Penal Code, 1860 (fear or misconception of fact)</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Composed/explanatory legal passage – no external source cited</w:t>
            </w:r>
          </w:p>
        </w:tc>
      </w:tr>
    </w:tbl>
    <w:p>
      <w:pPr>
        <w:spacing w:after="200"/>
      </w:pPr>
    </w:p>
    <w:p>
      <w:pPr>
        <w:pStyle w:val="Heading2"/>
      </w:pPr>
      <w:r>
        <w:t xml:space="preserve">Logical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999999" w:sz="2"/>
              <w:left w:val="single" w:color="999999" w:sz="2"/>
              <w:bottom w:val="single" w:color="999999" w:sz="2"/>
              <w:right w:val="single" w:color="999999" w:sz="2"/>
            </w:tcBorders>
            <w:shd w:fill="1F4E5F" w:val="clear"/>
            <w:tcMar>
              <w:top w:type="dxa" w:w="80"/>
              <w:left w:type="dxa" w:w="120"/>
              <w:bottom w:type="dxa" w:w="80"/>
              <w:right w:type="dxa" w:w="120"/>
            </w:tcMar>
          </w:tcPr>
          <w:p>
            <w:r>
              <w:rPr>
                <w:b/>
                <w:bCs/>
                <w:color w:val="FFFFFF"/>
                <w:sz w:val="19"/>
                <w:szCs w:val="19"/>
              </w:rPr>
              <w:t xml:space="preserve">Passage</w:t>
            </w:r>
          </w:p>
        </w:tc>
        <w:tc>
          <w:tcPr>
            <w:tcW w:type="dxa" w:w="3000"/>
            <w:tcBorders>
              <w:top w:val="single" w:color="999999" w:sz="2"/>
              <w:left w:val="single" w:color="999999" w:sz="2"/>
              <w:bottom w:val="single" w:color="999999" w:sz="2"/>
              <w:right w:val="single" w:color="999999" w:sz="2"/>
            </w:tcBorders>
            <w:shd w:fill="1F4E5F" w:val="clear"/>
            <w:tcMar>
              <w:top w:type="dxa" w:w="80"/>
              <w:left w:type="dxa" w:w="120"/>
              <w:bottom w:type="dxa" w:w="80"/>
              <w:right w:type="dxa" w:w="120"/>
            </w:tcMar>
          </w:tcPr>
          <w:p>
            <w:r>
              <w:rPr>
                <w:b/>
                <w:bCs/>
                <w:color w:val="FFFFFF"/>
                <w:sz w:val="19"/>
                <w:szCs w:val="19"/>
              </w:rPr>
              <w:t xml:space="preserve">Subject / Topic</w:t>
            </w:r>
          </w:p>
        </w:tc>
        <w:tc>
          <w:tcPr>
            <w:tcW w:type="dxa" w:w="4860"/>
            <w:tcBorders>
              <w:top w:val="single" w:color="999999" w:sz="2"/>
              <w:left w:val="single" w:color="999999" w:sz="2"/>
              <w:bottom w:val="single" w:color="999999" w:sz="2"/>
              <w:right w:val="single" w:color="999999" w:sz="2"/>
            </w:tcBorders>
            <w:shd w:fill="1F4E5F" w:val="clear"/>
            <w:tcMar>
              <w:top w:type="dxa" w:w="80"/>
              <w:left w:type="dxa" w:w="120"/>
              <w:bottom w:type="dxa" w:w="80"/>
              <w:right w:type="dxa" w:w="120"/>
            </w:tcMar>
          </w:tcPr>
          <w:p>
            <w:r>
              <w:rPr>
                <w:b/>
                <w:bCs/>
                <w:color w:val="FFFFFF"/>
                <w:sz w:val="19"/>
                <w:szCs w:val="19"/>
              </w:rPr>
              <w:t xml:space="preserve">Source</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XXII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Mental health stigma during the COVID-19 pandemic</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Composed/explanatory passage drawing on the stigma research of Graham Thornicroft, Institute of Psychiatry, Psychology and Neuroscience, King's College London</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XXIII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India's neighbourhood diplomacy and "soft power" in South Asia</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Composed/explanatory foreign-policy passage quoting David Malone, </w:t>
            </w:r>
            <w:r>
              <w:rPr>
                <w:i/>
                <w:iCs/>
              </w:rPr>
              <w:t xml:space="preserve">Does the Elephant Dance? Contemporary Indian Foreign Policy</w:t>
            </w:r>
            <w:r>
              <w:t xml:space="preserve"> (Oxford University Press), and referencing Nehru's and Lal Bahadur Shastri's favourite verses (Robert Frost; Guru Nanak)</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XXIV</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Critique of the conventional school system and "free schools"</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Composed/explanatory passage referencing Everett Reimer's </w:t>
            </w:r>
            <w:r>
              <w:rPr>
                <w:i/>
                <w:iCs/>
              </w:rPr>
              <w:t xml:space="preserve">School is Dead</w:t>
            </w:r>
            <w:r>
              <w:t xml:space="preserve">, Leo Tolstoy's Yasnaya Polyana school, Maria Montessori, Rabindranath Tagore's </w:t>
            </w:r>
            <w:r>
              <w:rPr>
                <w:i/>
                <w:iCs/>
              </w:rPr>
              <w:t xml:space="preserve">The Parrot's Training</w:t>
            </w:r>
            <w:r>
              <w:t xml:space="preserve">, and A.S. Neill's Summerhill School</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XXV</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Climate change risk in Asia and India's infrastructure response</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Composed/explanatory passage citing McKinsey's report, "Climate risk and response in Asia," and the National Infrastructure Pipeline</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XXVI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Rise in unemployment during the COVID-19 lockdown (PLFS data)</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Composed current-affairs/economic-commentary passage citing Periodic Labour Force Survey (PLFS) and Centre for Monitoring Indian Economy (CMIE) data</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XXVII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Comparison of India's COVID-19 death rate with the US and UK</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Composed opinion-style passage – no single named source cited</w:t>
            </w:r>
          </w:p>
        </w:tc>
      </w:tr>
    </w:tbl>
    <w:p>
      <w:pPr>
        <w:spacing w:after="200"/>
      </w:pPr>
    </w:p>
    <w:p>
      <w:pPr>
        <w:pStyle w:val="Heading2"/>
      </w:pPr>
      <w:r>
        <w:t xml:space="preserve">Quantitative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999999" w:sz="2"/>
              <w:left w:val="single" w:color="999999" w:sz="2"/>
              <w:bottom w:val="single" w:color="999999" w:sz="2"/>
              <w:right w:val="single" w:color="999999" w:sz="2"/>
            </w:tcBorders>
            <w:shd w:fill="1F4E5F" w:val="clear"/>
            <w:tcMar>
              <w:top w:type="dxa" w:w="80"/>
              <w:left w:type="dxa" w:w="120"/>
              <w:bottom w:type="dxa" w:w="80"/>
              <w:right w:type="dxa" w:w="120"/>
            </w:tcMar>
          </w:tcPr>
          <w:p>
            <w:r>
              <w:rPr>
                <w:b/>
                <w:bCs/>
                <w:color w:val="FFFFFF"/>
                <w:sz w:val="19"/>
                <w:szCs w:val="19"/>
              </w:rPr>
              <w:t xml:space="preserve">Passage</w:t>
            </w:r>
          </w:p>
        </w:tc>
        <w:tc>
          <w:tcPr>
            <w:tcW w:type="dxa" w:w="3000"/>
            <w:tcBorders>
              <w:top w:val="single" w:color="999999" w:sz="2"/>
              <w:left w:val="single" w:color="999999" w:sz="2"/>
              <w:bottom w:val="single" w:color="999999" w:sz="2"/>
              <w:right w:val="single" w:color="999999" w:sz="2"/>
            </w:tcBorders>
            <w:shd w:fill="1F4E5F" w:val="clear"/>
            <w:tcMar>
              <w:top w:type="dxa" w:w="80"/>
              <w:left w:type="dxa" w:w="120"/>
              <w:bottom w:type="dxa" w:w="80"/>
              <w:right w:type="dxa" w:w="120"/>
            </w:tcMar>
          </w:tcPr>
          <w:p>
            <w:r>
              <w:rPr>
                <w:b/>
                <w:bCs/>
                <w:color w:val="FFFFFF"/>
                <w:sz w:val="19"/>
                <w:szCs w:val="19"/>
              </w:rPr>
              <w:t xml:space="preserve">Subject / Topic</w:t>
            </w:r>
          </w:p>
        </w:tc>
        <w:tc>
          <w:tcPr>
            <w:tcW w:type="dxa" w:w="4860"/>
            <w:tcBorders>
              <w:top w:val="single" w:color="999999" w:sz="2"/>
              <w:left w:val="single" w:color="999999" w:sz="2"/>
              <w:bottom w:val="single" w:color="999999" w:sz="2"/>
              <w:right w:val="single" w:color="999999" w:sz="2"/>
            </w:tcBorders>
            <w:shd w:fill="1F4E5F" w:val="clear"/>
            <w:tcMar>
              <w:top w:type="dxa" w:w="80"/>
              <w:left w:type="dxa" w:w="120"/>
              <w:bottom w:type="dxa" w:w="80"/>
              <w:right w:type="dxa" w:w="120"/>
            </w:tcMar>
          </w:tcPr>
          <w:p>
            <w:r>
              <w:rPr>
                <w:b/>
                <w:bCs/>
                <w:color w:val="FFFFFF"/>
                <w:sz w:val="19"/>
                <w:szCs w:val="19"/>
              </w:rPr>
              <w:t xml:space="preserve">Source</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XXVIII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Profit-percentage data for two software companies, Pollaris and Contigent (2007–2012)</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Original composed data passage – not an excerpt</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XXIX</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State population data by age group, for welfare-scheme planning</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Original composed data passage – not an excerpt</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XXX</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Mr. Abhishek's household budget after a COVID-19 pay cut</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Original composed arithmetic-word-problem passage – not an excerpt</w:t>
            </w:r>
          </w:p>
        </w:tc>
      </w:tr>
    </w:tbl>
    <w:p>
      <w:pPr>
        <w:spacing w:after="200"/>
      </w:pPr>
    </w:p>
    <w:p>
      <w:pPr>
        <w:pStyle w:val="Heading1"/>
        <w:pageBreakBefore/>
      </w:pPr>
      <w:r>
        <w:t xml:space="preserve">CLAT (UG) 2020</w:t>
      </w:r>
    </w:p>
    <w:p>
      <w:pPr>
        <w:spacing w:after="240"/>
      </w:pPr>
      <w:r>
        <w:rPr>
          <w:i/>
          <w:iCs/>
        </w:rPr>
        <w:t xml:space="preserve">Unlike most other years, the 2020 question booklet frequently printed the source citation directly beneath each Current Affairs, Legal Reasoning and Logical Reasoning passage, making attribution for this year unusually explicit and reliable.</w:t>
      </w:r>
    </w:p>
    <w:p>
      <w:pPr>
        <w:pStyle w:val="Heading2"/>
      </w:pPr>
      <w:r>
        <w:t xml:space="preserve">English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999999" w:sz="2"/>
              <w:left w:val="single" w:color="999999" w:sz="2"/>
              <w:bottom w:val="single" w:color="999999" w:sz="2"/>
              <w:right w:val="single" w:color="999999" w:sz="2"/>
            </w:tcBorders>
            <w:shd w:fill="1F4E5F" w:val="clear"/>
            <w:tcMar>
              <w:top w:type="dxa" w:w="80"/>
              <w:left w:type="dxa" w:w="120"/>
              <w:bottom w:type="dxa" w:w="80"/>
              <w:right w:type="dxa" w:w="120"/>
            </w:tcMar>
          </w:tcPr>
          <w:p>
            <w:r>
              <w:rPr>
                <w:b/>
                <w:bCs/>
                <w:color w:val="FFFFFF"/>
                <w:sz w:val="19"/>
                <w:szCs w:val="19"/>
              </w:rPr>
              <w:t xml:space="preserve">Passage</w:t>
            </w:r>
          </w:p>
        </w:tc>
        <w:tc>
          <w:tcPr>
            <w:tcW w:type="dxa" w:w="3000"/>
            <w:tcBorders>
              <w:top w:val="single" w:color="999999" w:sz="2"/>
              <w:left w:val="single" w:color="999999" w:sz="2"/>
              <w:bottom w:val="single" w:color="999999" w:sz="2"/>
              <w:right w:val="single" w:color="999999" w:sz="2"/>
            </w:tcBorders>
            <w:shd w:fill="1F4E5F" w:val="clear"/>
            <w:tcMar>
              <w:top w:type="dxa" w:w="80"/>
              <w:left w:type="dxa" w:w="120"/>
              <w:bottom w:type="dxa" w:w="80"/>
              <w:right w:type="dxa" w:w="120"/>
            </w:tcMar>
          </w:tcPr>
          <w:p>
            <w:r>
              <w:rPr>
                <w:b/>
                <w:bCs/>
                <w:color w:val="FFFFFF"/>
                <w:sz w:val="19"/>
                <w:szCs w:val="19"/>
              </w:rPr>
              <w:t xml:space="preserve">Subject / Topic</w:t>
            </w:r>
          </w:p>
        </w:tc>
        <w:tc>
          <w:tcPr>
            <w:tcW w:type="dxa" w:w="4860"/>
            <w:tcBorders>
              <w:top w:val="single" w:color="999999" w:sz="2"/>
              <w:left w:val="single" w:color="999999" w:sz="2"/>
              <w:bottom w:val="single" w:color="999999" w:sz="2"/>
              <w:right w:val="single" w:color="999999" w:sz="2"/>
            </w:tcBorders>
            <w:shd w:fill="1F4E5F" w:val="clear"/>
            <w:tcMar>
              <w:top w:type="dxa" w:w="80"/>
              <w:left w:type="dxa" w:w="120"/>
              <w:bottom w:type="dxa" w:w="80"/>
              <w:right w:type="dxa" w:w="120"/>
            </w:tcMar>
          </w:tcPr>
          <w:p>
            <w:r>
              <w:rPr>
                <w:b/>
                <w:bCs/>
                <w:color w:val="FFFFFF"/>
                <w:sz w:val="19"/>
                <w:szCs w:val="19"/>
              </w:rPr>
              <w:t xml:space="preserve">Source</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Climate change adaptation in developing countries</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Composed/explanatory passage on climate adaptation strategies, in the style of IPCC/UN climate-adaptation literature – no single named source cited</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II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The "Bois Locker Room" Instagram scandal and online toxic masculinity</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Editorial published in </w:t>
            </w:r>
            <w:r>
              <w:rPr>
                <w:i/>
                <w:iCs/>
              </w:rPr>
              <w:t xml:space="preserve">The Times of India</w:t>
            </w:r>
            <w:r>
              <w:t xml:space="preserve">, dated 6 May 2020</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III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A cat patiently hunting a rabbit in the snow</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Mary E. Wilkins Freeman, "The Cat" (short story)</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IV</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A reflective narrator's preference for nature's company over human company</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Kate Chopin, "The Night Came Slowly" (short story)</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V</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A murder trial undone by mistaken identity (twin brothers)</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Graham Greene, "The Case for the Defence" (short story)</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VI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Telemedicine's growth in India during the COVID-19 pandemic</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Editorial published in </w:t>
            </w:r>
            <w:r>
              <w:rPr>
                <w:i/>
                <w:iCs/>
              </w:rPr>
              <w:t xml:space="preserve">The Hindu</w:t>
            </w:r>
            <w:r>
              <w:t xml:space="preserve">, dated 17 April 2020</w:t>
            </w:r>
          </w:p>
        </w:tc>
      </w:tr>
    </w:tbl>
    <w:p>
      <w:pPr>
        <w:spacing w:after="200"/>
      </w:pPr>
    </w:p>
    <w:p>
      <w:pPr>
        <w:pStyle w:val="Heading2"/>
      </w:pPr>
      <w:r>
        <w:t xml:space="preserve">Current Affairs including General Knowledge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999999" w:sz="2"/>
              <w:left w:val="single" w:color="999999" w:sz="2"/>
              <w:bottom w:val="single" w:color="999999" w:sz="2"/>
              <w:right w:val="single" w:color="999999" w:sz="2"/>
            </w:tcBorders>
            <w:shd w:fill="1F4E5F" w:val="clear"/>
            <w:tcMar>
              <w:top w:type="dxa" w:w="80"/>
              <w:left w:type="dxa" w:w="120"/>
              <w:bottom w:type="dxa" w:w="80"/>
              <w:right w:type="dxa" w:w="120"/>
            </w:tcMar>
          </w:tcPr>
          <w:p>
            <w:r>
              <w:rPr>
                <w:b/>
                <w:bCs/>
                <w:color w:val="FFFFFF"/>
                <w:sz w:val="19"/>
                <w:szCs w:val="19"/>
              </w:rPr>
              <w:t xml:space="preserve">Passage</w:t>
            </w:r>
          </w:p>
        </w:tc>
        <w:tc>
          <w:tcPr>
            <w:tcW w:type="dxa" w:w="3000"/>
            <w:tcBorders>
              <w:top w:val="single" w:color="999999" w:sz="2"/>
              <w:left w:val="single" w:color="999999" w:sz="2"/>
              <w:bottom w:val="single" w:color="999999" w:sz="2"/>
              <w:right w:val="single" w:color="999999" w:sz="2"/>
            </w:tcBorders>
            <w:shd w:fill="1F4E5F" w:val="clear"/>
            <w:tcMar>
              <w:top w:type="dxa" w:w="80"/>
              <w:left w:type="dxa" w:w="120"/>
              <w:bottom w:type="dxa" w:w="80"/>
              <w:right w:type="dxa" w:w="120"/>
            </w:tcMar>
          </w:tcPr>
          <w:p>
            <w:r>
              <w:rPr>
                <w:b/>
                <w:bCs/>
                <w:color w:val="FFFFFF"/>
                <w:sz w:val="19"/>
                <w:szCs w:val="19"/>
              </w:rPr>
              <w:t xml:space="preserve">Subject / Topic</w:t>
            </w:r>
          </w:p>
        </w:tc>
        <w:tc>
          <w:tcPr>
            <w:tcW w:type="dxa" w:w="4860"/>
            <w:tcBorders>
              <w:top w:val="single" w:color="999999" w:sz="2"/>
              <w:left w:val="single" w:color="999999" w:sz="2"/>
              <w:bottom w:val="single" w:color="999999" w:sz="2"/>
              <w:right w:val="single" w:color="999999" w:sz="2"/>
            </w:tcBorders>
            <w:shd w:fill="1F4E5F" w:val="clear"/>
            <w:tcMar>
              <w:top w:type="dxa" w:w="80"/>
              <w:left w:type="dxa" w:w="120"/>
              <w:bottom w:type="dxa" w:w="80"/>
              <w:right w:type="dxa" w:w="120"/>
            </w:tcMar>
          </w:tcPr>
          <w:p>
            <w:r>
              <w:rPr>
                <w:b/>
                <w:bCs/>
                <w:color w:val="FFFFFF"/>
                <w:sz w:val="19"/>
                <w:szCs w:val="19"/>
              </w:rPr>
              <w:t xml:space="preserve">Source</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VII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"Atmanirbhar Bharat" and the National Infrastructure Pipeline (NIP)</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Rajeev Jayaswal, </w:t>
            </w:r>
            <w:r>
              <w:rPr>
                <w:i/>
                <w:iCs/>
              </w:rPr>
              <w:t xml:space="preserve">Hindustan Times</w:t>
            </w:r>
            <w:r>
              <w:t xml:space="preserve">, dated 15 August 2020</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VIII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RBI's foreign exchange reserves, OMOs and Long-Term Repo Operations (LTROs)</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Manojit Saha, </w:t>
            </w:r>
            <w:r>
              <w:rPr>
                <w:i/>
                <w:iCs/>
              </w:rPr>
              <w:t xml:space="preserve">The Print</w:t>
            </w:r>
            <w:r>
              <w:t xml:space="preserve">, dated 2 September 2020</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IX</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Induction of the Rafale fighter jets into the Indian Air Force</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Vishnu Som (reported), Shylaja Varma (edited), </w:t>
            </w:r>
            <w:r>
              <w:rPr>
                <w:i/>
                <w:iCs/>
              </w:rPr>
              <w:t xml:space="preserve">NDTV</w:t>
            </w:r>
            <w:r>
              <w:t xml:space="preserve">, dated 27 July 2020</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The India-Nepal Kalapani/Lipulekh border dispute</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Dr. Constantino Xavier, brookings.edu, dated 11 June 2020</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Higher-education reforms under the National Education Policy (NEP), 2020</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Nitin Mehta &amp; Gagan Mehta, downtoearth.org.in, dated 14 August 2020</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XII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India-Pakistan tensions at the SAARC and SCO virtual meetings</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Suhasini Haider, </w:t>
            </w:r>
            <w:r>
              <w:rPr>
                <w:i/>
                <w:iCs/>
              </w:rPr>
              <w:t xml:space="preserve">The Hindu</w:t>
            </w:r>
            <w:r>
              <w:t xml:space="preserve">, dated 17 September 2020</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XIII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The UAE-Israel "Abraham Accords" peace deal and India's regional interests</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Indrani Bagchi, </w:t>
            </w:r>
            <w:r>
              <w:rPr>
                <w:i/>
                <w:iCs/>
              </w:rPr>
              <w:t xml:space="preserve">The Economic Times</w:t>
            </w:r>
            <w:r>
              <w:t xml:space="preserve">, dated 16 August 2020</w:t>
            </w:r>
          </w:p>
        </w:tc>
      </w:tr>
    </w:tbl>
    <w:p>
      <w:pPr>
        <w:spacing w:after="200"/>
      </w:pPr>
    </w:p>
    <w:p>
      <w:pPr>
        <w:pStyle w:val="Heading2"/>
      </w:pPr>
      <w:r>
        <w:t xml:space="preserve">Legal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999999" w:sz="2"/>
              <w:left w:val="single" w:color="999999" w:sz="2"/>
              <w:bottom w:val="single" w:color="999999" w:sz="2"/>
              <w:right w:val="single" w:color="999999" w:sz="2"/>
            </w:tcBorders>
            <w:shd w:fill="1F4E5F" w:val="clear"/>
            <w:tcMar>
              <w:top w:type="dxa" w:w="80"/>
              <w:left w:type="dxa" w:w="120"/>
              <w:bottom w:type="dxa" w:w="80"/>
              <w:right w:type="dxa" w:w="120"/>
            </w:tcMar>
          </w:tcPr>
          <w:p>
            <w:r>
              <w:rPr>
                <w:b/>
                <w:bCs/>
                <w:color w:val="FFFFFF"/>
                <w:sz w:val="19"/>
                <w:szCs w:val="19"/>
              </w:rPr>
              <w:t xml:space="preserve">Passage</w:t>
            </w:r>
          </w:p>
        </w:tc>
        <w:tc>
          <w:tcPr>
            <w:tcW w:type="dxa" w:w="3000"/>
            <w:tcBorders>
              <w:top w:val="single" w:color="999999" w:sz="2"/>
              <w:left w:val="single" w:color="999999" w:sz="2"/>
              <w:bottom w:val="single" w:color="999999" w:sz="2"/>
              <w:right w:val="single" w:color="999999" w:sz="2"/>
            </w:tcBorders>
            <w:shd w:fill="1F4E5F" w:val="clear"/>
            <w:tcMar>
              <w:top w:type="dxa" w:w="80"/>
              <w:left w:type="dxa" w:w="120"/>
              <w:bottom w:type="dxa" w:w="80"/>
              <w:right w:type="dxa" w:w="120"/>
            </w:tcMar>
          </w:tcPr>
          <w:p>
            <w:r>
              <w:rPr>
                <w:b/>
                <w:bCs/>
                <w:color w:val="FFFFFF"/>
                <w:sz w:val="19"/>
                <w:szCs w:val="19"/>
              </w:rPr>
              <w:t xml:space="preserve">Subject / Topic</w:t>
            </w:r>
          </w:p>
        </w:tc>
        <w:tc>
          <w:tcPr>
            <w:tcW w:type="dxa" w:w="4860"/>
            <w:tcBorders>
              <w:top w:val="single" w:color="999999" w:sz="2"/>
              <w:left w:val="single" w:color="999999" w:sz="2"/>
              <w:bottom w:val="single" w:color="999999" w:sz="2"/>
              <w:right w:val="single" w:color="999999" w:sz="2"/>
            </w:tcBorders>
            <w:shd w:fill="1F4E5F" w:val="clear"/>
            <w:tcMar>
              <w:top w:type="dxa" w:w="80"/>
              <w:left w:type="dxa" w:w="120"/>
              <w:bottom w:type="dxa" w:w="80"/>
              <w:right w:type="dxa" w:w="120"/>
            </w:tcMar>
          </w:tcPr>
          <w:p>
            <w:r>
              <w:rPr>
                <w:b/>
                <w:bCs/>
                <w:color w:val="FFFFFF"/>
                <w:sz w:val="19"/>
                <w:szCs w:val="19"/>
              </w:rPr>
              <w:t xml:space="preserve">Source</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XIV</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Force majeure and material adverse effect (MAE) clauses in COVID-19-affected contracts</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Ranjana Roy Gawai, </w:t>
            </w:r>
            <w:r>
              <w:rPr>
                <w:i/>
                <w:iCs/>
              </w:rPr>
              <w:t xml:space="preserve">Business Today</w:t>
            </w:r>
            <w:r>
              <w:t xml:space="preserve">, dated 17 April 2020</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XV</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The law of obscenity: the Hicklin Test versus the Community Standards Test</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Composed/explanatory legal passage citing </w:t>
            </w:r>
            <w:r>
              <w:rPr>
                <w:i/>
                <w:iCs/>
              </w:rPr>
              <w:t xml:space="preserve">Regina v. Hicklin</w:t>
            </w:r>
            <w:r>
              <w:t xml:space="preserve"> (1868), </w:t>
            </w:r>
            <w:r>
              <w:rPr>
                <w:i/>
                <w:iCs/>
              </w:rPr>
              <w:t xml:space="preserve">Ranjit D. Udeshi v. State of Maharashtra</w:t>
            </w:r>
            <w:r>
              <w:t xml:space="preserve"> (1965), </w:t>
            </w:r>
            <w:r>
              <w:rPr>
                <w:i/>
                <w:iCs/>
              </w:rPr>
              <w:t xml:space="preserve">Chandrakant Kalyandas Kakodar v. State of Maharashtra</w:t>
            </w:r>
            <w:r>
              <w:t xml:space="preserve"> (1969), and </w:t>
            </w:r>
            <w:r>
              <w:rPr>
                <w:i/>
                <w:iCs/>
              </w:rPr>
              <w:t xml:space="preserve">Bobby Art International v. Om Pal Singh Hoon</w:t>
            </w:r>
            <w:r>
              <w:t xml:space="preserve"> (1996) – no single named source cited</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XVI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The LG Polymers Visakhapatnam gas leak and the Polluter Pays, Strict Liability and Absolute Liability principles</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Composed/explanatory legal passage citing </w:t>
            </w:r>
            <w:r>
              <w:rPr>
                <w:i/>
                <w:iCs/>
              </w:rPr>
              <w:t xml:space="preserve">Enviro Legal Action v. Union of India</w:t>
            </w:r>
            <w:r>
              <w:t xml:space="preserve">, </w:t>
            </w:r>
            <w:r>
              <w:rPr>
                <w:i/>
                <w:iCs/>
              </w:rPr>
              <w:t xml:space="preserve">Rylands v. Fletcher</w:t>
            </w:r>
            <w:r>
              <w:t xml:space="preserve"> (1868), and </w:t>
            </w:r>
            <w:r>
              <w:rPr>
                <w:i/>
                <w:iCs/>
              </w:rPr>
              <w:t xml:space="preserve">M.C. Mehta v. Union of India</w:t>
            </w:r>
            <w:r>
              <w:t xml:space="preserve"> – no single named source cited</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XVII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The three rules of natural justice (hearing rule, bias rule, reasoned decision rule)</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blog.ipleaders.in, dated 12 June 2019</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XVIII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The Palghar mob-lynching incident (April 2020)</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Alok Deshpande, </w:t>
            </w:r>
            <w:r>
              <w:rPr>
                <w:i/>
                <w:iCs/>
              </w:rPr>
              <w:t xml:space="preserve">The Hindu</w:t>
            </w:r>
            <w:r>
              <w:t xml:space="preserve">, dated 22 April 2020</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XIX</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Journalistic freedom, Article 32, and the </w:t>
            </w:r>
            <w:r>
              <w:rPr>
                <w:i/>
                <w:iCs/>
              </w:rPr>
              <w:t xml:space="preserve">Arnab Goswami</w:t>
            </w:r>
            <w:r>
              <w:t xml:space="preserve"> case</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rPr>
                <w:i/>
                <w:iCs/>
              </w:rPr>
              <w:t xml:space="preserve">SCC Online Blog</w:t>
            </w:r>
            <w:r>
              <w:t xml:space="preserve">, dated 19 May 2020, and the judgment in </w:t>
            </w:r>
            <w:r>
              <w:rPr>
                <w:i/>
                <w:iCs/>
              </w:rPr>
              <w:t xml:space="preserve">Arnab Ranjan Goswami v. Union of India</w:t>
            </w:r>
            <w:r>
              <w:t xml:space="preserve">, dated 19 May 2020</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XX</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Common intention versus similar intention under criminal law</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Composed/explanatory legal passage citing </w:t>
            </w:r>
            <w:r>
              <w:rPr>
                <w:i/>
                <w:iCs/>
              </w:rPr>
              <w:t xml:space="preserve">Pandurang v. State of Hyderabad</w:t>
            </w:r>
            <w:r>
              <w:t xml:space="preserve"> and </w:t>
            </w:r>
            <w:r>
              <w:rPr>
                <w:i/>
                <w:iCs/>
              </w:rPr>
              <w:t xml:space="preserve">Dukhmochan Pandey v. State of Bihar</w:t>
            </w:r>
            <w:r>
              <w:t xml:space="preserve"> – no single named source cited</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XXI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Ex post facto laws and Article 20(1) of the Constitution</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Composed/explanatory constitutional-law passage – no external source cited</w:t>
            </w:r>
          </w:p>
        </w:tc>
      </w:tr>
    </w:tbl>
    <w:p>
      <w:pPr>
        <w:spacing w:after="200"/>
      </w:pPr>
    </w:p>
    <w:p>
      <w:pPr>
        <w:pStyle w:val="Heading2"/>
      </w:pPr>
      <w:r>
        <w:t xml:space="preserve">Logical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999999" w:sz="2"/>
              <w:left w:val="single" w:color="999999" w:sz="2"/>
              <w:bottom w:val="single" w:color="999999" w:sz="2"/>
              <w:right w:val="single" w:color="999999" w:sz="2"/>
            </w:tcBorders>
            <w:shd w:fill="1F4E5F" w:val="clear"/>
            <w:tcMar>
              <w:top w:type="dxa" w:w="80"/>
              <w:left w:type="dxa" w:w="120"/>
              <w:bottom w:type="dxa" w:w="80"/>
              <w:right w:type="dxa" w:w="120"/>
            </w:tcMar>
          </w:tcPr>
          <w:p>
            <w:r>
              <w:rPr>
                <w:b/>
                <w:bCs/>
                <w:color w:val="FFFFFF"/>
                <w:sz w:val="19"/>
                <w:szCs w:val="19"/>
              </w:rPr>
              <w:t xml:space="preserve">Passage</w:t>
            </w:r>
          </w:p>
        </w:tc>
        <w:tc>
          <w:tcPr>
            <w:tcW w:type="dxa" w:w="3000"/>
            <w:tcBorders>
              <w:top w:val="single" w:color="999999" w:sz="2"/>
              <w:left w:val="single" w:color="999999" w:sz="2"/>
              <w:bottom w:val="single" w:color="999999" w:sz="2"/>
              <w:right w:val="single" w:color="999999" w:sz="2"/>
            </w:tcBorders>
            <w:shd w:fill="1F4E5F" w:val="clear"/>
            <w:tcMar>
              <w:top w:type="dxa" w:w="80"/>
              <w:left w:type="dxa" w:w="120"/>
              <w:bottom w:type="dxa" w:w="80"/>
              <w:right w:type="dxa" w:w="120"/>
            </w:tcMar>
          </w:tcPr>
          <w:p>
            <w:r>
              <w:rPr>
                <w:b/>
                <w:bCs/>
                <w:color w:val="FFFFFF"/>
                <w:sz w:val="19"/>
                <w:szCs w:val="19"/>
              </w:rPr>
              <w:t xml:space="preserve">Subject / Topic</w:t>
            </w:r>
          </w:p>
        </w:tc>
        <w:tc>
          <w:tcPr>
            <w:tcW w:type="dxa" w:w="4860"/>
            <w:tcBorders>
              <w:top w:val="single" w:color="999999" w:sz="2"/>
              <w:left w:val="single" w:color="999999" w:sz="2"/>
              <w:bottom w:val="single" w:color="999999" w:sz="2"/>
              <w:right w:val="single" w:color="999999" w:sz="2"/>
            </w:tcBorders>
            <w:shd w:fill="1F4E5F" w:val="clear"/>
            <w:tcMar>
              <w:top w:type="dxa" w:w="80"/>
              <w:left w:type="dxa" w:w="120"/>
              <w:bottom w:type="dxa" w:w="80"/>
              <w:right w:type="dxa" w:w="120"/>
            </w:tcMar>
          </w:tcPr>
          <w:p>
            <w:r>
              <w:rPr>
                <w:b/>
                <w:bCs/>
                <w:color w:val="FFFFFF"/>
                <w:sz w:val="19"/>
                <w:szCs w:val="19"/>
              </w:rPr>
              <w:t xml:space="preserve">Source</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XXII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The crisis in journalism and the rise of "digital scepticism"</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A.S. Panneerselvan, </w:t>
            </w:r>
            <w:r>
              <w:rPr>
                <w:i/>
                <w:iCs/>
              </w:rPr>
              <w:t xml:space="preserve">The Hindu</w:t>
            </w:r>
            <w:r>
              <w:t xml:space="preserve">, dated 10 August 2020</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XXIII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Prohibition, liberalism, and alcohol policy in India</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Bhanu Pratap Mehta (opinion), </w:t>
            </w:r>
            <w:r>
              <w:rPr>
                <w:i/>
                <w:iCs/>
              </w:rPr>
              <w:t xml:space="preserve">The Indian Express</w:t>
            </w:r>
            <w:r>
              <w:t xml:space="preserve">, dated 7 May 2020</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XXIV</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CBSE Class XII results, grade inflation, and India's Gross Enrolment Ratio</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rPr>
                <w:i/>
                <w:iCs/>
              </w:rPr>
              <w:t xml:space="preserve">TOI Edit</w:t>
            </w:r>
            <w:r>
              <w:t xml:space="preserve">, </w:t>
            </w:r>
            <w:r>
              <w:rPr>
                <w:i/>
                <w:iCs/>
              </w:rPr>
              <w:t xml:space="preserve">Times of India</w:t>
            </w:r>
            <w:r>
              <w:t xml:space="preserve"> Editorials, dated 15 July 2020</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XXV</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"Work from home" culture and its impact on city planning post-COVID-19</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Sugeet Grover, </w:t>
            </w:r>
            <w:r>
              <w:rPr>
                <w:i/>
                <w:iCs/>
              </w:rPr>
              <w:t xml:space="preserve">Down To Earth</w:t>
            </w:r>
            <w:r>
              <w:t xml:space="preserve"> magazine blog, dated 17 August 2020</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XXVI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Miscellaneous logical-reasoning items (assumptions, coding, debate analysis)</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Original composed reasoning questions – not an excerpt</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XXVII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Advantages and disadvantages of online classrooms during the pandemic</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Sneha Saha, </w:t>
            </w:r>
            <w:r>
              <w:rPr>
                <w:i/>
                <w:iCs/>
              </w:rPr>
              <w:t xml:space="preserve">The Indian Express</w:t>
            </w:r>
            <w:r>
              <w:t xml:space="preserve">, dated 18 April 2020</w:t>
            </w:r>
          </w:p>
        </w:tc>
      </w:tr>
    </w:tbl>
    <w:p>
      <w:pPr>
        <w:spacing w:after="200"/>
      </w:pPr>
    </w:p>
    <w:p>
      <w:pPr>
        <w:pStyle w:val="Heading2"/>
      </w:pPr>
      <w:r>
        <w:t xml:space="preserve">Quantitative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999999" w:sz="2"/>
              <w:left w:val="single" w:color="999999" w:sz="2"/>
              <w:bottom w:val="single" w:color="999999" w:sz="2"/>
              <w:right w:val="single" w:color="999999" w:sz="2"/>
            </w:tcBorders>
            <w:shd w:fill="1F4E5F" w:val="clear"/>
            <w:tcMar>
              <w:top w:type="dxa" w:w="80"/>
              <w:left w:type="dxa" w:w="120"/>
              <w:bottom w:type="dxa" w:w="80"/>
              <w:right w:type="dxa" w:w="120"/>
            </w:tcMar>
          </w:tcPr>
          <w:p>
            <w:r>
              <w:rPr>
                <w:b/>
                <w:bCs/>
                <w:color w:val="FFFFFF"/>
                <w:sz w:val="19"/>
                <w:szCs w:val="19"/>
              </w:rPr>
              <w:t xml:space="preserve">Passage</w:t>
            </w:r>
          </w:p>
        </w:tc>
        <w:tc>
          <w:tcPr>
            <w:tcW w:type="dxa" w:w="3000"/>
            <w:tcBorders>
              <w:top w:val="single" w:color="999999" w:sz="2"/>
              <w:left w:val="single" w:color="999999" w:sz="2"/>
              <w:bottom w:val="single" w:color="999999" w:sz="2"/>
              <w:right w:val="single" w:color="999999" w:sz="2"/>
            </w:tcBorders>
            <w:shd w:fill="1F4E5F" w:val="clear"/>
            <w:tcMar>
              <w:top w:type="dxa" w:w="80"/>
              <w:left w:type="dxa" w:w="120"/>
              <w:bottom w:type="dxa" w:w="80"/>
              <w:right w:type="dxa" w:w="120"/>
            </w:tcMar>
          </w:tcPr>
          <w:p>
            <w:r>
              <w:rPr>
                <w:b/>
                <w:bCs/>
                <w:color w:val="FFFFFF"/>
                <w:sz w:val="19"/>
                <w:szCs w:val="19"/>
              </w:rPr>
              <w:t xml:space="preserve">Subject / Topic</w:t>
            </w:r>
          </w:p>
        </w:tc>
        <w:tc>
          <w:tcPr>
            <w:tcW w:type="dxa" w:w="4860"/>
            <w:tcBorders>
              <w:top w:val="single" w:color="999999" w:sz="2"/>
              <w:left w:val="single" w:color="999999" w:sz="2"/>
              <w:bottom w:val="single" w:color="999999" w:sz="2"/>
              <w:right w:val="single" w:color="999999" w:sz="2"/>
            </w:tcBorders>
            <w:shd w:fill="1F4E5F" w:val="clear"/>
            <w:tcMar>
              <w:top w:type="dxa" w:w="80"/>
              <w:left w:type="dxa" w:w="120"/>
              <w:bottom w:type="dxa" w:w="80"/>
              <w:right w:type="dxa" w:w="120"/>
            </w:tcMar>
          </w:tcPr>
          <w:p>
            <w:r>
              <w:rPr>
                <w:b/>
                <w:bCs/>
                <w:color w:val="FFFFFF"/>
                <w:sz w:val="19"/>
                <w:szCs w:val="19"/>
              </w:rPr>
              <w:t xml:space="preserve">Source</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XXVIII</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Japanese Encephalitis cases across five Indian states, by gender ratio</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Original composed data passage – not an excerpt</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XXIX</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Room, furniture and book dimensions (area/volume calculation)</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Original composed data passage – not an excerpt</w:t>
            </w:r>
          </w:p>
        </w:tc>
      </w:tr>
      <w:tr>
        <w:tc>
          <w:tcPr>
            <w:tcW w:type="dxa" w:w="15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Passage XXX</w:t>
            </w:r>
          </w:p>
        </w:tc>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A goat tied to a pole on a semicircular plot (mensuration problem)</w:t>
            </w:r>
          </w:p>
        </w:tc>
        <w:tc>
          <w:tcPr>
            <w:tcW w:type="dxa" w:w="4860"/>
            <w:tcBorders>
              <w:top w:val="single" w:color="999999" w:sz="2"/>
              <w:left w:val="single" w:color="999999" w:sz="2"/>
              <w:bottom w:val="single" w:color="999999" w:sz="2"/>
              <w:right w:val="single" w:color="999999" w:sz="2"/>
            </w:tcBorders>
            <w:tcMar>
              <w:top w:type="dxa" w:w="80"/>
              <w:left w:type="dxa" w:w="120"/>
              <w:bottom w:type="dxa" w:w="80"/>
              <w:right w:type="dxa" w:w="120"/>
            </w:tcMar>
          </w:tcPr>
          <w:p>
            <w:r>
              <w:t xml:space="preserve">Original composed mathematics problem – not an excerpt</w:t>
            </w:r>
          </w:p>
        </w:tc>
      </w:tr>
    </w:tbl>
    <w:p>
      <w:pPr>
        <w:spacing w:after="200"/>
      </w:pPr>
    </w:p>
    <w:p>
      <w:pPr>
        <w:pStyle w:val="Heading1"/>
      </w:pPr>
      <w:r>
        <w:t xml:space="preserve">Summary of Source Patterns</w:t>
      </w:r>
    </w:p>
    <w:p>
      <w:pPr>
        <w:spacing w:after="200"/>
      </w:pPr>
      <w:r>
        <w:t xml:space="preserve">Across all six papers, the comprehension passages are drawn from a consistent mix of source types:</w:t>
      </w:r>
    </w:p>
    <w:p>
      <w:pPr>
        <w:pStyle w:val="ListParagraph"/>
        <w:numPr>
          <w:ilvl w:val="0"/>
          <w:numId w:val="1"/>
        </w:numPr>
        <w:spacing w:after="120"/>
      </w:pPr>
      <w:r>
        <w:t xml:space="preserve">Literary works – George Orwell, Swami Vivekananda, R.K. Narayan, J. Krishnamurti, Anita Desai, Salman Rushdie, Jia Tolentino, Arthur Conan Doyle, Mary E. Wilkins Freeman, Kate Chopin, Graham Greene, and references to Shakespeare, Jhumpa Lahiri, Arundhati Roy, G.K. Chesterton and Agatha Christie.</w:t>
      </w:r>
    </w:p>
    <w:p>
      <w:pPr>
        <w:pStyle w:val="ListParagraph"/>
        <w:numPr>
          <w:ilvl w:val="0"/>
          <w:numId w:val="1"/>
        </w:numPr>
        <w:spacing w:after="120"/>
      </w:pPr>
      <w:r>
        <w:t xml:space="preserve">News media and magazines – Reuters, The Hindu, The Indian Express, Hindustan Times, The Telegraph, The Wire, NBC News, the Times of India, Foreign Policy, the Los Angeles Review of Books, Fifty-Two, Scientific American, Business Today, The Economic Times, NDTV, and The Print.</w:t>
      </w:r>
    </w:p>
    <w:p>
      <w:pPr>
        <w:pStyle w:val="ListParagraph"/>
        <w:numPr>
          <w:ilvl w:val="0"/>
          <w:numId w:val="1"/>
        </w:numPr>
        <w:spacing w:after="120"/>
      </w:pPr>
      <w:r>
        <w:t xml:space="preserve">Historical and primary-source speeches – Dr. B.R. Ambedkar's Constituent Assembly address, Col. Wedgwood's parliamentary speech on the Jallianwala Bagh Massacre, Prime Minister Narendra Modi's Chandrayaan-3 speech, Winston Churchill's “We Shall Fight on the Beaches,” Chief Joseph's Surrender Speech, and William Faulkner's Nobel Prize Acceptance Speech.</w:t>
      </w:r>
    </w:p>
    <w:p>
      <w:pPr>
        <w:pStyle w:val="ListParagraph"/>
        <w:numPr>
          <w:ilvl w:val="0"/>
          <w:numId w:val="1"/>
        </w:numPr>
        <w:spacing w:after="120"/>
      </w:pPr>
      <w:r>
        <w:t xml:space="preserve">Academic and policy commentary – Carnegie India, Frontline, the Journal of the National Human Rights Commission, Nyaaya India, brookings.edu, and downtoearth.org.in.</w:t>
      </w:r>
    </w:p>
    <w:p>
      <w:pPr>
        <w:pStyle w:val="ListParagraph"/>
        <w:numPr>
          <w:ilvl w:val="0"/>
          <w:numId w:val="1"/>
        </w:numPr>
        <w:spacing w:after="120"/>
      </w:pPr>
      <w:r>
        <w:t xml:space="preserve">Long-form non-fiction and books – Snigdha Poonam's Dreamers, Rutger Bregman's Humankind, Sumana Roy's essay in the Los Angeles Review of Books, and David Malone's Does the Elephant Dance? Contemporary Indian Foreign Policy.</w:t>
      </w:r>
    </w:p>
    <w:p>
      <w:pPr>
        <w:pStyle w:val="ListParagraph"/>
        <w:numPr>
          <w:ilvl w:val="0"/>
          <w:numId w:val="1"/>
        </w:numPr>
        <w:spacing w:after="120"/>
      </w:pPr>
      <w:r>
        <w:t xml:space="preserve">Government documents and official data – Press Information Bureau releases on the Jammu &amp; Kashmir Reorganisation, Oxfam India's India Discrimination Report 2022, MoSPI labour-force data, FAO production data, and Periodic Labour Force Survey/CMIE unemployment data.</w:t>
      </w:r>
    </w:p>
    <w:p>
      <w:pPr>
        <w:pStyle w:val="ListParagraph"/>
        <w:numPr>
          <w:ilvl w:val="0"/>
          <w:numId w:val="1"/>
        </w:numPr>
        <w:spacing w:after="120"/>
      </w:pPr>
      <w:r>
        <w:t xml:space="preserve">NCERT textbooks – used for the passage on the Civil Disobedience Movement (CLAT 2025).</w:t>
      </w:r>
    </w:p>
    <w:p>
      <w:pPr>
        <w:pStyle w:val="ListParagraph"/>
        <w:numPr>
          <w:ilvl w:val="0"/>
          <w:numId w:val="1"/>
        </w:numPr>
        <w:spacing w:after="120"/>
      </w:pPr>
      <w:r>
        <w:t xml:space="preserve">Legal blogs and case law commentary – blog.ipleaders.in (CLAT 2020) and SCC Online Blog (CLAT 2020), often paired directly with excerpts of the underlying judgment.</w:t>
      </w:r>
    </w:p>
    <w:p>
      <w:pPr>
        <w:pStyle w:val="ListParagraph"/>
        <w:numPr>
          <w:ilvl w:val="0"/>
          <w:numId w:val="1"/>
        </w:numPr>
        <w:spacing w:after="120"/>
      </w:pPr>
      <w:r>
        <w:t xml:space="preserve">Originally composed passages – used predominantly in the Logical Reasoning and Quantitative Techniques sections in all six years, and forming the overwhelming majority of the Legal Reasoning sections in CLAT 2023, CLAT 2022 and CLAT 2021, as well as several Current Affairs and English Language passages in CLAT 2022 and CLAT 2021, where no real-world source is cited despite passages sometimes being formatted as excerpts.</w:t>
      </w:r>
    </w:p>
    <w:p>
      <w:pPr>
        <w:pStyle w:val="Heading2"/>
      </w:pPr>
      <w:r>
        <w:t xml:space="preserve">Notable Year-on-Year Trends</w:t>
      </w:r>
    </w:p>
    <w:p>
      <w:pPr>
        <w:pStyle w:val="ListParagraph"/>
        <w:numPr>
          <w:ilvl w:val="0"/>
          <w:numId w:val="1"/>
        </w:numPr>
        <w:spacing w:after="120"/>
      </w:pPr>
      <w:r>
        <w:t xml:space="preserve">CLAT 2025 and CLAT 2024 papers explicitly printed source attributions beneath nearly every passage, making source identification straightforward and reliable.</w:t>
      </w:r>
    </w:p>
    <w:p>
      <w:pPr>
        <w:pStyle w:val="ListParagraph"/>
        <w:numPr>
          <w:ilvl w:val="0"/>
          <w:numId w:val="1"/>
        </w:numPr>
        <w:spacing w:after="120"/>
      </w:pPr>
      <w:r>
        <w:t xml:space="preserve">CLAT 2020 also explicitly printed source attributions beneath most Current Affairs, Legal Reasoning and Logical Reasoning passages (e.g., "Excerpt from The Hindu, written by..."), making it the most reliably-attributed of the pre-2022 papers — closer in this respect to 2025/2024 than to 2023/2022/2021.</w:t>
      </w:r>
    </w:p>
    <w:p>
      <w:pPr>
        <w:pStyle w:val="ListParagraph"/>
        <w:numPr>
          <w:ilvl w:val="0"/>
          <w:numId w:val="1"/>
        </w:numPr>
        <w:spacing w:after="120"/>
      </w:pPr>
      <w:r>
        <w:t xml:space="preserve">CLAT 2023, CLAT 2022 and CLAT 2021 papers did not print attributions, requiring sources to be independently traced from internal textual evidence (named individuals, quoted dialogue, cited reports, and described real-world events).</w:t>
      </w:r>
    </w:p>
    <w:p>
      <w:pPr>
        <w:pStyle w:val="ListParagraph"/>
        <w:numPr>
          <w:ilvl w:val="0"/>
          <w:numId w:val="1"/>
        </w:numPr>
        <w:spacing w:after="120"/>
      </w:pPr>
      <w:r>
        <w:t xml:space="preserve">The proportion of composed/explanatory (non-attributable) passages is markedly higher in the Legal Reasoning sections of CLAT 2023, CLAT 2022 and CLAT 2021 compared to CLAT 2025, CLAT 2024 and CLAT 2020, where several Legal Reasoning passages (e.g., on the DPDPA, climate justice, the Examinations Act, force majeure clauses, the Arnab Goswami case, and the Palghar lynching) were drawn from identifiable news commentary or law-blog sources.</w:t>
      </w:r>
    </w:p>
    <w:p>
      <w:pPr>
        <w:pStyle w:val="ListParagraph"/>
        <w:numPr>
          <w:ilvl w:val="0"/>
          <w:numId w:val="1"/>
        </w:numPr>
        <w:spacing w:after="120"/>
      </w:pPr>
      <w:r>
        <w:t xml:space="preserve">Across all years, Logical Reasoning and Quantitative Techniques passages are almost entirely paper-setter compositions, with the consistent exception of data-driven Quantitative Techniques passages occasionally referencing named external datasets (e.g., the World Inequality Report 2022, Oxfam India, and FAO data) and Logical Reasoning passages built around real op-eds and editorials (a recurring feature of the CLAT 2020 and CLAT 2021 Logical Reasoning sections in particular).</w:t>
      </w:r>
    </w:p>
    <w:p>
      <w:pPr>
        <w:spacing w:after="240"/>
      </w:pPr>
      <w:r>
        <w:rPr>
          <w:i/>
          <w:iCs/>
        </w:rPr>
        <w:t xml:space="preserve">Note: Where the question paper format presents a passage as an “extract” but does not name a specific author or publication, this has been marked as a composed/explanatory passage rather than attributed to an unverifiable source. For the 2023, 2022 and 2021 papers in particular, source identifications for English Language and Current Affairs passages were made by matching distinctive phrasing, quoted reports and described events to their original publications; where no such match could be confidently made, the passage is marked as composed/explanatory.</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5F"/>
      <w:sz w:val="32"/>
      <w:szCs w:val="32"/>
    </w:rPr>
  </w:style>
  <w:style w:type="paragraph" w:styleId="Heading2">
    <w:name w:val="Heading 2"/>
    <w:basedOn w:val="Normal"/>
    <w:next w:val="Normal"/>
    <w:qFormat/>
    <w:pPr>
      <w:spacing w:after="160" w:before="24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2026-06-30T08:20:14.268Z</dcterms:created>
  <dcterms:modified xsi:type="dcterms:W3CDTF">2026-06-30T08:20:14.269Z</dcterms:modified>
</cp:coreProperties>
</file>

<file path=docProps/custom.xml><?xml version="1.0" encoding="utf-8"?>
<Properties xmlns="http://schemas.openxmlformats.org/officeDocument/2006/custom-properties" xmlns:vt="http://schemas.openxmlformats.org/officeDocument/2006/docPropsVTypes"/>
</file>