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MOCK CLAT (UG) QUESTION PAPER</w:t>
      </w:r>
    </w:p>
    <w:p>
      <w:pPr>
        <w:spacing w:after="40"/>
        <w:jc w:val="center"/>
      </w:pPr>
      <w:r>
        <w:rPr>
          <w:rFonts w:ascii="Times New Roman" w:cs="Times New Roman" w:eastAsia="Times New Roman" w:hAnsi="Times New Roman"/>
          <w:i/>
          <w:iCs/>
          <w:sz w:val="22"/>
          <w:szCs w:val="22"/>
        </w:rPr>
        <w:t xml:space="preserve">(Modelled on the Format of CLAT (UG) 2025)</w:t>
      </w:r>
    </w:p>
    <w:p>
      <w:pPr>
        <w:spacing w:after="360"/>
        <w:jc w:val="center"/>
      </w:pPr>
      <w:r>
        <w:rPr>
          <w:rFonts w:ascii="Times New Roman" w:cs="Times New Roman" w:eastAsia="Times New Roman" w:hAnsi="Times New Roman"/>
          <w:b/>
          <w:bCs/>
          <w:sz w:val="24"/>
          <w:szCs w:val="24"/>
        </w:rPr>
        <w:t xml:space="preserve">SET – M1</w:t>
      </w:r>
    </w:p>
    <w:p>
      <w:pPr>
        <w:pBdr>
          <w:bottom w:val="single" w:color="000000" w:sz="4" w:space="4"/>
        </w:pBdr>
        <w:spacing w:after="240"/>
      </w:pPr>
      <w:r>
        <w:rPr>
          <w:rFonts w:ascii="Times New Roman" w:cs="Times New Roman" w:eastAsia="Times New Roman" w:hAnsi="Times New Roman"/>
          <w:sz w:val="2"/>
          <w:szCs w:val="2"/>
        </w:rPr>
        <w:t xml:space="preserve"/>
      </w:r>
    </w:p>
    <w:p>
      <w:pPr>
        <w:tabs>
          <w:tab w:val="right" w:pos="9026"/>
        </w:tabs>
        <w:spacing w:after="120"/>
      </w:pPr>
      <w:r>
        <w:rPr>
          <w:rFonts w:ascii="Times New Roman" w:cs="Times New Roman" w:eastAsia="Times New Roman" w:hAnsi="Times New Roman"/>
          <w:b/>
          <w:bCs/>
          <w:sz w:val="22"/>
          <w:szCs w:val="22"/>
        </w:rPr>
        <w:t xml:space="preserve">Duration of Test: 2 Hours (120 minutes)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Maximum Marks: 120</w:t>
      </w:r>
    </w:p>
    <w:p>
      <w:pPr>
        <w:spacing w:after="160" w:before="120"/>
      </w:pPr>
      <w:r>
        <w:rPr>
          <w:rFonts w:ascii="Times New Roman" w:cs="Times New Roman" w:eastAsia="Times New Roman" w:hAnsi="Times New Roman"/>
          <w:b/>
          <w:bCs/>
          <w:sz w:val="22"/>
          <w:szCs w:val="22"/>
          <w:u w:val="single"/>
        </w:rPr>
        <w:t xml:space="preserve">Instructions to Candidates</w:t>
      </w:r>
    </w:p>
    <w:p>
      <w:pPr>
        <w:tabs>
          <w:tab w:val="left" w:pos="360"/>
        </w:tabs>
        <w:spacing w:after="100" w:line="264"/>
        <w:ind w:left="360" w:hanging="3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This Question Booklet contains 120 (One Hundred and Twenty) Multiple Choice Questions, organised subject-wise as set out in the Contents below.</w:t>
      </w:r>
    </w:p>
    <w:p>
      <w:pPr>
        <w:tabs>
          <w:tab w:val="left" w:pos="360"/>
        </w:tabs>
        <w:spacing w:after="100" w:line="264"/>
        <w:ind w:left="360" w:hanging="3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You have to answer ALL questions. Mark your responses in the manner prescribed by your test administrator.</w:t>
      </w:r>
    </w:p>
    <w:p>
      <w:pPr>
        <w:tabs>
          <w:tab w:val="left" w:pos="360"/>
        </w:tabs>
        <w:spacing w:after="100" w:line="264"/>
        <w:ind w:left="360" w:hanging="3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Every Right Answer secures 1 (one) mark. Every Wrong Answer results in the deduction of 0.25 mark. There shall be no deduction for Unanswered Questions.</w:t>
      </w:r>
    </w:p>
    <w:p>
      <w:pPr>
        <w:tabs>
          <w:tab w:val="left" w:pos="360"/>
        </w:tabs>
        <w:spacing w:after="100" w:line="264"/>
        <w:ind w:left="360" w:hanging="3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All passages appearing in this paper are originally composed for this mock paper. Any resemblance to a previously published passage is unintended and incidental; none of the passages reproduce text from any previously published source.</w:t>
      </w:r>
    </w:p>
    <w:p>
      <w:pPr>
        <w:tabs>
          <w:tab w:val="left" w:pos="360"/>
        </w:tabs>
        <w:spacing w:after="100" w:line="264"/>
        <w:ind w:left="360" w:hanging="3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An Answer Key is provided at the end of this Question Booklet for self-evaluation.</w:t>
      </w:r>
    </w:p>
    <w:p>
      <w:pPr>
        <w:spacing w:after="140" w:before="280"/>
        <w:jc w:val="center"/>
      </w:pPr>
      <w:r>
        <w:rPr>
          <w:rFonts w:ascii="Times New Roman" w:cs="Times New Roman" w:eastAsia="Times New Roman" w:hAnsi="Times New Roman"/>
          <w:b/>
          <w:bCs/>
          <w:sz w:val="24"/>
          <w:szCs w:val="24"/>
        </w:rPr>
        <w:t xml:space="preserve">CONTENTS OF QUESTION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gridCol w:w="1760"/>
      </w:tblGrid>
      <w:tr>
        <w:tc>
          <w:tcPr>
            <w:tcW w:type="dxa" w:w="54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jc w:val="left"/>
            </w:pPr>
            <w:r>
              <w:rPr>
                <w:rFonts w:ascii="Times New Roman" w:cs="Times New Roman" w:eastAsia="Times New Roman" w:hAnsi="Times New Roman"/>
                <w:b/>
                <w:bCs/>
                <w:sz w:val="21"/>
                <w:szCs w:val="21"/>
              </w:rPr>
              <w:t xml:space="preserve">Subject</w:t>
            </w:r>
          </w:p>
        </w:tc>
        <w:tc>
          <w:tcPr>
            <w:tcW w:type="dxa" w:w="220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Q. Nos.</w:t>
            </w:r>
          </w:p>
        </w:tc>
        <w:tc>
          <w:tcPr>
            <w:tcW w:type="dxa" w:w="1760"/>
            <w:tcBorders>
              <w:top w:val="single" w:color="000000" w:sz="2"/>
              <w:left w:val="single" w:color="000000" w:sz="2"/>
              <w:bottom w:val="single" w:color="000000" w:sz="2"/>
              <w:right w:val="single" w:color="000000" w:sz="2"/>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1"/>
                <w:szCs w:val="21"/>
              </w:rPr>
              <w:t xml:space="preserve">No. of Questions</w:t>
            </w:r>
          </w:p>
        </w:tc>
      </w:tr>
      <w:tr>
        <w:tc>
          <w:tcPr>
            <w:tcW w:type="dxa" w:w="54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English Language</w:t>
            </w:r>
          </w:p>
        </w:tc>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1 – 24</w:t>
            </w:r>
          </w:p>
        </w:tc>
        <w:tc>
          <w:tcPr>
            <w:tcW w:type="dxa" w:w="176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24</w:t>
            </w:r>
          </w:p>
        </w:tc>
      </w:tr>
      <w:tr>
        <w:tc>
          <w:tcPr>
            <w:tcW w:type="dxa" w:w="54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Current Affairs Including General Knowledge</w:t>
            </w:r>
          </w:p>
        </w:tc>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25 – 52</w:t>
            </w:r>
          </w:p>
        </w:tc>
        <w:tc>
          <w:tcPr>
            <w:tcW w:type="dxa" w:w="176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28</w:t>
            </w:r>
          </w:p>
        </w:tc>
      </w:tr>
      <w:tr>
        <w:tc>
          <w:tcPr>
            <w:tcW w:type="dxa" w:w="54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Legal Reasoning</w:t>
            </w:r>
          </w:p>
        </w:tc>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53 – 84</w:t>
            </w:r>
          </w:p>
        </w:tc>
        <w:tc>
          <w:tcPr>
            <w:tcW w:type="dxa" w:w="176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32</w:t>
            </w:r>
          </w:p>
        </w:tc>
      </w:tr>
      <w:tr>
        <w:tc>
          <w:tcPr>
            <w:tcW w:type="dxa" w:w="54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Logical Reasoning</w:t>
            </w:r>
          </w:p>
        </w:tc>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85 – 108</w:t>
            </w:r>
          </w:p>
        </w:tc>
        <w:tc>
          <w:tcPr>
            <w:tcW w:type="dxa" w:w="176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24</w:t>
            </w:r>
          </w:p>
        </w:tc>
      </w:tr>
      <w:tr>
        <w:tc>
          <w:tcPr>
            <w:tcW w:type="dxa" w:w="54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1"/>
                <w:szCs w:val="21"/>
              </w:rPr>
              <w:t xml:space="preserve">Quantitative Techniques</w:t>
            </w:r>
          </w:p>
        </w:tc>
        <w:tc>
          <w:tcPr>
            <w:tcW w:type="dxa" w:w="220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109 – 120</w:t>
            </w:r>
          </w:p>
        </w:tc>
        <w:tc>
          <w:tcPr>
            <w:tcW w:type="dxa" w:w="1760"/>
            <w:tcBorders>
              <w:top w:val="single" w:color="000000" w:sz="2"/>
              <w:left w:val="single" w:color="000000" w:sz="2"/>
              <w:bottom w:val="single" w:color="000000" w:sz="2"/>
              <w:right w:val="single" w:color="000000" w:sz="2"/>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1"/>
                <w:szCs w:val="21"/>
              </w:rPr>
              <w:t xml:space="preserve">12</w:t>
            </w:r>
          </w:p>
        </w:tc>
      </w:tr>
    </w:tbl>
    <w:p>
      <w:pPr>
        <w:pageBreakBefore/>
        <w:pBdr>
          <w:bottom w:val="single" w:color="000000" w:sz="6" w:space="4"/>
        </w:pBdr>
        <w:spacing w:after="240" w:before="0"/>
        <w:jc w:val="center"/>
      </w:pPr>
      <w:r>
        <w:rPr>
          <w:rFonts w:ascii="Times New Roman" w:cs="Times New Roman" w:eastAsia="Times New Roman" w:hAnsi="Times New Roman"/>
          <w:b/>
          <w:bCs/>
          <w:sz w:val="26"/>
          <w:szCs w:val="26"/>
        </w:rPr>
        <w:t xml:space="preserve">English Language</w:t>
      </w:r>
    </w:p>
    <w:p>
      <w:pPr>
        <w:tabs>
          <w:tab w:val="left" w:pos="280"/>
        </w:tabs>
        <w:spacing w:after="140" w:before="200" w:line="276"/>
        <w:ind w:left="280"/>
      </w:pPr>
      <w:r>
        <w:rPr>
          <w:rFonts w:ascii="Times New Roman" w:cs="Times New Roman" w:eastAsia="Times New Roman" w:hAnsi="Times New Roman"/>
          <w:b/>
          <w:bCs/>
          <w:sz w:val="22"/>
          <w:szCs w:val="22"/>
        </w:rPr>
        <w:t xml:space="preserve">I.	</w:t>
      </w:r>
      <w:r>
        <w:rPr>
          <w:rFonts w:ascii="Times New Roman" w:cs="Times New Roman" w:eastAsia="Times New Roman" w:hAnsi="Times New Roman"/>
          <w:sz w:val="22"/>
          <w:szCs w:val="22"/>
        </w:rPr>
        <w:t xml:space="preserve">From the time I was nine years old, I understood that the persons who fascinated me most were not the ones who triumphed easily but the ones who failed repeatedly and got up anyway. I did not have the language for it then, but what I was responding to was a certain stubbornness of spirit, a refusal to let a single defeat stand as the final word. I began, almost without noticing, to collect such stories: the inventor whose workshop burned down twice before his device worked, the runner who finished last in her first seven races before winning her eighth. I see now that I was building, brick by brick, a private philosophy out of other people's persistence.</w:t>
      </w:r>
    </w:p>
    <w:p>
      <w:pPr>
        <w:spacing w:after="140" w:line="276"/>
        <w:ind w:left="280"/>
      </w:pPr>
      <w:r>
        <w:rPr>
          <w:rFonts w:ascii="Times New Roman" w:cs="Times New Roman" w:eastAsia="Times New Roman" w:hAnsi="Times New Roman"/>
          <w:sz w:val="22"/>
          <w:szCs w:val="22"/>
        </w:rPr>
        <w:t xml:space="preserve">It would be convenient to say that talent is the deciding factor in any pursuit, and certainly talent matters; nobody rises very far on stubbornness alone if the underlying aptitude is wholly absent. But I have come to believe that talent is given far more credit than it deserves, largely because success is visible while the years of unglamorous repetition that preceded it are not. We see the finished painting, not the four hundred discarded sketches; we see the prize-winning novel, not the three abandoned manuscripts that taught the novelist how to write it. Habit, far more than inspiration, is the architecture on which any durable achievement is built.</w:t>
      </w:r>
    </w:p>
    <w:p>
      <w:pPr>
        <w:spacing w:after="140" w:line="276"/>
        <w:ind w:left="280"/>
      </w:pPr>
      <w:r>
        <w:rPr>
          <w:rFonts w:ascii="Times New Roman" w:cs="Times New Roman" w:eastAsia="Times New Roman" w:hAnsi="Times New Roman"/>
          <w:sz w:val="22"/>
          <w:szCs w:val="22"/>
        </w:rPr>
        <w:t xml:space="preserve">There is a difference, though, between habit and mere repetition. A person can repeat the same mistake for thirty years and call it experience. What separates productive habit from sterile routine is the presence of attention: a willingness to notice what failed and to adjust, however slightly, before trying again. This is harder than it sounds, because attention is tiring, and most of us would rather repeat a comfortable error than sit with the discomfort of an honest assessment. The people I admired as a child were not simply persistent; they were persistently curious about their own failures.</w:t>
      </w:r>
    </w:p>
    <w:p>
      <w:pPr>
        <w:spacing w:after="220"/>
        <w:ind w:left="360"/>
      </w:pPr>
      <w:r>
        <w:rPr>
          <w:rFonts w:ascii="Times New Roman" w:cs="Times New Roman" w:eastAsia="Times New Roman" w:hAnsi="Times New Roman"/>
          <w:i/>
          <w:iCs/>
          <w:sz w:val="20"/>
          <w:szCs w:val="20"/>
        </w:rPr>
        <w:t xml:space="preserve">[An original reflective essay on persistence and habit, composed for this paper]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According to the author, what distinguishes “productive habit” from “sterile routine”?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amount of natural talent a person possesses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presence of attention and willingness to adjust after failure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visibility of the final achievement to others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number of years spent practising a skill</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Why does the author say talent is “given far more credit than it deserves”?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Because the author personally lacked talent as a child</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Because habit is always more important than aptitude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Because talent does not exist in most successful people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Because success is visible while the preparatory failures behind it usually are not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Which of the following best captures the meaning of “sterile routine” as used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Repetition of the same error without reflection or change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new habit that has not yet produced results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routine that has been abandoned by the person practising it</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routine that is hygienic and well organised</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The author's childhood fascination, as described in the first paragraph, was primarily with people who:</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possessed extraordinary natural talent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failed repeatedly but continued trying</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achieved success without ever failing</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were famous for a single great achievement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What does the author mean by stating that a person can “repeat the same mistake for thirty years and call it experience”?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Mere duration of practice does not guarantee genuine improvement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Thirty years is the minimum period required to master any skill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People who repeat mistakes are unaware that they are doing so</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Experience is always a reliable teacher regardless of attention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Which of the following is an antonym of the word “durable” as used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Lasting</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Reliable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Fragile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Sturdy</w:t>
      </w:r>
    </w:p>
    <w:p>
      <w:pPr>
        <w:tabs>
          <w:tab w:val="left" w:pos="280"/>
        </w:tabs>
        <w:spacing w:after="140" w:before="200" w:line="276"/>
        <w:ind w:left="280"/>
      </w:pPr>
      <w:r>
        <w:rPr>
          <w:rFonts w:ascii="Times New Roman" w:cs="Times New Roman" w:eastAsia="Times New Roman" w:hAnsi="Times New Roman"/>
          <w:b/>
          <w:bCs/>
          <w:sz w:val="22"/>
          <w:szCs w:val="22"/>
        </w:rPr>
        <w:t xml:space="preserve">II.	</w:t>
      </w:r>
      <w:r>
        <w:rPr>
          <w:rFonts w:ascii="Times New Roman" w:cs="Times New Roman" w:eastAsia="Times New Roman" w:hAnsi="Times New Roman"/>
          <w:sz w:val="22"/>
          <w:szCs w:val="22"/>
        </w:rPr>
        <w:t xml:space="preserve">The teacher's true task, I have come to think, is not to fill a student's mind but to keep it open long enough for the student's own questions to take root. A mind that is merely filled becomes, in time, a warehouse of other people's conclusions; a mind that is kept open becomes capable of arriving at conclusions of its own, which is a far rarer and more valuable thing. We mistake information for understanding far too often, and we mistake obedience for discipline more often still. A classroom can be perfectly silent and utterly uneducational; it can also be noisy with argument and be the most educational room in the building.</w:t>
      </w:r>
    </w:p>
    <w:p>
      <w:pPr>
        <w:spacing w:after="140" w:line="276"/>
        <w:ind w:left="280"/>
      </w:pPr>
      <w:r>
        <w:rPr>
          <w:rFonts w:ascii="Times New Roman" w:cs="Times New Roman" w:eastAsia="Times New Roman" w:hAnsi="Times New Roman"/>
          <w:sz w:val="22"/>
          <w:szCs w:val="22"/>
        </w:rPr>
        <w:t xml:space="preserve">What I mean by keeping a mind open is this: that the teacher resists the temptation to hand over the answer the moment a difficulty appears. Difficulty is not an enemy to be eliminated from the learning process; it is very nearly the whole of the process. A student who is rescued from every difficulty learns, eventually, that thinking is something other people do on her behalf. A student who is allowed to sit with a difficult question, supported but not rescued, learns instead that her own mind is an instrument worth using.</w:t>
      </w:r>
    </w:p>
    <w:p>
      <w:pPr>
        <w:spacing w:after="140" w:line="276"/>
        <w:ind w:left="280"/>
      </w:pPr>
      <w:r>
        <w:rPr>
          <w:rFonts w:ascii="Times New Roman" w:cs="Times New Roman" w:eastAsia="Times New Roman" w:hAnsi="Times New Roman"/>
          <w:sz w:val="22"/>
          <w:szCs w:val="22"/>
        </w:rPr>
        <w:t xml:space="preserve">This does not mean that the teacher withholds knowledge out of some misguided notion of toughness. It means, rather, that the teacher distinguishes between the moment when a student needs information she could not possibly have derived on her own, and the moment when a student is simply being asked to do the harder work of thinking it through. The art of teaching lies almost entirely in telling these two moments apart, and most of us, if we are honest, get the distinction wrong more often than we get it right.</w:t>
      </w:r>
    </w:p>
    <w:p>
      <w:pPr>
        <w:spacing w:after="220"/>
        <w:ind w:left="360"/>
      </w:pPr>
      <w:r>
        <w:rPr>
          <w:rFonts w:ascii="Times New Roman" w:cs="Times New Roman" w:eastAsia="Times New Roman" w:hAnsi="Times New Roman"/>
          <w:i/>
          <w:iCs/>
          <w:sz w:val="20"/>
          <w:szCs w:val="20"/>
        </w:rPr>
        <w:t xml:space="preserve">[An original passage on the purpose and method of teaching, composed for this paper]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According to the author, what is the “true task” of a teacher?</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To keep the student's mind open so that her own questions take root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To fill the student's mind with as much information as possible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To ensure complete silence in the classroom</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To eliminate all difficulty from the learning process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Why does the author distinguish between “information” and “understanding”?</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Because a mind filled only with information becomes a warehouse of conclusions reached by others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Because information always leads automatically to genuine understanding</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Because information is more valuable than understanding</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Because understanding cannot be taught in a classroom</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What does the author identify as the central art of good teaching?</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Maintaining strict discipline at all times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Avoiding all forms of difficulty in the syllabus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Telling apart the moment a student genuinely needs new information from the moment she needs to think it through herself</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Ensuring that students always arrive at the correct answer quickly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The phrase “a student who is rescued from every difficulty” suggests that such a student will eventually: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develop a stronger capacity for original thought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outperform students who struggle with difficulties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become more independent in her thinking</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learn that thinking is something other people do for her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Which of the following best reflects the author's view on a noisy classroom?</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classroom can be noisy with argument and still be highly educational</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Noise in a classroom is unrelated to the quality of learning taking place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Silence is always necessary for genuine learning to occur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noisy classroom is always poorly managed</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What is the synonym closest in meaning to “misguided” as used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Cautious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Generous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Deliberate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Mistaken</w:t>
      </w:r>
    </w:p>
    <w:p>
      <w:pPr>
        <w:tabs>
          <w:tab w:val="left" w:pos="340"/>
        </w:tabs>
        <w:spacing w:after="140" w:before="200" w:line="276"/>
        <w:ind w:left="340"/>
      </w:pPr>
      <w:r>
        <w:rPr>
          <w:rFonts w:ascii="Times New Roman" w:cs="Times New Roman" w:eastAsia="Times New Roman" w:hAnsi="Times New Roman"/>
          <w:b/>
          <w:bCs/>
          <w:sz w:val="22"/>
          <w:szCs w:val="22"/>
        </w:rPr>
        <w:t xml:space="preserve">III.	</w:t>
      </w:r>
      <w:r>
        <w:rPr>
          <w:rFonts w:ascii="Times New Roman" w:cs="Times New Roman" w:eastAsia="Times New Roman" w:hAnsi="Times New Roman"/>
          <w:sz w:val="22"/>
          <w:szCs w:val="22"/>
        </w:rPr>
        <w:t xml:space="preserve">The old clockmaker's shop stood at the corner where the lane bent sharply toward the river, and it had stood there, by most accounts, for longer than anyone in the town could comfortably remember. Inside, clocks of every shape hung from the walls and stood upon every available surface, their pendulums swinging at war with one another so that no single second in the shop was agreed upon by all the clocks at once. Mr. Aurelio, who had inherited the shop along with its quarrelling clocks from his father, had long since stopped trying to synchronise them. “Let them disagree,” he would say to anyone who asked. “A shop full of clocks that all say the same thing is a shop with only one clock and a great deal of unnecessary brass.”</w:t>
      </w:r>
    </w:p>
    <w:p>
      <w:pPr>
        <w:spacing w:after="140" w:line="276"/>
        <w:ind w:left="340"/>
      </w:pPr>
      <w:r>
        <w:rPr>
          <w:rFonts w:ascii="Times New Roman" w:cs="Times New Roman" w:eastAsia="Times New Roman" w:hAnsi="Times New Roman"/>
          <w:sz w:val="22"/>
          <w:szCs w:val="22"/>
        </w:rPr>
        <w:t xml:space="preserve">He was, by trade, meant to be a repairer of timepieces, but the townsfolk had come to value him chiefly as a listener. They brought him clocks that did not need repairing at all, merely as an excuse to sit in his cramped workshop and speak of the things that troubled them, while Mr. Aurelio bent over some genuinely broken mechanism with a magnifying loupe screwed into one eye, nodding at intervals that seemed, somehow, always to arrive at the right moment. He rarely offered advice. When pressed, he would say only that a stopped clock and a troubled mind suffered from the same ailment: something inside had simply forgotten how to keep moving, and the cure was never to force the hands forward but to find, patiently, the small obstruction that had caused them to halt.</w:t>
      </w:r>
    </w:p>
    <w:p>
      <w:pPr>
        <w:spacing w:after="140" w:line="276"/>
        <w:ind w:left="340"/>
      </w:pPr>
      <w:r>
        <w:rPr>
          <w:rFonts w:ascii="Times New Roman" w:cs="Times New Roman" w:eastAsia="Times New Roman" w:hAnsi="Times New Roman"/>
          <w:sz w:val="22"/>
          <w:szCs w:val="22"/>
        </w:rPr>
        <w:t xml:space="preserve">On the afternoon a young woman named Elira arrived carrying her grandmother's mantel clock, silent now for eleven years, Mr. Aurelio took one look at the dust upon its case and understood that she had not come about the clock at all.</w:t>
      </w:r>
    </w:p>
    <w:p>
      <w:pPr>
        <w:spacing w:after="140" w:line="276"/>
        <w:ind w:left="340"/>
      </w:pPr>
      <w:r>
        <w:rPr>
          <w:rFonts w:ascii="Times New Roman" w:cs="Times New Roman" w:eastAsia="Times New Roman" w:hAnsi="Times New Roman"/>
          <w:sz w:val="22"/>
          <w:szCs w:val="22"/>
        </w:rPr>
        <w:t xml:space="preserve">“It stopped the week she died,” Elira said, setting it carefully upon the counter as though it might still wake on its own. “I kept thinking I would bring it in, and then I kept not bringing it in.”</w:t>
      </w:r>
    </w:p>
    <w:p>
      <w:pPr>
        <w:spacing w:after="140" w:line="276"/>
        <w:ind w:left="340"/>
      </w:pPr>
      <w:r>
        <w:rPr>
          <w:rFonts w:ascii="Times New Roman" w:cs="Times New Roman" w:eastAsia="Times New Roman" w:hAnsi="Times New Roman"/>
          <w:sz w:val="22"/>
          <w:szCs w:val="22"/>
        </w:rPr>
        <w:t xml:space="preserve">Mr. Aurelio turned the clock over in his hands, examined the case, and set it down again without opening it. “Some clocks,” he said gently, “are not stopped. They are only waiting for someone who is ready to hear them start again.”</w:t>
      </w:r>
    </w:p>
    <w:p>
      <w:pPr>
        <w:spacing w:after="220"/>
        <w:ind w:left="360"/>
      </w:pPr>
      <w:r>
        <w:rPr>
          <w:rFonts w:ascii="Times New Roman" w:cs="Times New Roman" w:eastAsia="Times New Roman" w:hAnsi="Times New Roman"/>
          <w:i/>
          <w:iCs/>
          <w:sz w:val="20"/>
          <w:szCs w:val="20"/>
        </w:rPr>
        <w:t xml:space="preserve">[An original short story written for this paper]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Why does Mr. Aurelio refuse to synchronise the clocks in his shop?</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townsfolk prefer the clocks to disagree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He believes a shop full of identical clocks would be pointless and wasteful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He does not know how to repair the mechanisms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clocks are too old to be synchronised</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What does the passage suggest is the real reason townsfolk visit Mr. Aurelio's shop?</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To use the excuse of a clock to speak about their troubles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To learn the trade of clock repair from him</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To have genuinely broken mechanisms repaired only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To purchase new clocks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According to Mr. Aurelio, what do a stopped clock and a troubled mind have in common?</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Both can be repaired only by an expert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Both have simply forgotten how to keep moving due to some small obstruction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Neither can ever truly be restored</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Both should be forcibly restarted as quickly as possible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Why had Elira delayed bringing her grandmother's clock to the shop for eleven years?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She believed the clock was beyond repair</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She did not know the shop existed</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Bringing it in was emotionally difficult, tied to her grandmother's death</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clock had only recently stopped working</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What is suggested by Mr. Aurelio's final remark that “some clocks are not stopped, they are only waiting”?</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He is speaking metaphorically about Elira's own readiness to move past her grief</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He believes all clocks eventually start on their own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He intends to repair the clock immediately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He is certain the clock's mechanism is undamaged</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Which word from the passage is closest in meaning to “obstruction”?</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Solution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Invention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Blockage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Decoration</w:t>
      </w:r>
    </w:p>
    <w:p>
      <w:pPr>
        <w:tabs>
          <w:tab w:val="left" w:pos="280"/>
        </w:tabs>
        <w:spacing w:after="140" w:before="200" w:line="276"/>
        <w:ind w:left="280"/>
      </w:pPr>
      <w:r>
        <w:rPr>
          <w:rFonts w:ascii="Times New Roman" w:cs="Times New Roman" w:eastAsia="Times New Roman" w:hAnsi="Times New Roman"/>
          <w:b/>
          <w:bCs/>
          <w:sz w:val="22"/>
          <w:szCs w:val="22"/>
        </w:rPr>
        <w:t xml:space="preserve">IV.	</w:t>
      </w:r>
      <w:r>
        <w:rPr>
          <w:rFonts w:ascii="Times New Roman" w:cs="Times New Roman" w:eastAsia="Times New Roman" w:hAnsi="Times New Roman"/>
          <w:sz w:val="22"/>
          <w:szCs w:val="22"/>
        </w:rPr>
        <w:t xml:space="preserve">Courage is so frequently mistaken for the absence of fear that we have come to imagine the courageous person as someone untroubled by danger, walking through difficulty with a kind of serene immunity that the rest of us simply lack. This is, I think, almost exactly backwards. The people I have known who behaved most courageously were, without exception, also the most frightened; their courage consisted not in the absence of fear but in their refusal to let fear make the final decision. To call someone fearless is, in most cases, not a compliment but a misunderstanding of what they actually did.</w:t>
      </w:r>
    </w:p>
    <w:p>
      <w:pPr>
        <w:spacing w:after="140" w:line="276"/>
        <w:ind w:left="280"/>
      </w:pPr>
      <w:r>
        <w:rPr>
          <w:rFonts w:ascii="Times New Roman" w:cs="Times New Roman" w:eastAsia="Times New Roman" w:hAnsi="Times New Roman"/>
          <w:sz w:val="22"/>
          <w:szCs w:val="22"/>
        </w:rPr>
        <w:t xml:space="preserve">If courage required the absence of fear, it would be a fairly rare and almost accidental virtue, available only to those whose temperament happened to be calm under pressure. But understood properly, as the act of proceeding despite fear rather than because fear is absent, courage becomes available to nearly everyone, which is surely closer to how we actually use the word in daily life. We do not call a person courageous for doing something that frightened nobody; we reserve the word precisely for those moments when fear was present and was, nonetheless, not obeyed.</w:t>
      </w:r>
    </w:p>
    <w:p>
      <w:pPr>
        <w:spacing w:after="140" w:line="276"/>
        <w:ind w:left="280"/>
      </w:pPr>
      <w:r>
        <w:rPr>
          <w:rFonts w:ascii="Times New Roman" w:cs="Times New Roman" w:eastAsia="Times New Roman" w:hAnsi="Times New Roman"/>
          <w:sz w:val="22"/>
          <w:szCs w:val="22"/>
        </w:rPr>
        <w:t xml:space="preserve">This has practical consequences for how we raise children and train soldiers and counsel the anxious. If we teach a child that bravery means feeling no fear, we leave her without any framework for what to do on the day fear inevitably arrives, since by our own definition its arrival would mean she has failed to be brave. If instead we teach her that bravery means acting rightly while afraid, we give her something she can actually use: not a demand to feel differently, but a method for acting well regardless of what she feels.</w:t>
      </w:r>
    </w:p>
    <w:p>
      <w:pPr>
        <w:spacing w:after="220"/>
        <w:ind w:left="360"/>
      </w:pPr>
      <w:r>
        <w:rPr>
          <w:rFonts w:ascii="Times New Roman" w:cs="Times New Roman" w:eastAsia="Times New Roman" w:hAnsi="Times New Roman"/>
          <w:i/>
          <w:iCs/>
          <w:sz w:val="20"/>
          <w:szCs w:val="20"/>
        </w:rPr>
        <w:t xml:space="preserve">[An original essay on the nature of courage, composed for this paper]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According to the author, what is the common but mistaken understanding of courage?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Courage cannot be taught to children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Courage is available only to soldiers and exceptional individuals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Courage means the complete absence of fear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Courage means acting rightly despite being afraid</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Why does the author object to calling someone “fearless” as a compliment?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Because fearless people are rarely courageous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Because it misunderstands what the courageous person actually did, which was to act despite fear</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Because fearlessness is a sign of recklessness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Because no person can ever truly be fearless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What practical consequence does the author draw out regarding the upbringing of children?</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Children should be shielded from all frightening situations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Children naturally develop courage without any guidance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Fear should be eliminated from a child's emotional vocabulary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Teaching children that bravery means feeling no fear leaves them without a framework for when fear arrives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The author argues that courage, properly understood, becomes: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rare virtue available only to the naturally calm</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something that only emerges in moments of extreme danger</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irrelevant to everyday situations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available to nearly everyone, since it depends on action rather than absence of feeling</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Which of the following best restates the central argument of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True courage is acting rightly despite the presence of fear, not in its absence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Courage is primarily a matter of inherited temperament</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Soldiers are the only people capable of genuine courage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Fear and courage cannot coexist in the same person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What is the meaning of the phrase “serene immunity” as used in the first paragraph?</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legal protection from punishment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medical condition affecting the nervous system</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calm freedom from being affected by danger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An aggressive response to threat</w:t>
      </w:r>
    </w:p>
    <w:p>
      <w:pPr>
        <w:pageBreakBefore/>
        <w:pBdr>
          <w:bottom w:val="single" w:color="000000" w:sz="6" w:space="4"/>
        </w:pBdr>
        <w:spacing w:after="240" w:before="0"/>
        <w:jc w:val="center"/>
      </w:pPr>
      <w:r>
        <w:rPr>
          <w:rFonts w:ascii="Times New Roman" w:cs="Times New Roman" w:eastAsia="Times New Roman" w:hAnsi="Times New Roman"/>
          <w:b/>
          <w:bCs/>
          <w:sz w:val="26"/>
          <w:szCs w:val="26"/>
        </w:rPr>
        <w:t xml:space="preserve">Current Affairs Including General Knowledge</w:t>
      </w:r>
    </w:p>
    <w:p>
      <w:pPr>
        <w:tabs>
          <w:tab w:val="left" w:pos="280"/>
        </w:tabs>
        <w:spacing w:after="140" w:before="200" w:line="276"/>
        <w:ind w:left="280"/>
      </w:pPr>
      <w:r>
        <w:rPr>
          <w:rFonts w:ascii="Times New Roman" w:cs="Times New Roman" w:eastAsia="Times New Roman" w:hAnsi="Times New Roman"/>
          <w:b/>
          <w:bCs/>
          <w:sz w:val="22"/>
          <w:szCs w:val="22"/>
        </w:rPr>
        <w:t xml:space="preserve">V.	</w:t>
      </w:r>
      <w:r>
        <w:rPr>
          <w:rFonts w:ascii="Times New Roman" w:cs="Times New Roman" w:eastAsia="Times New Roman" w:hAnsi="Times New Roman"/>
          <w:sz w:val="22"/>
          <w:szCs w:val="22"/>
        </w:rPr>
        <w:t xml:space="preserve">Leaders from the world's leading economies gathered this week for the annual G7 Summit, held this year in a coastal town in Italy, with the agenda dominated by discussions on artificial intelligence governance, migration policy, and continued coordination on sanctions related to ongoing conflicts in Eastern Europe and the Middle East. The summit's final communique, running to nearly sixty pages, called for a voluntary code of conduct for advanced AI developers but stopped short of binding international regulation, reflecting the difficulty of reconciling the regulatory instincts of European members with the more innovation-friendly posture of others around the table.</w:t>
      </w:r>
    </w:p>
    <w:p>
      <w:pPr>
        <w:spacing w:after="140" w:line="276"/>
        <w:ind w:left="280"/>
      </w:pPr>
      <w:r>
        <w:rPr>
          <w:rFonts w:ascii="Times New Roman" w:cs="Times New Roman" w:eastAsia="Times New Roman" w:hAnsi="Times New Roman"/>
          <w:sz w:val="22"/>
          <w:szCs w:val="22"/>
        </w:rPr>
        <w:t xml:space="preserve">Notably, the summit saw an extended bilateral meeting between the leaders of two major Asian economies on the sidelines, their first formal engagement in over a year, which observers described as a modest but symbolically important thaw in a relationship that had been strained by border disputes and trade restrictions. Officials from both sides described the conversation as “candid and constructive,” though no joint statement was issued and significant disagreements over technology export controls remained unresolved.</w:t>
      </w:r>
    </w:p>
    <w:p>
      <w:pPr>
        <w:spacing w:after="140" w:line="276"/>
        <w:ind w:left="280"/>
      </w:pPr>
      <w:r>
        <w:rPr>
          <w:rFonts w:ascii="Times New Roman" w:cs="Times New Roman" w:eastAsia="Times New Roman" w:hAnsi="Times New Roman"/>
          <w:sz w:val="22"/>
          <w:szCs w:val="22"/>
        </w:rPr>
        <w:t xml:space="preserve">Climate finance also featured prominently, with several member states reaffirming a pledge, first made years earlier, to mobilise financing for developing nations to support their transition to renewable energy, even as critics noted that disbursed funds have consistently lagged behind pledged amounts. A separate session addressed debt relief for low-income countries, producing a framework for accelerated restructuring negotiations that several debt-relief advocacy groups welcomed as overdue but insufficient.</w:t>
      </w:r>
    </w:p>
    <w:p>
      <w:pPr>
        <w:spacing w:after="140" w:line="276"/>
        <w:ind w:left="280"/>
      </w:pPr>
      <w:r>
        <w:rPr>
          <w:rFonts w:ascii="Times New Roman" w:cs="Times New Roman" w:eastAsia="Times New Roman" w:hAnsi="Times New Roman"/>
          <w:sz w:val="22"/>
          <w:szCs w:val="22"/>
        </w:rPr>
        <w:t xml:space="preserve">(Extracted, with edits, from a wire-service report on the G7 Summit,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According to the passage, what was the primary outcome regarding artificial intelligence at the summit?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AI regulation was removed entirely from the summit agenda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legally binding international treaty on AI was signed</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voluntary, non-binding code of conduct for AI developers was called for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All member states agreed to ban advanced AI development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The bilateral meeting between the two Asian economies mentioned in the passage was significant because: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it was their first formal engagement in over a year amid strained relations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it was mediated directly by the summit's host nation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it resulted in a comprehensive joint statement resolving all disputes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led to the immediate removal of all trade restrictions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What criticism is raised in the passage regarding climate finance pledges?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Climate finance was not discussed at this summit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Developing nations have refused to accept climate financing</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Disbursed funds have consistently lagged behind the amounts pledged</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No pledges have ever been made by G7 members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What was the outcome of the session on debt relief for low-income countries?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framework for accelerated restructuring negotiations was produced, seen as insufficient by some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Low-income countries were excluded from the discussion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All debt owed by low-income countries was cancelled immediately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issue was postponed indefinitely without any framework</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The G7 grouping, as referenced in the passage, consists of how many member countries?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Nine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Six</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Five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Seven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Based on the passage, what does the phrase “a modest but symbolically important thaw” most likely refer to?</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complete resolution of all outstanding disputes between the two Asian economies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small but meaningful improvement in a previously strained relationship, without resolving major disagreements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formal trade agreement signed on the summit sidelines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military de-escalation agreement between the two countries</w:t>
      </w:r>
    </w:p>
    <w:p>
      <w:pPr>
        <w:tabs>
          <w:tab w:val="left" w:pos="280"/>
        </w:tabs>
        <w:spacing w:after="140" w:before="200" w:line="276"/>
        <w:ind w:left="280"/>
      </w:pPr>
      <w:r>
        <w:rPr>
          <w:rFonts w:ascii="Times New Roman" w:cs="Times New Roman" w:eastAsia="Times New Roman" w:hAnsi="Times New Roman"/>
          <w:b/>
          <w:bCs/>
          <w:sz w:val="22"/>
          <w:szCs w:val="22"/>
        </w:rPr>
        <w:t xml:space="preserve">VI.	</w:t>
      </w:r>
      <w:r>
        <w:rPr>
          <w:rFonts w:ascii="Times New Roman" w:cs="Times New Roman" w:eastAsia="Times New Roman" w:hAnsi="Times New Roman"/>
          <w:sz w:val="22"/>
          <w:szCs w:val="22"/>
        </w:rPr>
        <w:t xml:space="preserve">The Ministry of Earth Sciences announced today the launch of a new national mission aimed at strengthening the country's early warning systems for extreme weather events, with a particular focus on flash floods, cyclones, and heatwaves that have grown more frequent and intense over the past decade. Under the mission, a network of Doppler weather radars will be expanded to cover regions currently outside reliable forecasting range, and a mobile-based alert system will be developed to deliver localised warnings directly to residents in vernacular languages within minutes of a forecast update.</w:t>
      </w:r>
    </w:p>
    <w:p>
      <w:pPr>
        <w:spacing w:after="140" w:line="276"/>
        <w:ind w:left="280"/>
      </w:pPr>
      <w:r>
        <w:rPr>
          <w:rFonts w:ascii="Times New Roman" w:cs="Times New Roman" w:eastAsia="Times New Roman" w:hAnsi="Times New Roman"/>
          <w:sz w:val="22"/>
          <w:szCs w:val="22"/>
        </w:rPr>
        <w:t xml:space="preserve">Speaking at the launch event, the Secretary of the Ministry noted that improved lead time for warnings has historically reduced disaster-related fatalities by a significant margin, citing internal studies showing that communities receiving warnings more than twenty-four hours in advance experienced substantially lower casualty rates compared to those receiving warnings with less notice. The mission will be implemented in three phases over five years, with the first phase prioritising coastal states most vulnerable to cyclonic activity and the second and third phases extending coverage to flood-prone river basins and heatwave-affected urban centres respectively.</w:t>
      </w:r>
    </w:p>
    <w:p>
      <w:pPr>
        <w:spacing w:after="140" w:line="276"/>
        <w:ind w:left="280"/>
      </w:pPr>
      <w:r>
        <w:rPr>
          <w:rFonts w:ascii="Times New Roman" w:cs="Times New Roman" w:eastAsia="Times New Roman" w:hAnsi="Times New Roman"/>
          <w:sz w:val="22"/>
          <w:szCs w:val="22"/>
        </w:rPr>
        <w:t xml:space="preserve">The announcement comes weeks after a severe cyclone caused significant damage along the eastern coastline, renewing public and political attention on disaster preparedness. State governments have welcomed the initiative, though several have requested greater financial devolution to implement last-mile warning dissemination, noting that national-level forecasting capability is of limited use if warnings do not reach vulnerable communities, particularly in remote and tribal areas, in time to act upon them.</w:t>
      </w:r>
    </w:p>
    <w:p>
      <w:pPr>
        <w:spacing w:after="140" w:line="276"/>
        <w:ind w:left="280"/>
      </w:pPr>
      <w:r>
        <w:rPr>
          <w:rFonts w:ascii="Times New Roman" w:cs="Times New Roman" w:eastAsia="Times New Roman" w:hAnsi="Times New Roman"/>
          <w:sz w:val="22"/>
          <w:szCs w:val="22"/>
        </w:rPr>
        <w:t xml:space="preserve">(Extracted, with edits, from a Press Information Bureau style release,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What is the primary objective of the national mission announced by the Ministry of Earth Sciences?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To relocate vulnerable populations away from coastal areas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To reduce the frequency of extreme weather events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To replace state governments' role in disaster management entirely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To strengthen early warning systems for floods, cyclones, and heatwaves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According to the Secretary's statement, what benefit does improved lead time for warnings provide?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It eliminates the occurrence of cyclones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It allows the cancellation of all weather-related events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It guarantees full compensation to affected families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has historically reduced disaster-related fatalities significantly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Which phase of the mission is prioritised first,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Heatwave-affected urban centres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Flood-prone river basins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Coastal states vulnerable to cyclonic activity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Tribal and remote mountainous regions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What concern have state governments raised regarding the mission?</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They have requested greater financial devolution for last-mile warning dissemination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They have demanded the mission be scrapped entirely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They oppose the expansion of Doppler radar coverage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They believe the mission is unnecessary given current forecasting capability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What technology is mentioned in the passage as being expanded to improve forecasting range?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network of Doppler weather radars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Underwater seismic sensors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Satellite-based GPS tracking</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Drone-based aerial surveys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What prompted renewed public and political attention on disaster preparedness,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sudden change in government leadership</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An international climate summit</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reduction in the national disaster management budget</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severe cyclone that caused significant damage along the eastern coastline weeks before the announcement</w:t>
      </w:r>
    </w:p>
    <w:p>
      <w:pPr>
        <w:tabs>
          <w:tab w:val="left" w:pos="340"/>
        </w:tabs>
        <w:spacing w:after="140" w:before="200" w:line="276"/>
        <w:ind w:left="340"/>
      </w:pPr>
      <w:r>
        <w:rPr>
          <w:rFonts w:ascii="Times New Roman" w:cs="Times New Roman" w:eastAsia="Times New Roman" w:hAnsi="Times New Roman"/>
          <w:b/>
          <w:bCs/>
          <w:sz w:val="22"/>
          <w:szCs w:val="22"/>
        </w:rPr>
        <w:t xml:space="preserve">VII.	</w:t>
      </w:r>
      <w:r>
        <w:rPr>
          <w:rFonts w:ascii="Times New Roman" w:cs="Times New Roman" w:eastAsia="Times New Roman" w:hAnsi="Times New Roman"/>
          <w:sz w:val="22"/>
          <w:szCs w:val="22"/>
        </w:rPr>
        <w:t xml:space="preserve">By the early 1940s, the demand for complete independence had hardened into an uncompromising position within the national movement, propelled in large part by the failure of constitutional negotiations and the conviction that gradual concessions from the colonial government would never amount to genuine self-rule. The launch of a mass movement calling upon the colonial power to withdraw immediately found resonance across a wide section of society, including students, industrial workers, and, notably, sections of the rural peasantry who had previously remained at the margins of organised political agitation.</w:t>
      </w:r>
    </w:p>
    <w:p>
      <w:pPr>
        <w:spacing w:after="140" w:line="276"/>
        <w:ind w:left="340"/>
      </w:pPr>
      <w:r>
        <w:rPr>
          <w:rFonts w:ascii="Times New Roman" w:cs="Times New Roman" w:eastAsia="Times New Roman" w:hAnsi="Times New Roman"/>
          <w:sz w:val="22"/>
          <w:szCs w:val="22"/>
        </w:rPr>
        <w:t xml:space="preserve">The colonial administration responded with swift and extensive arrests of the movement's principal leadership within hours of the call being given, leaving the movement, in its initial phase, without centralised direction. In the absence of established leaders, a generation of younger activists improvised local forms of resistance: disrupting railway lines and telegraph communications, establishing parallel local governments in some districts that functioned, briefly, as administrative authorities independent of colonial control, and organising underground networks to sustain communication and propaganda.</w:t>
      </w:r>
    </w:p>
    <w:p>
      <w:pPr>
        <w:spacing w:after="140" w:line="276"/>
        <w:ind w:left="340"/>
      </w:pPr>
      <w:r>
        <w:rPr>
          <w:rFonts w:ascii="Times New Roman" w:cs="Times New Roman" w:eastAsia="Times New Roman" w:hAnsi="Times New Roman"/>
          <w:sz w:val="22"/>
          <w:szCs w:val="22"/>
        </w:rPr>
        <w:t xml:space="preserve">Women played a particularly prominent role in sustaining the underground phase of the movement, operating clandestine radio transmissions and acting as couriers between dispersed networks of activists at considerable personal risk. Although the movement was eventually suppressed through a combination of military force and mass arrests, historians have generally regarded it as a decisive psychological turning point, one that demonstrated to the colonial government the depth and breadth of popular sentiment against continued imperial rule, even though formal independence would not be achieved for several more years.</w:t>
      </w:r>
    </w:p>
    <w:p>
      <w:pPr>
        <w:spacing w:after="140" w:line="276"/>
        <w:ind w:left="340"/>
      </w:pPr>
      <w:r>
        <w:rPr>
          <w:rFonts w:ascii="Times New Roman" w:cs="Times New Roman" w:eastAsia="Times New Roman" w:hAnsi="Times New Roman"/>
          <w:sz w:val="22"/>
          <w:szCs w:val="22"/>
        </w:rPr>
        <w:t xml:space="preserve">(Extracted, with edits, from a textbook-style chapter on the national movement,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According to the passage, why had the demand for complete independence hardened by the early 1940s?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Because constitutional negotiations had failed and gradual concessions seemed unlikely to lead to genuine self-rule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Because the colonial government had already agreed to grant independence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Because international pressure forced the movement to escalate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Because the rural peasantry had abandoned the national movement entirely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What was the immediate effect of the colonial administration's arrest of the movement's leadership?</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movement collapsed entirely within days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rural peasantry withdrew its support for the movement</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movement, lacking centralised direction, was sustained through local improvisation by younger activists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Formal independence was granted shortly afterward</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What role did women play during the underground phase of the movement, as described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They operated clandestine radio transmissions and served as couriers at considerable risk</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They remained entirely uninvolved in the movement's activities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They were restricted to organising relief camps only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They led the formal negotiations with the colonial government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sz w:val="22"/>
          <w:szCs w:val="22"/>
        </w:rPr>
        <w:t xml:space="preserve">How do historians generally regard the movement described in the passage, according to the author?</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As a movement that was entirely led by established political leaders throughout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As a decisive psychological turning point despite not immediately achieving independence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As the sole cause of the colonial government's eventual withdrawal</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As an insignificant episode with no lasting impact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Which section of society, according to the passage, found resonance with the call for immediate withdrawal of colonial power, despite having previously remained at the margins of organised political agitation?</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Foreign diplomats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Urban professionals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Industrial workers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Sections of the rural peasantry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What does the passage suggest was a consequence of the absence of centralised leadership during the movement's initial phase?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colonial administration voluntarily withdrew from several districts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Younger activists improvised local forms of resistance, including disrupting communications and establishing parallel local governments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movement ended immediately without any resistance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Industrial workers took over formal leadership of the movement nationally</w:t>
      </w:r>
    </w:p>
    <w:p>
      <w:pPr>
        <w:tabs>
          <w:tab w:val="left" w:pos="340"/>
        </w:tabs>
        <w:spacing w:after="140" w:before="200" w:line="276"/>
        <w:ind w:left="340"/>
      </w:pPr>
      <w:r>
        <w:rPr>
          <w:rFonts w:ascii="Times New Roman" w:cs="Times New Roman" w:eastAsia="Times New Roman" w:hAnsi="Times New Roman"/>
          <w:b/>
          <w:bCs/>
          <w:sz w:val="22"/>
          <w:szCs w:val="22"/>
        </w:rPr>
        <w:t xml:space="preserve">VIII.	</w:t>
      </w:r>
      <w:r>
        <w:rPr>
          <w:rFonts w:ascii="Times New Roman" w:cs="Times New Roman" w:eastAsia="Times New Roman" w:hAnsi="Times New Roman"/>
          <w:sz w:val="22"/>
          <w:szCs w:val="22"/>
        </w:rPr>
        <w:t xml:space="preserve">The Commonwealth Games, held this edition in a mid-sized city better known for its university than its stadiums, concluded with organisers calling it a qualified success: ticket sales for several marquee events fell short of projections, yet venues for athletics and swimming were consistently full, and a streamlined sporting programme, trimmed from previous editions to control costs, was credited with helping the host city avoid the financial overruns that have plagued several recent multi-sport events around the world.</w:t>
      </w:r>
    </w:p>
    <w:p>
      <w:pPr>
        <w:spacing w:after="140" w:line="276"/>
        <w:ind w:left="340"/>
      </w:pPr>
      <w:r>
        <w:rPr>
          <w:rFonts w:ascii="Times New Roman" w:cs="Times New Roman" w:eastAsia="Times New Roman" w:hAnsi="Times New Roman"/>
          <w:sz w:val="22"/>
          <w:szCs w:val="22"/>
        </w:rPr>
        <w:t xml:space="preserve">For the host nation's contingent, the Games delivered a record medal haul in para-sports, with wheelchair racing and visually impaired judo producing several podium finishes that selectors described as evidence of deepening investment in grassroots para-sport infrastructure over the preceding Olympic cycle. In the able-bodied disciplines, results were more mixed: the host nation's traditionally dominant track and field squad underperformed against historical benchmarks, prompting its athletics federation to announce an internal review even before the closing ceremony had concluded.</w:t>
      </w:r>
    </w:p>
    <w:p>
      <w:pPr>
        <w:spacing w:after="140" w:line="276"/>
        <w:ind w:left="340"/>
      </w:pPr>
      <w:r>
        <w:rPr>
          <w:rFonts w:ascii="Times New Roman" w:cs="Times New Roman" w:eastAsia="Times New Roman" w:hAnsi="Times New Roman"/>
          <w:sz w:val="22"/>
          <w:szCs w:val="22"/>
        </w:rPr>
        <w:t xml:space="preserve">The Games were not without controversy. A disputed decision in the boxing finals led to a formal protest from a rival delegation, which was ultimately rejected on appeal, while debates over the inclusion and scheduling of certain sports, with some traditional events dropped in favour of newer disciplines aimed at attracting younger television audiences, reignited a long-running argument about the future identity and relevance of the Commonwealth Games within an increasingly crowded global sporting calendar.</w:t>
      </w:r>
    </w:p>
    <w:p>
      <w:pPr>
        <w:spacing w:after="140" w:line="276"/>
        <w:ind w:left="340"/>
      </w:pPr>
      <w:r>
        <w:rPr>
          <w:rFonts w:ascii="Times New Roman" w:cs="Times New Roman" w:eastAsia="Times New Roman" w:hAnsi="Times New Roman"/>
          <w:sz w:val="22"/>
          <w:szCs w:val="22"/>
        </w:rPr>
        <w:t xml:space="preserve">(Extracted, with edits, from a sports-affairs report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According to the passage, why did organisers consider the Games a “qualified success”?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Because no controversies arose during the Games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Because ticket sales fell short for some events, yet a trimmed programme helped control costs and avoid financial overruns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Because the host city had hosted the Games multiple times before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Because every event sold out completely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What does the passage attribute the host nation's record para-sports medal haul to?</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change in the rules favouring the host nation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one-time stroke of luck with no underlying preparation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absence of strong competition from other nations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Deepening investment in grassroots para-sport infrastructure over the preceding cycle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What action did the host nation's athletics federation take following underperformance in track and field?</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It announced an internal review even before the closing ceremony concluded</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It disbanded the athletics team immediately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It demanded a rematch of all events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withdrew from future editions of the Commonwealth Games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What long-running debate did the scheduling controversies at these Games reignite?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Whether para-sports should be removed from the programme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Whether the Commonwealth Games should be abolished immediately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question of which country should permanently host the Games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future identity and relevance of the Commonwealth Games amid a crowded global sporting calendar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What was the outcome of the formal protest filed by a rival delegation regarding a disputed boxing decision?</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matter remains unresolved as per the passage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protest was ultimately rejected on appeal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protest led to the cancellation of the boxing event</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protest was upheld and the result reversed</w:t>
      </w:r>
    </w:p>
    <w:p>
      <w:pPr>
        <w:tabs>
          <w:tab w:val="left" w:pos="280"/>
        </w:tabs>
        <w:spacing w:after="140" w:before="200" w:line="276"/>
        <w:ind w:left="280"/>
      </w:pPr>
      <w:r>
        <w:rPr>
          <w:rFonts w:ascii="Times New Roman" w:cs="Times New Roman" w:eastAsia="Times New Roman" w:hAnsi="Times New Roman"/>
          <w:b/>
          <w:bCs/>
          <w:sz w:val="22"/>
          <w:szCs w:val="22"/>
        </w:rPr>
        <w:t xml:space="preserve">IX.	</w:t>
      </w:r>
      <w:r>
        <w:rPr>
          <w:rFonts w:ascii="Times New Roman" w:cs="Times New Roman" w:eastAsia="Times New Roman" w:hAnsi="Times New Roman"/>
          <w:sz w:val="22"/>
          <w:szCs w:val="22"/>
        </w:rPr>
        <w:t xml:space="preserve">The Reserve Bank's latest monetary policy statement held the benchmark repo rate steady for the fourth consecutive review, even as the central bank revised its inflation forecast downward for the coming two quarters, citing softening food prices and a stable outlook for crude oil imports as the principal factors behind the revision. The accompanying statement struck a notably more dovish tone than previous reviews, with the Governor noting that the balance of risks had shifted sufficiently to warrant closer attention to growth concerns, even while reiterating that any future rate cuts would remain firmly contingent on inflation data over the coming months.</w:t>
      </w:r>
    </w:p>
    <w:p>
      <w:pPr>
        <w:spacing w:after="140" w:line="276"/>
        <w:ind w:left="280"/>
      </w:pPr>
      <w:r>
        <w:rPr>
          <w:rFonts w:ascii="Times New Roman" w:cs="Times New Roman" w:eastAsia="Times New Roman" w:hAnsi="Times New Roman"/>
          <w:sz w:val="22"/>
          <w:szCs w:val="22"/>
        </w:rPr>
        <w:t xml:space="preserve">Market participants, who had been divided ahead of the announcement between expectations of a hold and a modest rate cut, broadly welcomed the accompanying commentary, with bond yields easing and equity markets posting modest gains in the hours following the announcement. Economists at several major banks revised their forecasts to anticipate a first rate cut within the next two policy cycles, though a minority cautioned that any premature easing risked reigniting price pressures, particularly given continued volatility in vegetable prices linked to uneven monsoon distribution across key growing regions.</w:t>
      </w:r>
    </w:p>
    <w:p>
      <w:pPr>
        <w:spacing w:after="140" w:line="276"/>
        <w:ind w:left="280"/>
      </w:pPr>
      <w:r>
        <w:rPr>
          <w:rFonts w:ascii="Times New Roman" w:cs="Times New Roman" w:eastAsia="Times New Roman" w:hAnsi="Times New Roman"/>
          <w:sz w:val="22"/>
          <w:szCs w:val="22"/>
        </w:rPr>
        <w:t xml:space="preserve">The policy statement also addressed liquidity conditions in the banking system, noting that recent measures to manage surplus liquidity had been broadly effective, and signalled continued vigilance on the foreign exchange front amid global volatility driven by shifting expectations around monetary policy in major advanced economies, particularly the prospect of policy easing by central banks in the United States and the eurozone later in the year.</w:t>
      </w:r>
    </w:p>
    <w:p>
      <w:pPr>
        <w:spacing w:after="140" w:line="276"/>
        <w:ind w:left="280"/>
      </w:pPr>
      <w:r>
        <w:rPr>
          <w:rFonts w:ascii="Times New Roman" w:cs="Times New Roman" w:eastAsia="Times New Roman" w:hAnsi="Times New Roman"/>
          <w:sz w:val="22"/>
          <w:szCs w:val="22"/>
        </w:rPr>
        <w:t xml:space="preserve">(Extracted, with edits, from a financial-affairs report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What did the Reserve Bank do with the benchmark repo rate in its latest review,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It cut the rate for the first time in two years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It held the rate steady for the fourth consecutive review</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It raised the rate sharply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abolished the repo rate mechanism entirely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sz w:val="22"/>
          <w:szCs w:val="22"/>
        </w:rPr>
        <w:t xml:space="preserve">What reasons did the central bank cite for revising its inflation forecast downward?</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complete halt in agricultural production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Rising crude oil prices and food shortages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Softening food prices and a stable outlook for crude oil imports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sudden increase in government spending</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sz w:val="22"/>
          <w:szCs w:val="22"/>
        </w:rPr>
        <w:t xml:space="preserve">According to the passage, what caution did a minority of economists express?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That premature easing risked reigniting price pressures, particularly given volatile vegetable prices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That the banking system faced a severe liquidity crisis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That foreign exchange reserves had been completely depleted</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That the central bank should raise rates immediately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What global factor does the passage mention as relevant to the Reserve Bank's vigilance on foreign exchange?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closure of international stock exchanges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Shifting expectations around monetary policy easing in major advanced economies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sudden surge in domestic exports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discovery of new oil reserves domestically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How did market participants generally react to the Reserve Bank's accompanying commentary,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Broadly positively, with bond yields easing and equity markets posting modest gains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By demanding an emergency session of Parliament</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With complete indifference, as no market movement was recorded</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With alarm, leading to a sharp sell-off in equity markets</w:t>
      </w:r>
    </w:p>
    <w:p>
      <w:pPr>
        <w:pageBreakBefore/>
        <w:pBdr>
          <w:bottom w:val="single" w:color="000000" w:sz="6" w:space="4"/>
        </w:pBdr>
        <w:spacing w:after="240" w:before="0"/>
        <w:jc w:val="center"/>
      </w:pPr>
      <w:r>
        <w:rPr>
          <w:rFonts w:ascii="Times New Roman" w:cs="Times New Roman" w:eastAsia="Times New Roman" w:hAnsi="Times New Roman"/>
          <w:b/>
          <w:bCs/>
          <w:sz w:val="26"/>
          <w:szCs w:val="26"/>
        </w:rPr>
        <w:t xml:space="preserve">Legal Reasoning</w:t>
      </w:r>
    </w:p>
    <w:p>
      <w:pPr>
        <w:tabs>
          <w:tab w:val="left" w:pos="280"/>
        </w:tabs>
        <w:spacing w:after="140" w:before="200" w:line="276"/>
        <w:ind w:left="280"/>
      </w:pPr>
      <w:r>
        <w:rPr>
          <w:rFonts w:ascii="Times New Roman" w:cs="Times New Roman" w:eastAsia="Times New Roman" w:hAnsi="Times New Roman"/>
          <w:b/>
          <w:bCs/>
          <w:sz w:val="22"/>
          <w:szCs w:val="22"/>
        </w:rPr>
        <w:t xml:space="preserve">X.	</w:t>
      </w:r>
      <w:r>
        <w:rPr>
          <w:rFonts w:ascii="Times New Roman" w:cs="Times New Roman" w:eastAsia="Times New Roman" w:hAnsi="Times New Roman"/>
          <w:sz w:val="22"/>
          <w:szCs w:val="22"/>
        </w:rPr>
        <w:t xml:space="preserve">Elder abuse, encompassing physical, emotional, and financial mistreatment of senior citizens, remains a significantly under-reported phenomenon in India despite the existence of dedicated legislation. The Maintenance and Welfare of Parents and Senior Citizens Act, 2007 obligates children and relatives to provide maintenance to senior citizens unable to maintain themselves, and establishes Maintenance Tribunals empowered to order monthly allowances and, in certain circumstances, to direct the eviction of children or relatives from a senior citizen's property where the relationship has broken down due to neglect or abuse. According to data compiled by helplines operating across several states, financial exploitation, including the unauthorised transfer of property and misuse of pension funds, constitutes the largest single category of reported elder abuse, followed by emotional neglect and, less frequently, physical abuse.</w:t>
      </w:r>
    </w:p>
    <w:p>
      <w:pPr>
        <w:spacing w:after="140" w:line="276"/>
        <w:ind w:left="280"/>
      </w:pPr>
      <w:r>
        <w:rPr>
          <w:rFonts w:ascii="Times New Roman" w:cs="Times New Roman" w:eastAsia="Times New Roman" w:hAnsi="Times New Roman"/>
          <w:sz w:val="22"/>
          <w:szCs w:val="22"/>
        </w:rPr>
        <w:t xml:space="preserve">Researchers studying the implementation of the Act have noted a persistent gap between the rights conferred on paper and their realisation in practice, attributing this to several factors: limited awareness among senior citizens of the remedies available to them, reluctance to initiate proceedings against one's own children even where abuse is severe, and inconsistent functioning of Maintenance Tribunals across different states, several of which lack dedicated staff and meet only intermittently. The COVID-19 pandemic is reported to have worsened the isolation of many elderly persons, particularly those living alone or in households where adult children faced sudden income loss, a dynamic that several studies link to a documented rise in financial exploitation during this period.</w:t>
      </w:r>
    </w:p>
    <w:p>
      <w:pPr>
        <w:spacing w:after="140" w:line="276"/>
        <w:ind w:left="280"/>
      </w:pPr>
      <w:r>
        <w:rPr>
          <w:rFonts w:ascii="Times New Roman" w:cs="Times New Roman" w:eastAsia="Times New Roman" w:hAnsi="Times New Roman"/>
          <w:sz w:val="22"/>
          <w:szCs w:val="22"/>
        </w:rPr>
        <w:t xml:space="preserve">Amendments proposed to strengthen the 2007 Act include expanding its coverage to in-laws and other categories of relatives currently outside its scope, introducing time-bound disposal of maintenance applications, and establishing dedicated elder helplines with the power to refer urgent cases directly to law enforcement, though as of date these proposals remain under consideration and have not been enacted into law.</w:t>
      </w:r>
    </w:p>
    <w:p>
      <w:pPr>
        <w:spacing w:after="140" w:line="276"/>
        <w:ind w:left="280"/>
      </w:pPr>
      <w:r>
        <w:rPr>
          <w:rFonts w:ascii="Times New Roman" w:cs="Times New Roman" w:eastAsia="Times New Roman" w:hAnsi="Times New Roman"/>
          <w:sz w:val="22"/>
          <w:szCs w:val="22"/>
        </w:rPr>
        <w:t xml:space="preserve">[Extracted, with edits, from an academic article on elder welfare law,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Under the Maintenance and Welfare of Parents and Senior Citizens Act, 2007, what power do Maintenance Tribunals possess in cases of severe neglect or abuse?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power to imprison the offending relative for life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power to transfer the senior citizen's property to the state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power to dissolve the family unit entirely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power to order monthly maintenance allowances and, in certain circumstances, direct eviction from the senior citizen's own property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54.	</w:t>
      </w:r>
      <w:r>
        <w:rPr>
          <w:rFonts w:ascii="Times New Roman" w:cs="Times New Roman" w:eastAsia="Times New Roman" w:hAnsi="Times New Roman"/>
          <w:sz w:val="22"/>
          <w:szCs w:val="22"/>
        </w:rPr>
        <w:t xml:space="preserve">According to the passage, which category of elder abuse is reported most frequently?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Physical abuse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Financial exploitation, including unauthorised property transfer and pension misuse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Abandonment in old-age homes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Emotional neglect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55.	</w:t>
      </w:r>
      <w:r>
        <w:rPr>
          <w:rFonts w:ascii="Times New Roman" w:cs="Times New Roman" w:eastAsia="Times New Roman" w:hAnsi="Times New Roman"/>
          <w:sz w:val="22"/>
          <w:szCs w:val="22"/>
        </w:rPr>
        <w:t xml:space="preserve">Which of the following is NOT identified in the passage as a factor contributing to the gap between rights conferred and rights realised under the Act?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Absence of any legislation addressing elder welfare in India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Limited awareness among senior citizens of available remedies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Inconsistent functioning of Maintenance Tribunals across states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Reluctance of senior citizens to proceed against their own children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56.	</w:t>
      </w:r>
      <w:r>
        <w:rPr>
          <w:rFonts w:ascii="Times New Roman" w:cs="Times New Roman" w:eastAsia="Times New Roman" w:hAnsi="Times New Roman"/>
          <w:sz w:val="22"/>
          <w:szCs w:val="22"/>
        </w:rPr>
        <w:t xml:space="preserve">An elderly woman living alone discovers that her son, without her knowledge, transferred her flat into his own name using a forged power of attorney. Under the framework described in the passage, which remedy would be most directly available to her?</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Filing a criminal complaint only, as the Act has no application to fraudulent transfers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No remedy is available since the transfer was already completed</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Approaching the Maintenance Tribunal, which may consider directing appropriate relief including possible eviction proceedings against the son in the property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Waiting for the proposed amendments to be enacted before taking any action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57.	</w:t>
      </w:r>
      <w:r>
        <w:rPr>
          <w:rFonts w:ascii="Times New Roman" w:cs="Times New Roman" w:eastAsia="Times New Roman" w:hAnsi="Times New Roman"/>
          <w:sz w:val="22"/>
          <w:szCs w:val="22"/>
        </w:rPr>
        <w:t xml:space="preserve">Based on the passage, the proposed amendments to the 2007 Act seek to do all of the following EXCEPT: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Expand coverage to include in-laws and other categories of relatives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Introduce time-bound disposal of maintenance applications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Establish dedicated elder helplines connected to law enforcement</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Abolish the existing system of Maintenance Tribunals entirely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58.	</w:t>
      </w:r>
      <w:r>
        <w:rPr>
          <w:rFonts w:ascii="Times New Roman" w:cs="Times New Roman" w:eastAsia="Times New Roman" w:hAnsi="Times New Roman"/>
          <w:sz w:val="22"/>
          <w:szCs w:val="22"/>
        </w:rPr>
        <w:t xml:space="preserve">What does the passage suggest as a consequence of the COVID-19 pandemic on elder abuse trends?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documented rise in financial exploitation linked to isolation and income loss in households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Complete elimination of physical abuse cases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No discernible impact on elder abuse patterns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decline in all forms of elder abuse due to increased family togetherness</w:t>
      </w:r>
    </w:p>
    <w:p>
      <w:pPr>
        <w:tabs>
          <w:tab w:val="left" w:pos="280"/>
        </w:tabs>
        <w:spacing w:after="140" w:before="200" w:line="276"/>
        <w:ind w:left="280"/>
      </w:pPr>
      <w:r>
        <w:rPr>
          <w:rFonts w:ascii="Times New Roman" w:cs="Times New Roman" w:eastAsia="Times New Roman" w:hAnsi="Times New Roman"/>
          <w:b/>
          <w:bCs/>
          <w:sz w:val="22"/>
          <w:szCs w:val="22"/>
        </w:rPr>
        <w:t xml:space="preserve">XI.	</w:t>
      </w:r>
      <w:r>
        <w:rPr>
          <w:rFonts w:ascii="Times New Roman" w:cs="Times New Roman" w:eastAsia="Times New Roman" w:hAnsi="Times New Roman"/>
          <w:sz w:val="22"/>
          <w:szCs w:val="22"/>
        </w:rPr>
        <w:t xml:space="preserve">The doctrine of basic structure, first articulated by the Supreme Court in a landmark 1973 judgment, holds that while Parliament possesses wide powers to amend the Constitution under Article 368, it cannot use this power to alter or destroy the Constitution's basic structure or essential framework. The Court did not provide an exhaustive list of features constituting the basic structure, instead allowing the concept to develop through subsequent judicial interpretation; over the following decades, courts have identified federalism, secularism, judicial review, separation of powers, free and fair elections, and the rule of law, among other principles, as forming part of this basic structure.</w:t>
      </w:r>
    </w:p>
    <w:p>
      <w:pPr>
        <w:spacing w:after="140" w:line="276"/>
        <w:ind w:left="280"/>
      </w:pPr>
      <w:r>
        <w:rPr>
          <w:rFonts w:ascii="Times New Roman" w:cs="Times New Roman" w:eastAsia="Times New Roman" w:hAnsi="Times New Roman"/>
          <w:sz w:val="22"/>
          <w:szCs w:val="22"/>
        </w:rPr>
        <w:t xml:space="preserve">Critics of the doctrine have long argued that it represents an inappropriate expansion of judicial power, allowing unelected judges to override the will of a democratically elected legislature on the basis of a concept that the Constitution's text does not explicitly mention. Defenders counter that the doctrine serves an essential safeguarding function, preventing a transient parliamentary majority from dismantling the constitutional order itself through the amendment process, a concern they argue is not merely theoretical given historical instances in which amendments were used to curtail fundamental rights and concentrate executive power.</w:t>
      </w:r>
    </w:p>
    <w:p>
      <w:pPr>
        <w:spacing w:after="140" w:line="276"/>
        <w:ind w:left="280"/>
      </w:pPr>
      <w:r>
        <w:rPr>
          <w:rFonts w:ascii="Times New Roman" w:cs="Times New Roman" w:eastAsia="Times New Roman" w:hAnsi="Times New Roman"/>
          <w:sz w:val="22"/>
          <w:szCs w:val="22"/>
        </w:rPr>
        <w:t xml:space="preserve">In recent years, the doctrine has been invoked in challenges to constitutional amendments touching on judicial appointments, electoral processes, and the scope of fundamental rights, with courts continuing to apply a two-stage test: first, determining whether the challenged amendment alters an essential feature of the Constitution, and second, assessing whether such alteration amounts to damage or destruction of that feature rather than a permissible modification consistent with the Constitution's overall scheme.</w:t>
      </w:r>
    </w:p>
    <w:p>
      <w:pPr>
        <w:spacing w:after="140" w:line="276"/>
        <w:ind w:left="280"/>
      </w:pPr>
      <w:r>
        <w:rPr>
          <w:rFonts w:ascii="Times New Roman" w:cs="Times New Roman" w:eastAsia="Times New Roman" w:hAnsi="Times New Roman"/>
          <w:sz w:val="22"/>
          <w:szCs w:val="22"/>
        </w:rPr>
        <w:t xml:space="preserve">[Extracted, with edits, from a legal commentary on constitutional doctrine,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59.	</w:t>
      </w:r>
      <w:r>
        <w:rPr>
          <w:rFonts w:ascii="Times New Roman" w:cs="Times New Roman" w:eastAsia="Times New Roman" w:hAnsi="Times New Roman"/>
          <w:sz w:val="22"/>
          <w:szCs w:val="22"/>
        </w:rPr>
        <w:t xml:space="preserve">According to the passage, what does the basic structure doctrine establish regarding Parliament's amending power under Article 368?</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Parliament's amending power is wide but cannot be used to destroy the Constitution's basic structure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Only the President can amend the Constitution's basic structure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Parliament cannot amend the Constitution under any circumstances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Parliament has unlimited power to amend any part of the Constitution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60.	</w:t>
      </w:r>
      <w:r>
        <w:rPr>
          <w:rFonts w:ascii="Times New Roman" w:cs="Times New Roman" w:eastAsia="Times New Roman" w:hAnsi="Times New Roman"/>
          <w:sz w:val="22"/>
          <w:szCs w:val="22"/>
        </w:rPr>
        <w:t xml:space="preserve">Which of the following best describes the Supreme Court's approach to defining the basic structure, as per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It delegated the task of defining the doctrine entirely to Parliament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It provided a complete and final list of features in the original 1973 judgment</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It refused to identify any specific features as part of the basic structure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left the concept open to development through subsequent judicial interpretation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61.	</w:t>
      </w:r>
      <w:r>
        <w:rPr>
          <w:rFonts w:ascii="Times New Roman" w:cs="Times New Roman" w:eastAsia="Times New Roman" w:hAnsi="Times New Roman"/>
          <w:sz w:val="22"/>
          <w:szCs w:val="22"/>
        </w:rPr>
        <w:t xml:space="preserve">What is the principal criticism levelled against the basic structure doctrine,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That it allows unelected judges to override a democratically elected legislature based on a concept not explicitly in the constitutional text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That it has never been applied by any court in practice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That it conflicts directly with the doctrine of separation of powers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That it gives too much power to the executive branch</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62.	</w:t>
      </w:r>
      <w:r>
        <w:rPr>
          <w:rFonts w:ascii="Times New Roman" w:cs="Times New Roman" w:eastAsia="Times New Roman" w:hAnsi="Times New Roman"/>
          <w:sz w:val="22"/>
          <w:szCs w:val="22"/>
        </w:rPr>
        <w:t xml:space="preserve">Parliament passes a constitutional amendment removing the power of judicial review from the higher judiciary entirely. Applying the principles in the passage, such an amendment would most likely be: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Outside the scope of judicial review entirely, since it concerns the judiciary's own powers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Valid only if ratified by all state legislatures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Valid, since Parliament has unlimited amending power under Article 368</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Struck down, as judicial review has been recognised as part of the basic structure and its complete removal would amount to destruction of an essential feature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63.	</w:t>
      </w:r>
      <w:r>
        <w:rPr>
          <w:rFonts w:ascii="Times New Roman" w:cs="Times New Roman" w:eastAsia="Times New Roman" w:hAnsi="Times New Roman"/>
          <w:sz w:val="22"/>
          <w:szCs w:val="22"/>
        </w:rPr>
        <w:t xml:space="preserve">What two-stage test do courts apply, according to the passage, when assessing a challenge based on the basic structure doctrine?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Whether the amendment alters an essential feature, and whether such alteration amounts to damage or destruction of that feature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Whether the amendment affects fundamental rights only, and whether it affects directive principles only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Whether the amendment was passed with a two-thirds majority, and whether the President gave assent</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Whether the amendment was challenged within five years, and whether the challenger has standing</w:t>
      </w:r>
    </w:p>
    <w:p>
      <w:pPr>
        <w:tabs>
          <w:tab w:val="left" w:pos="340"/>
        </w:tabs>
        <w:spacing w:after="140" w:before="200" w:line="276"/>
        <w:ind w:left="340"/>
      </w:pPr>
      <w:r>
        <w:rPr>
          <w:rFonts w:ascii="Times New Roman" w:cs="Times New Roman" w:eastAsia="Times New Roman" w:hAnsi="Times New Roman"/>
          <w:b/>
          <w:bCs/>
          <w:sz w:val="22"/>
          <w:szCs w:val="22"/>
        </w:rPr>
        <w:t xml:space="preserve">XII.	</w:t>
      </w:r>
      <w:r>
        <w:rPr>
          <w:rFonts w:ascii="Times New Roman" w:cs="Times New Roman" w:eastAsia="Times New Roman" w:hAnsi="Times New Roman"/>
          <w:sz w:val="22"/>
          <w:szCs w:val="22"/>
        </w:rPr>
        <w:t xml:space="preserve">A contract of indemnity, as understood under Section 124 of the Indian Contract Act, 1872, is a contract by which one party promises to save the other from loss caused to him by the conduct of the promisor himself, or by the conduct of any other person. The party who promises to make good the loss is called the indemnifier, and the party whose loss is to be made good is called the indemnified or indemnity-holder. Common examples include insurance contracts, where the insurer indemnifies the insured against specified losses, and indemnity clauses in commercial contracts, where one party agrees to compensate the other for losses arising from breach, third-party claims, or specified contingencies.</w:t>
      </w:r>
    </w:p>
    <w:p>
      <w:pPr>
        <w:spacing w:after="140" w:line="276"/>
        <w:ind w:left="340"/>
      </w:pPr>
      <w:r>
        <w:rPr>
          <w:rFonts w:ascii="Times New Roman" w:cs="Times New Roman" w:eastAsia="Times New Roman" w:hAnsi="Times New Roman"/>
          <w:sz w:val="22"/>
          <w:szCs w:val="22"/>
        </w:rPr>
        <w:t xml:space="preserve">Distinct from indemnity is a contract of guarantee, governed by Section 126 of the Act, which is a contract to perform the promise, or discharge the liability, of a third person in case of his default. A contract of guarantee involves three parties: the principal debtor, who owes the original obligation; the creditor, to whom the obligation is owed; and the surety, who guarantees that the obligation will be performed. Unlike indemnity, which involves only two parties and arises to protect against loss generally, a guarantee specifically contemplates the default of a third party and creates what is termed a secondary liability on the surety, who becomes liable only upon the principal debtor's default, though the surety's liability is co-extensive with that of the principal debtor unless the contract provides otherwise.</w:t>
      </w:r>
    </w:p>
    <w:p>
      <w:pPr>
        <w:spacing w:after="140" w:line="276"/>
        <w:ind w:left="340"/>
      </w:pPr>
      <w:r>
        <w:rPr>
          <w:rFonts w:ascii="Times New Roman" w:cs="Times New Roman" w:eastAsia="Times New Roman" w:hAnsi="Times New Roman"/>
          <w:sz w:val="22"/>
          <w:szCs w:val="22"/>
        </w:rPr>
        <w:t xml:space="preserve">The rights of a surety upon discharging the guaranteed debt are significant: under Section 140, the surety is invested with all the rights which the creditor had against the principal debtor, a principle known as subrogation, allowing the surety to recover the amount paid from the principal debtor. Additionally, Section 133 provides that any variance, made without the surety's consent, in the terms of the contract between the principal debtor and the creditor discharges the surety as to transactions subsequent to the variance, reflecting the principle that a surety's liability should not be expanded beyond what was originally consented to.</w:t>
      </w:r>
    </w:p>
    <w:p>
      <w:pPr>
        <w:spacing w:after="140" w:line="276"/>
        <w:ind w:left="340"/>
      </w:pPr>
      <w:r>
        <w:rPr>
          <w:rFonts w:ascii="Times New Roman" w:cs="Times New Roman" w:eastAsia="Times New Roman" w:hAnsi="Times New Roman"/>
          <w:sz w:val="22"/>
          <w:szCs w:val="22"/>
        </w:rPr>
        <w:t xml:space="preserve">[Extracted, with edits, from a contract law commentary,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64.	</w:t>
      </w:r>
      <w:r>
        <w:rPr>
          <w:rFonts w:ascii="Times New Roman" w:cs="Times New Roman" w:eastAsia="Times New Roman" w:hAnsi="Times New Roman"/>
          <w:sz w:val="22"/>
          <w:szCs w:val="22"/>
        </w:rPr>
        <w:t xml:space="preserve">Under Section 124 of the Indian Contract Act, 1872, a contract of indemnity is best described as: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contract involving three parties to guarantee a third party's default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contract by which one party promises to save the other from loss caused by the promisor's own conduct or that of any other person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contract that automatically becomes void upon the death of either party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contract that can only be entered into by insurance companies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65.	</w:t>
      </w:r>
      <w:r>
        <w:rPr>
          <w:rFonts w:ascii="Times New Roman" w:cs="Times New Roman" w:eastAsia="Times New Roman" w:hAnsi="Times New Roman"/>
          <w:sz w:val="22"/>
          <w:szCs w:val="22"/>
        </w:rPr>
        <w:t xml:space="preserve">How many parties are typically involved in a contract of guarantee, as opposed to a contract of indemnity?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Both always involve four parties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Both involve exactly two parties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guarantee involves two parties, while indemnity involves three parties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guarantee involves three parties (principal debtor, creditor, and surety), while indemnity typically involves two parties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66.	</w:t>
      </w:r>
      <w:r>
        <w:rPr>
          <w:rFonts w:ascii="Times New Roman" w:cs="Times New Roman" w:eastAsia="Times New Roman" w:hAnsi="Times New Roman"/>
          <w:sz w:val="22"/>
          <w:szCs w:val="22"/>
        </w:rPr>
        <w:t xml:space="preserve">What is meant by the surety's liability being “co-extensive” with that of the principal debtor?</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surety's liability arises only after the creditor's death</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surety's liability is, unless otherwise agreed, equal in extent to the liability of the principal debtor</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surety's liability is always less than that of the principal debtor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surety has no liability whatsoever under the contract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67.	</w:t>
      </w:r>
      <w:r>
        <w:rPr>
          <w:rFonts w:ascii="Times New Roman" w:cs="Times New Roman" w:eastAsia="Times New Roman" w:hAnsi="Times New Roman"/>
          <w:sz w:val="22"/>
          <w:szCs w:val="22"/>
        </w:rPr>
        <w:t xml:space="preserve">A surety pays off a defaulted loan on behalf of the principal debtor. Under Section 140, what right does the surety acquire?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right of subrogation, being invested with all rights the creditor had against the principal debtor, to recover the amount paid</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right to seize the creditor's assets directly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No right at all; payment is treated as a gift to the principal debtor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right to cancel the original loan agreement retroactively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68.	</w:t>
      </w:r>
      <w:r>
        <w:rPr>
          <w:rFonts w:ascii="Times New Roman" w:cs="Times New Roman" w:eastAsia="Times New Roman" w:hAnsi="Times New Roman"/>
          <w:sz w:val="22"/>
          <w:szCs w:val="22"/>
        </w:rPr>
        <w:t xml:space="preserve">A creditor and principal debtor alter the repayment schedule of a loan significantly without informing or obtaining consent from the surety. Applying Section 133 as described in the passage, what is the legal consequence?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principal debtor is released from all liability instead</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surety is discharged from liability for transactions subsequent to the variance, since it was made without the surety's consent</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variance is automatically void and has no legal effect on anyone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surety remains fully liable regardless of the variance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69.	</w:t>
      </w:r>
      <w:r>
        <w:rPr>
          <w:rFonts w:ascii="Times New Roman" w:cs="Times New Roman" w:eastAsia="Times New Roman" w:hAnsi="Times New Roman"/>
          <w:sz w:val="22"/>
          <w:szCs w:val="22"/>
        </w:rPr>
        <w:t xml:space="preserve">Which of the following is an example of a contract of indemnity rather than a contract of guarantee, based on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father promising a bank that he will repay his son's loan if the son defaults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company guaranteeing its subsidiary's debt to a supplier</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An insurance company promising to compensate a policyholder for fire damage to their warehouse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friend guaranteeing repayment of a colleague's personal loan to a third party</w:t>
      </w:r>
    </w:p>
    <w:p>
      <w:pPr>
        <w:tabs>
          <w:tab w:val="left" w:pos="340"/>
        </w:tabs>
        <w:spacing w:after="140" w:before="200" w:line="276"/>
        <w:ind w:left="340"/>
      </w:pPr>
      <w:r>
        <w:rPr>
          <w:rFonts w:ascii="Times New Roman" w:cs="Times New Roman" w:eastAsia="Times New Roman" w:hAnsi="Times New Roman"/>
          <w:b/>
          <w:bCs/>
          <w:sz w:val="22"/>
          <w:szCs w:val="22"/>
        </w:rPr>
        <w:t xml:space="preserve">XIII.	</w:t>
      </w:r>
      <w:r>
        <w:rPr>
          <w:rFonts w:ascii="Times New Roman" w:cs="Times New Roman" w:eastAsia="Times New Roman" w:hAnsi="Times New Roman"/>
          <w:sz w:val="22"/>
          <w:szCs w:val="22"/>
        </w:rPr>
        <w:t xml:space="preserve">Trademarks serve to distinguish the goods or services of one enterprise from those of another, functioning as source identifiers that allow consumers to associate particular qualities or reputations with a specific producer. Under the Trade Marks Act, 1999, a trademark may consist of words, logos, symbols, shapes, or even a combination of colours, provided it is capable of being represented graphically and is capable of distinguishing the goods or services of one person from those of others. Registration of a trademark, while not mandatory for the existence of rights under common law passing-off principles, confers significant statutory advantages, including a presumption of validity and the exclusive right to use the mark in relation to the goods or services for which it is registered.</w:t>
      </w:r>
    </w:p>
    <w:p>
      <w:pPr>
        <w:spacing w:after="140" w:line="276"/>
        <w:ind w:left="340"/>
      </w:pPr>
      <w:r>
        <w:rPr>
          <w:rFonts w:ascii="Times New Roman" w:cs="Times New Roman" w:eastAsia="Times New Roman" w:hAnsi="Times New Roman"/>
          <w:sz w:val="22"/>
          <w:szCs w:val="22"/>
        </w:rPr>
        <w:t xml:space="preserve">The Act prohibits the registration of marks that are devoid of distinctive character, are descriptive of the goods or services in question, have become customary in the trade, or are likely to deceive or cause confusion. It also bars registration of marks identical or deceptively similar to an existing registered trademark, where such use would be likely to cause confusion among the public, recognising that the core purpose of trademark protection, preventing consumer confusion as to the source of goods, would otherwise be defeated.</w:t>
      </w:r>
    </w:p>
    <w:p>
      <w:pPr>
        <w:spacing w:after="140" w:line="276"/>
        <w:ind w:left="340"/>
      </w:pPr>
      <w:r>
        <w:rPr>
          <w:rFonts w:ascii="Times New Roman" w:cs="Times New Roman" w:eastAsia="Times New Roman" w:hAnsi="Times New Roman"/>
          <w:sz w:val="22"/>
          <w:szCs w:val="22"/>
        </w:rPr>
        <w:t xml:space="preserve">Infringement under Section 29 of the Act occurs when a registered trademark is used by a person not entitled to use it, in a manner identical or deceptively similar to the registered mark, in relation to goods or services for which it is registered, or in certain circumstances even in relation to dissimilar goods where the earlier mark has a reputation in India and the unauthorised use would take unfair advantage of, or be detrimental to, the distinctive character or repute of the registered mark. Remedies available to a trademark owner include injunctions restraining further infringing use, damages or an account of profits, and, in some cases, the destruction of infringing goods and labels.</w:t>
      </w:r>
    </w:p>
    <w:p>
      <w:pPr>
        <w:spacing w:after="140" w:line="276"/>
        <w:ind w:left="340"/>
      </w:pPr>
      <w:r>
        <w:rPr>
          <w:rFonts w:ascii="Times New Roman" w:cs="Times New Roman" w:eastAsia="Times New Roman" w:hAnsi="Times New Roman"/>
          <w:sz w:val="22"/>
          <w:szCs w:val="22"/>
        </w:rPr>
        <w:t xml:space="preserve">[Extracted, with edits, from an intellectual property law commentary,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70.	</w:t>
      </w:r>
      <w:r>
        <w:rPr>
          <w:rFonts w:ascii="Times New Roman" w:cs="Times New Roman" w:eastAsia="Times New Roman" w:hAnsi="Times New Roman"/>
          <w:sz w:val="22"/>
          <w:szCs w:val="22"/>
        </w:rPr>
        <w:t xml:space="preserve">According to the passage, what is the primary function of a trademark?</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To serve as a source identifier distinguishing the goods or services of one enterprise from another</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To grant a monopoly over an entire industry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To prevent any new entrant from competing in the same market</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To replace the need for quality control by the producer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71.	</w:t>
      </w:r>
      <w:r>
        <w:rPr>
          <w:rFonts w:ascii="Times New Roman" w:cs="Times New Roman" w:eastAsia="Times New Roman" w:hAnsi="Times New Roman"/>
          <w:sz w:val="22"/>
          <w:szCs w:val="22"/>
        </w:rPr>
        <w:t xml:space="preserve">Is registration mandatory for the existence of trademark rights,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Registration is mandatory only for marks consisting of colours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No, common law passing-off principles can protect unregistered marks, though registration confers additional statutory advantages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Registration is mandatory only for foreign companies operating in India</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Yes, no rights exist at all without registration under any circumstances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72.	</w:t>
      </w:r>
      <w:r>
        <w:rPr>
          <w:rFonts w:ascii="Times New Roman" w:cs="Times New Roman" w:eastAsia="Times New Roman" w:hAnsi="Times New Roman"/>
          <w:sz w:val="22"/>
          <w:szCs w:val="22"/>
        </w:rPr>
        <w:t xml:space="preserve">Which of the following marks would most likely be refused registration under the principles described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mark that is purely descriptive of the goods it is meant to identify, such as “Crispy” for potato chips with no additional distinctive element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coined logo with no resemblance to any existing registered mark</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distinctive invented word used for a new brand of footwear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unique combination of colours and shape capable of graphical representation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73.	</w:t>
      </w:r>
      <w:r>
        <w:rPr>
          <w:rFonts w:ascii="Times New Roman" w:cs="Times New Roman" w:eastAsia="Times New Roman" w:hAnsi="Times New Roman"/>
          <w:sz w:val="22"/>
          <w:szCs w:val="22"/>
        </w:rPr>
        <w:t xml:space="preserve">Under Section 29, can infringement occur even when the infringing use relates to goods dissimilar to those for which the mark is registered?</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Yes, but only if the dissimilar goods are sold in a foreign country</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No, dissimilar goods are entirely outside the scope of the Trade Marks Act</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No, infringement can never extend to dissimilar goods under any circumstance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Yes, where the earlier mark has a reputation in India and the unauthorised use would take unfair advantage of or harm its distinctive character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74.	</w:t>
      </w:r>
      <w:r>
        <w:rPr>
          <w:rFonts w:ascii="Times New Roman" w:cs="Times New Roman" w:eastAsia="Times New Roman" w:hAnsi="Times New Roman"/>
          <w:sz w:val="22"/>
          <w:szCs w:val="22"/>
        </w:rPr>
        <w:t xml:space="preserve">A company begins selling soft drinks under a name deceptively similar to a globally famous, registered soft drink brand, even though it manufactures only stationery products. Based on the passage, which legal principle is most relevant to assessing infringement?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famous brand has no recourse since it did not register its mark for stationery products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No infringement can occur since the companies operate in different industries entirely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Infringement requires that both companies be located in the same city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Infringement may still be found if the famous mark has a reputation in India and the new use would take unfair advantage of or be detrimental to that reputation</w:t>
      </w:r>
    </w:p>
    <w:p>
      <w:pPr>
        <w:tabs>
          <w:tab w:val="left" w:pos="340"/>
        </w:tabs>
        <w:spacing w:after="140" w:before="200" w:line="276"/>
        <w:ind w:left="340"/>
      </w:pPr>
      <w:r>
        <w:rPr>
          <w:rFonts w:ascii="Times New Roman" w:cs="Times New Roman" w:eastAsia="Times New Roman" w:hAnsi="Times New Roman"/>
          <w:b/>
          <w:bCs/>
          <w:sz w:val="22"/>
          <w:szCs w:val="22"/>
        </w:rPr>
        <w:t xml:space="preserve">XIV.	</w:t>
      </w:r>
      <w:r>
        <w:rPr>
          <w:rFonts w:ascii="Times New Roman" w:cs="Times New Roman" w:eastAsia="Times New Roman" w:hAnsi="Times New Roman"/>
          <w:sz w:val="22"/>
          <w:szCs w:val="22"/>
        </w:rPr>
        <w:t xml:space="preserve">The Mediation Act, 2023 was enacted to promote and facilitate mediation, particularly institutional mediation, as a preferred mode of resolving disputes, both commercial and otherwise, with the stated objective of reducing the burden on courts and offering parties a faster, more amicable, and cost-effective alternative to traditional litigation. The Act provides for pre-litigation mediation in respect of certain categories of disputes, requiring parties to attempt mediation before approaching a court, though this requirement does not apply to disputes that the Act specifically excludes, such as those involving matters not ordinarily capable of being settled through mediation, including certain criminal proceedings and disputes affecting the rights of third parties not present at the mediation.</w:t>
      </w:r>
    </w:p>
    <w:p>
      <w:pPr>
        <w:spacing w:after="140" w:line="276"/>
        <w:ind w:left="340"/>
      </w:pPr>
      <w:r>
        <w:rPr>
          <w:rFonts w:ascii="Times New Roman" w:cs="Times New Roman" w:eastAsia="Times New Roman" w:hAnsi="Times New Roman"/>
          <w:sz w:val="22"/>
          <w:szCs w:val="22"/>
        </w:rPr>
        <w:t xml:space="preserve">A central feature of the Act is the recognition it accords to mediated settlement agreements: once signed by the parties and the mediator, such an agreement is final, binding on the parties, and enforceable in the same manner as a judgment or decree, subject to limited grounds of challenge such as fraud, corruption, impersonation, or where the dispute was not fit for mediation in the first place. This enforcement mechanism is intended to give mediated outcomes the same practical weight as a court's decree, addressing a longstanding concern that, without such enforceability, parties had little incentive to honour settlements reached outside the formal litigation process.</w:t>
      </w:r>
    </w:p>
    <w:p>
      <w:pPr>
        <w:spacing w:after="140" w:line="276"/>
        <w:ind w:left="340"/>
      </w:pPr>
      <w:r>
        <w:rPr>
          <w:rFonts w:ascii="Times New Roman" w:cs="Times New Roman" w:eastAsia="Times New Roman" w:hAnsi="Times New Roman"/>
          <w:sz w:val="22"/>
          <w:szCs w:val="22"/>
        </w:rPr>
        <w:t xml:space="preserve">The Act also establishes the Mediation Council of India, tasked with registering mediators, accrediting mediation service providers and institutes, and promoting professional and ethical standards in the practice of mediation. Confidentiality is statutorily protected: communications made during mediation, including admissions and proposals for settlement, cannot generally be disclosed or relied upon in subsequent judicial or arbitral proceedings, an assurance considered essential to encouraging candid negotiation between disputing parties without fear that statements made in the course of settlement talks will later be used against them.</w:t>
      </w:r>
    </w:p>
    <w:p>
      <w:pPr>
        <w:spacing w:after="140" w:line="276"/>
        <w:ind w:left="340"/>
      </w:pPr>
      <w:r>
        <w:rPr>
          <w:rFonts w:ascii="Times New Roman" w:cs="Times New Roman" w:eastAsia="Times New Roman" w:hAnsi="Times New Roman"/>
          <w:sz w:val="22"/>
          <w:szCs w:val="22"/>
        </w:rPr>
        <w:t xml:space="preserve">[Extracted, with edits, from a legal commentary on alternative dispute resolution,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75.	</w:t>
      </w:r>
      <w:r>
        <w:rPr>
          <w:rFonts w:ascii="Times New Roman" w:cs="Times New Roman" w:eastAsia="Times New Roman" w:hAnsi="Times New Roman"/>
          <w:sz w:val="22"/>
          <w:szCs w:val="22"/>
        </w:rPr>
        <w:t xml:space="preserve">What is the stated objective of the Mediation Act, 2023, as described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To replace the judiciary with private mediators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To abolish litigation entirely in India</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To promote mediation as a faster, more amicable, and cost-effective alternative to litigation, reducing the burden on courts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To make mediation compulsory for all criminal proceedings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76.	</w:t>
      </w:r>
      <w:r>
        <w:rPr>
          <w:rFonts w:ascii="Times New Roman" w:cs="Times New Roman" w:eastAsia="Times New Roman" w:hAnsi="Times New Roman"/>
          <w:sz w:val="22"/>
          <w:szCs w:val="22"/>
        </w:rPr>
        <w:t xml:space="preserve">What is the legal status of a mediated settlement agreement once signed by the parties and mediator,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It can be unilaterally cancelled by either party at any time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It has no legal effect unless ratified by the Mediation Council of India</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It is final, binding, and enforceable in the same manner as a judgment or decree, subject to limited grounds of challenge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is merely a non-binding recommendation requiring further court approval</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77.	</w:t>
      </w:r>
      <w:r>
        <w:rPr>
          <w:rFonts w:ascii="Times New Roman" w:cs="Times New Roman" w:eastAsia="Times New Roman" w:hAnsi="Times New Roman"/>
          <w:sz w:val="22"/>
          <w:szCs w:val="22"/>
        </w:rPr>
        <w:t xml:space="preserve">Which of the following is mentioned in the passage as a valid ground to challenge a mediated settlement agreement?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Fraud, corruption, impersonation, or the dispute not being fit for mediation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settlement being reached too quickly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mediator charging a fee for their services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One party simply changing their mind after signing</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78.	</w:t>
      </w:r>
      <w:r>
        <w:rPr>
          <w:rFonts w:ascii="Times New Roman" w:cs="Times New Roman" w:eastAsia="Times New Roman" w:hAnsi="Times New Roman"/>
          <w:sz w:val="22"/>
          <w:szCs w:val="22"/>
        </w:rPr>
        <w:t xml:space="preserve">Two business partners, after mediation, sign a settlement agreement resolving their dispute. One partner later wishes to disregard the agreement simply because the outcome is less favourable than hoped. Based on the passage, can they do so?</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No, since the agreement is binding and enforceable like a decree, absent grounds such as fraud or unsuitability for mediation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Yes, but only if they pay a penalty to the other party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No, but only if the mediation was conducted by a government-appointed mediator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Yes, mediated agreements are always optional and can be ignored freely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79.	</w:t>
      </w:r>
      <w:r>
        <w:rPr>
          <w:rFonts w:ascii="Times New Roman" w:cs="Times New Roman" w:eastAsia="Times New Roman" w:hAnsi="Times New Roman"/>
          <w:sz w:val="22"/>
          <w:szCs w:val="22"/>
        </w:rPr>
        <w:t xml:space="preserve">Why does the passage consider confidentiality protection during mediation to be essential?</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To prevent mediators from being paid for their services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To ensure that mediation proceedings remain secret from the Mediation Council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To encourage candid negotiation without fear that settlement-related statements will be used against a party later</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To prevent courts from ever discovering that mediation took place</w:t>
      </w:r>
    </w:p>
    <w:p>
      <w:pPr>
        <w:tabs>
          <w:tab w:val="left" w:pos="280"/>
        </w:tabs>
        <w:spacing w:after="140" w:before="200" w:line="276"/>
        <w:ind w:left="280"/>
      </w:pPr>
      <w:r>
        <w:rPr>
          <w:rFonts w:ascii="Times New Roman" w:cs="Times New Roman" w:eastAsia="Times New Roman" w:hAnsi="Times New Roman"/>
          <w:b/>
          <w:bCs/>
          <w:sz w:val="22"/>
          <w:szCs w:val="22"/>
        </w:rPr>
        <w:t xml:space="preserve">XV.	</w:t>
      </w:r>
      <w:r>
        <w:rPr>
          <w:rFonts w:ascii="Times New Roman" w:cs="Times New Roman" w:eastAsia="Times New Roman" w:hAnsi="Times New Roman"/>
          <w:sz w:val="22"/>
          <w:szCs w:val="22"/>
        </w:rPr>
        <w:t xml:space="preserve">Section 80 of the Information Technology Act, 2000 confers upon certain police officers the power to enter any public place and search and arrest, without warrant, any person reasonably suspected of having committed, committing, or being about to commit an offence under the Act, reflecting the legislature's recognition that the often rapidly evolving and easily concealed nature of electronic evidence may, in some circumstances, justify swifter intervention than the ordinary warrant-based procedure permits. This power, however, is not unlimited: it applies specifically to public places, and a person arrested under this provision must, without unnecessary delay, be taken before a magistrate or, in certain cases, an officer in charge of a police station, in keeping with general constitutional protections against arbitrary detention.</w:t>
      </w:r>
    </w:p>
    <w:p>
      <w:pPr>
        <w:spacing w:after="140" w:line="276"/>
        <w:ind w:left="280"/>
      </w:pPr>
      <w:r>
        <w:rPr>
          <w:rFonts w:ascii="Times New Roman" w:cs="Times New Roman" w:eastAsia="Times New Roman" w:hAnsi="Times New Roman"/>
          <w:sz w:val="22"/>
          <w:szCs w:val="22"/>
        </w:rPr>
        <w:t xml:space="preserve">The IT Act also creates a distinct framework of civil liability under Section 43, which provides that a person who, without permission of the owner or person in charge of a computer, computer system, or computer network, accesses or secures access, downloads, copies, or extracts data, introduces a computer virus, or causes damage, shall be liable to pay damages by way of compensation to the person so affected. This provision operates independent of any criminal prosecution that might separately arise under Section 66 for similar conduct done dishonestly or fraudulently, meaning a victim of unauthorised computer access may pursue civil compensation, criminal prosecution, or both, depending on the circumstances and the nature of relief sought.</w:t>
      </w:r>
    </w:p>
    <w:p>
      <w:pPr>
        <w:spacing w:after="140" w:line="276"/>
        <w:ind w:left="280"/>
      </w:pPr>
      <w:r>
        <w:rPr>
          <w:rFonts w:ascii="Times New Roman" w:cs="Times New Roman" w:eastAsia="Times New Roman" w:hAnsi="Times New Roman"/>
          <w:sz w:val="22"/>
          <w:szCs w:val="22"/>
        </w:rPr>
        <w:t xml:space="preserve">Intermediary liability under the Act, particularly following the Supreme Court's interpretation of Section 79 in a landmark 2015 judgment, has been read down to require that intermediaries, such as social media platforms and internet service providers, are required to remove or disable access to unlawful content primarily upon receiving an order from a court or an appropriate government authority, rather than merely upon a private complaint or notice, reflecting concerns that an overly broad takedown obligation triggered by private complaints alone could lead to excessive censorship of legitimate online speech.</w:t>
      </w:r>
    </w:p>
    <w:p>
      <w:pPr>
        <w:spacing w:after="140" w:line="276"/>
        <w:ind w:left="280"/>
      </w:pPr>
      <w:r>
        <w:rPr>
          <w:rFonts w:ascii="Times New Roman" w:cs="Times New Roman" w:eastAsia="Times New Roman" w:hAnsi="Times New Roman"/>
          <w:sz w:val="22"/>
          <w:szCs w:val="22"/>
        </w:rPr>
        <w:t xml:space="preserve">[Extracted, with edits, from a cyber-law commentary,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80.	</w:t>
      </w:r>
      <w:r>
        <w:rPr>
          <w:rFonts w:ascii="Times New Roman" w:cs="Times New Roman" w:eastAsia="Times New Roman" w:hAnsi="Times New Roman"/>
          <w:sz w:val="22"/>
          <w:szCs w:val="22"/>
        </w:rPr>
        <w:t xml:space="preserve">Under Section 80 of the IT Act, 2000, what power is conferred upon certain police officers, as described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power to permanently seize all computers in a city</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power to arrest any person anywhere in the world without any restriction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power to conduct mediation between cyber-crime victims and accused persons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power to enter a public place and search and arrest, without warrant, a person reasonably suspected of an offence under the Act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81.	</w:t>
      </w:r>
      <w:r>
        <w:rPr>
          <w:rFonts w:ascii="Times New Roman" w:cs="Times New Roman" w:eastAsia="Times New Roman" w:hAnsi="Times New Roman"/>
          <w:sz w:val="22"/>
          <w:szCs w:val="22"/>
        </w:rPr>
        <w:t xml:space="preserve">What constitutional safeguard is mentioned as applying to a person arrested under Section 80?</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person automatically forfeits the right to legal representation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person can be detained indefinitely without being produced before any authority</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person must confess to the offence before being released</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person must, without unnecessary delay, be taken before a magistrate or appropriate police officer</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82.	</w:t>
      </w:r>
      <w:r>
        <w:rPr>
          <w:rFonts w:ascii="Times New Roman" w:cs="Times New Roman" w:eastAsia="Times New Roman" w:hAnsi="Times New Roman"/>
          <w:sz w:val="22"/>
          <w:szCs w:val="22"/>
        </w:rPr>
        <w:t xml:space="preserve">Under Section 43 of the IT Act, what type of liability arises for unauthorised access to a computer system,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Only criminal liability, with no civil remedy available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No liability at all unless the access causes physical damage to hardware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Civil liability requiring payment of compensation, which operates independently of any separate criminal prosecution under Section 66</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Liability only if the unauthorised access occurs across international borders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83.	</w:t>
      </w:r>
      <w:r>
        <w:rPr>
          <w:rFonts w:ascii="Times New Roman" w:cs="Times New Roman" w:eastAsia="Times New Roman" w:hAnsi="Times New Roman"/>
          <w:sz w:val="22"/>
          <w:szCs w:val="22"/>
        </w:rPr>
        <w:t xml:space="preserve">A company's former employee, after resignation, uses retained login credentials to access the company's server without permission and downloads confidential files. Based on the passage, what recourse does the company have?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No recourse is available since the employee once had legitimate access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company must wait for the employee to admit wrongdoing before any action can be taken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company may pursue civil compensation under Section 43, criminal prosecution under Section 66, or both, depending on the circumstances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company can only approach the Mediation Council for resolution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84.	</w:t>
      </w:r>
      <w:r>
        <w:rPr>
          <w:rFonts w:ascii="Times New Roman" w:cs="Times New Roman" w:eastAsia="Times New Roman" w:hAnsi="Times New Roman"/>
          <w:sz w:val="22"/>
          <w:szCs w:val="22"/>
        </w:rPr>
        <w:t xml:space="preserve">Following the Supreme Court's interpretation referred to in the passage, when are intermediaries generally required to remove or disable access to unlawful content?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Only when directed to do so by a foreign government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Intermediaries have no obligation to remove any content under any circumstances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Immediately upon receiving any private complaint from a member of the public</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Primarily upon receiving an order from a court or an appropriate government authority</w:t>
      </w:r>
    </w:p>
    <w:p>
      <w:pPr>
        <w:pageBreakBefore/>
        <w:pBdr>
          <w:bottom w:val="single" w:color="000000" w:sz="6" w:space="4"/>
        </w:pBdr>
        <w:spacing w:after="240" w:before="0"/>
        <w:jc w:val="center"/>
      </w:pPr>
      <w:r>
        <w:rPr>
          <w:rFonts w:ascii="Times New Roman" w:cs="Times New Roman" w:eastAsia="Times New Roman" w:hAnsi="Times New Roman"/>
          <w:b/>
          <w:bCs/>
          <w:sz w:val="26"/>
          <w:szCs w:val="26"/>
        </w:rPr>
        <w:t xml:space="preserve">Logical Reasoning</w:t>
      </w:r>
    </w:p>
    <w:p>
      <w:pPr>
        <w:tabs>
          <w:tab w:val="left" w:pos="340"/>
        </w:tabs>
        <w:spacing w:after="140" w:before="200" w:line="276"/>
        <w:ind w:left="340"/>
      </w:pPr>
      <w:r>
        <w:rPr>
          <w:rFonts w:ascii="Times New Roman" w:cs="Times New Roman" w:eastAsia="Times New Roman" w:hAnsi="Times New Roman"/>
          <w:b/>
          <w:bCs/>
          <w:sz w:val="22"/>
          <w:szCs w:val="22"/>
        </w:rPr>
        <w:t xml:space="preserve">XVI.	</w:t>
      </w:r>
      <w:r>
        <w:rPr>
          <w:rFonts w:ascii="Times New Roman" w:cs="Times New Roman" w:eastAsia="Times New Roman" w:hAnsi="Times New Roman"/>
          <w:sz w:val="22"/>
          <w:szCs w:val="22"/>
        </w:rPr>
        <w:t xml:space="preserve">Loneliness has traditionally been understood as a problem of old age, associated with bereavement, retirement, and the shrinking of social circles that often accompanies later life. Recent research, however, has identified a less-discussed but equally significant trend: rising loneliness among young adults in their twenties and early thirties, despite this cohort being, by most measures, the most digitally connected generation in human history. Surveys conducted across several countries have found that young adults report feeling lonely at rates comparable to, and in some studies exceeding, those reported by people over the age of sixty-five, a finding that researchers describe as counterintuitive given the constant availability of messaging platforms, video calls, and social media.</w:t>
      </w:r>
    </w:p>
    <w:p>
      <w:pPr>
        <w:spacing w:after="140" w:line="276"/>
        <w:ind w:left="340"/>
      </w:pPr>
      <w:r>
        <w:rPr>
          <w:rFonts w:ascii="Times New Roman" w:cs="Times New Roman" w:eastAsia="Times New Roman" w:hAnsi="Times New Roman"/>
          <w:sz w:val="22"/>
          <w:szCs w:val="22"/>
        </w:rPr>
        <w:t xml:space="preserve">Several explanations have been proposed for this phenomenon. One line of reasoning points to the difference between connection and intimacy: a person may exchange dozens of messages a day across multiple platforms while having no one to call during a genuine crisis, since frequent shallow contact does not necessarily build the depth of relationship that buffers against loneliness. A second explanation focuses on life-stage instability, noting that the period of early adulthood is increasingly marked by frequent relocation for education and employment, delayed marriage and family formation, and economic precarity, all of which disrupt the formation of the stable, long-term friendships that typically provide emotional support in earlier generations at the same age.</w:t>
      </w:r>
    </w:p>
    <w:p>
      <w:pPr>
        <w:spacing w:after="140" w:line="276"/>
        <w:ind w:left="340"/>
      </w:pPr>
      <w:r>
        <w:rPr>
          <w:rFonts w:ascii="Times New Roman" w:cs="Times New Roman" w:eastAsia="Times New Roman" w:hAnsi="Times New Roman"/>
          <w:sz w:val="22"/>
          <w:szCs w:val="22"/>
        </w:rPr>
        <w:t xml:space="preserve">A third, more contested explanation concerns the role of social comparison enabled by social media itself: curated depictions of other people's social lives, friendships, and milestones may intensify feelings of exclusion even among young adults who are not, by objective measures, socially isolated. Researchers caution, however, against treating social media as a single, uniform cause, noting that its effects appear to depend heavily on how it is used, with passive scrolling associated with worse outcomes than active, two-way communication with close contacts.</w:t>
      </w:r>
    </w:p>
    <w:p>
      <w:pPr>
        <w:spacing w:after="140" w:line="276"/>
        <w:ind w:left="340"/>
      </w:pPr>
      <w:r>
        <w:rPr>
          <w:rFonts w:ascii="Times New Roman" w:cs="Times New Roman" w:eastAsia="Times New Roman" w:hAnsi="Times New Roman"/>
          <w:sz w:val="22"/>
          <w:szCs w:val="22"/>
        </w:rPr>
        <w:t xml:space="preserve">Mental health professionals have begun to advocate for interventions specifically targeted at this age group, including community-based programmes that encourage in-person group activities, since several studies suggest that loneliness among young adults responds well to interventions that create repeated, low-pressure opportunities for face-to-face interaction, in contrast to interventions aimed solely at increasing the quantity of digital contact, which have shown comparatively limited effect.</w:t>
      </w:r>
    </w:p>
    <w:p>
      <w:pPr>
        <w:spacing w:after="140" w:line="276"/>
        <w:ind w:left="340"/>
      </w:pPr>
      <w:r>
        <w:rPr>
          <w:rFonts w:ascii="Times New Roman" w:cs="Times New Roman" w:eastAsia="Times New Roman" w:hAnsi="Times New Roman"/>
          <w:sz w:val="22"/>
          <w:szCs w:val="22"/>
        </w:rPr>
        <w:t xml:space="preserve">(An original passage on loneliness among young adults,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85.	</w:t>
      </w:r>
      <w:r>
        <w:rPr>
          <w:rFonts w:ascii="Times New Roman" w:cs="Times New Roman" w:eastAsia="Times New Roman" w:hAnsi="Times New Roman"/>
          <w:sz w:val="22"/>
          <w:szCs w:val="22"/>
        </w:rPr>
        <w:t xml:space="preserve">According to the passage, which of the following findings is described as “counterintuitive” by researchers?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That young adults rarely use messaging platforms or social media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That social media has no effect on feelings of loneliness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That elderly people report higher rates of loneliness than young adults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That young adults, despite being highly digitally connected, report loneliness at rates comparable to or exceeding those of people over sixty-five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86.	</w:t>
      </w:r>
      <w:r>
        <w:rPr>
          <w:rFonts w:ascii="Times New Roman" w:cs="Times New Roman" w:eastAsia="Times New Roman" w:hAnsi="Times New Roman"/>
          <w:sz w:val="22"/>
          <w:szCs w:val="22"/>
        </w:rPr>
        <w:t xml:space="preserve">What distinction does the passage draw between “connection” and “intimacy”?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Frequent shallow contact across platforms does not necessarily provide the depth of relationship needed to buffer against loneliness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Connection is more valuable than intimacy in preventing loneliness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They are treated as identical concepts with no meaningful difference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Intimacy can only be achieved through digital communication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87.	</w:t>
      </w:r>
      <w:r>
        <w:rPr>
          <w:rFonts w:ascii="Times New Roman" w:cs="Times New Roman" w:eastAsia="Times New Roman" w:hAnsi="Times New Roman"/>
          <w:sz w:val="22"/>
          <w:szCs w:val="22"/>
        </w:rPr>
        <w:t xml:space="preserve">Which factor does the passage identify under “life-stage instability” as contributing to loneliness among young adults?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Frequent relocation, delayed family formation, and economic precarity disrupting stable friendships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Increased financial stability among young adults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decline in the use of digital communication tools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Mandatory retirement policies affecting young workers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88.	</w:t>
      </w:r>
      <w:r>
        <w:rPr>
          <w:rFonts w:ascii="Times New Roman" w:cs="Times New Roman" w:eastAsia="Times New Roman" w:hAnsi="Times New Roman"/>
          <w:sz w:val="22"/>
          <w:szCs w:val="22"/>
        </w:rPr>
        <w:t xml:space="preserve">According to the passage, how does the effect of social media on loneliness vary?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Passive scrolling is associated with worse outcomes than active, two-way communication with close contacts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Only video calls have any measurable effect on loneliness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Social media always reduces loneliness regardless of usage pattern</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has an identical effect regardless of how it is used</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89.	</w:t>
      </w:r>
      <w:r>
        <w:rPr>
          <w:rFonts w:ascii="Times New Roman" w:cs="Times New Roman" w:eastAsia="Times New Roman" w:hAnsi="Times New Roman"/>
          <w:sz w:val="22"/>
          <w:szCs w:val="22"/>
        </w:rPr>
        <w:t xml:space="preserve">What type of intervention does the passage suggest is most effective in addressing loneliness among young adults?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Interventions focused exclusively on elderly populations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Programmes that discourage all use of smartphones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Interventions aimed solely at increasing the quantity of digital contact</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Community-based programmes creating repeated, low-pressure opportunities for face-to-face interaction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90.	</w:t>
      </w:r>
      <w:r>
        <w:rPr>
          <w:rFonts w:ascii="Times New Roman" w:cs="Times New Roman" w:eastAsia="Times New Roman" w:hAnsi="Times New Roman"/>
          <w:sz w:val="22"/>
          <w:szCs w:val="22"/>
        </w:rPr>
        <w:t xml:space="preserve">Which of the following, if true, would most strengthen the passage's argument about the limited effect of digital-contact-focused interventions?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study showing that smartphone ownership has increased among teenagers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study showing that young adults who increased messaging frequency reported no reduction in loneliness scores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study showing that social media usage varies by country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study showing that elderly people benefit greatly from video calls with family</w:t>
      </w:r>
    </w:p>
    <w:p>
      <w:pPr>
        <w:tabs>
          <w:tab w:val="left" w:pos="340"/>
        </w:tabs>
        <w:spacing w:after="140" w:before="200" w:line="276"/>
        <w:ind w:left="340"/>
      </w:pPr>
      <w:r>
        <w:rPr>
          <w:rFonts w:ascii="Times New Roman" w:cs="Times New Roman" w:eastAsia="Times New Roman" w:hAnsi="Times New Roman"/>
          <w:b/>
          <w:bCs/>
          <w:sz w:val="22"/>
          <w:szCs w:val="22"/>
        </w:rPr>
        <w:t xml:space="preserve">XVII.	</w:t>
      </w:r>
      <w:r>
        <w:rPr>
          <w:rFonts w:ascii="Times New Roman" w:cs="Times New Roman" w:eastAsia="Times New Roman" w:hAnsi="Times New Roman"/>
          <w:sz w:val="22"/>
          <w:szCs w:val="22"/>
        </w:rPr>
        <w:t xml:space="preserve">A mid-sized regional retail chain operating forty stores across three states experienced a sharp decline in profitability over a two-year period, despite reporting stable or growing revenue across the same period. Management initially attributed the decline to rising rental and utility costs but engaged an external consultant after the trend persisted despite cost-cutting measures in those areas. The consultant's analysis identified that the chain's inventory turnover ratio had deteriorated significantly, meaning that a growing proportion of capital was tied up in slow-moving stock that required markdowns to clear, eroding margins even as headline revenue figures appeared healthy.</w:t>
      </w:r>
    </w:p>
    <w:p>
      <w:pPr>
        <w:spacing w:after="140" w:line="276"/>
        <w:ind w:left="340"/>
      </w:pPr>
      <w:r>
        <w:rPr>
          <w:rFonts w:ascii="Times New Roman" w:cs="Times New Roman" w:eastAsia="Times New Roman" w:hAnsi="Times New Roman"/>
          <w:sz w:val="22"/>
          <w:szCs w:val="22"/>
        </w:rPr>
        <w:t xml:space="preserve">Further investigation revealed that the chain's purchasing decisions were made centrally based on regional sales averages, a method that masked considerable variation in customer preferences across individual store locations; stores in college towns, for instance, were receiving the same product mix as stores in retirement communities, leading to systematic overstocking of items poorly suited to local demand in both cases. The consultant recommended a shift to a decentralised, store-level purchasing model supported by store-specific sales data, alongside a revised markdown policy designed to clear slow-moving stock earlier, before discounts needed to be as steep to move inventory.</w:t>
      </w:r>
    </w:p>
    <w:p>
      <w:pPr>
        <w:spacing w:after="140" w:line="276"/>
        <w:ind w:left="340"/>
      </w:pPr>
      <w:r>
        <w:rPr>
          <w:rFonts w:ascii="Times New Roman" w:cs="Times New Roman" w:eastAsia="Times New Roman" w:hAnsi="Times New Roman"/>
          <w:sz w:val="22"/>
          <w:szCs w:val="22"/>
        </w:rPr>
        <w:t xml:space="preserve">Implementation of the recommendations was piloted across eight stores over one quarter before a chain-wide rollout, a sequencing the consultant specifically advised to allow early identification of operational issues, such as staff training needs and point-of-sale system limitations, before committing the full network to the new approach. The pilot stores showed improved inventory turnover and a modest recovery in gross margin within the pilot period, results that management cited as the basis for proceeding with the broader rollout.</w:t>
      </w:r>
    </w:p>
    <w:p>
      <w:pPr>
        <w:spacing w:after="140" w:line="276"/>
        <w:ind w:left="340"/>
      </w:pPr>
      <w:r>
        <w:rPr>
          <w:rFonts w:ascii="Times New Roman" w:cs="Times New Roman" w:eastAsia="Times New Roman" w:hAnsi="Times New Roman"/>
          <w:sz w:val="22"/>
          <w:szCs w:val="22"/>
        </w:rPr>
        <w:t xml:space="preserve">(An original consultancy case-study passage,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91.	</w:t>
      </w:r>
      <w:r>
        <w:rPr>
          <w:rFonts w:ascii="Times New Roman" w:cs="Times New Roman" w:eastAsia="Times New Roman" w:hAnsi="Times New Roman"/>
          <w:sz w:val="22"/>
          <w:szCs w:val="22"/>
        </w:rPr>
        <w:t xml:space="preserve">What did management initially believe was the primary cause of declining profitability?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Poor staff training</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Deteriorating inventory turnover</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decentralised purchasing model</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Rising rental and utility costs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92.	</w:t>
      </w:r>
      <w:r>
        <w:rPr>
          <w:rFonts w:ascii="Times New Roman" w:cs="Times New Roman" w:eastAsia="Times New Roman" w:hAnsi="Times New Roman"/>
          <w:sz w:val="22"/>
          <w:szCs w:val="22"/>
        </w:rPr>
        <w:t xml:space="preserve">What did the consultant's analysis reveal as the actual underlying issue affecting profitability?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 reduction in rental costs across all locations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An increase in the number of stores being operated</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deteriorating inventory turnover ratio causing capital to be tied up in slow-moving stock requiring markdowns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sharp and sudden drop in overall revenue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93.	</w:t>
      </w:r>
      <w:r>
        <w:rPr>
          <w:rFonts w:ascii="Times New Roman" w:cs="Times New Roman" w:eastAsia="Times New Roman" w:hAnsi="Times New Roman"/>
          <w:sz w:val="22"/>
          <w:szCs w:val="22"/>
        </w:rPr>
        <w:t xml:space="preserve">Why did centralised purchasing based on regional sales averages cause problems,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It was illegal under regional trade regulations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It masked variation in customer preferences across individual store locations, leading to overstocking of poorly suited items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It was too expensive to implement across all stores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It required too much staff training to execute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94.	</w:t>
      </w:r>
      <w:r>
        <w:rPr>
          <w:rFonts w:ascii="Times New Roman" w:cs="Times New Roman" w:eastAsia="Times New Roman" w:hAnsi="Times New Roman"/>
          <w:sz w:val="22"/>
          <w:szCs w:val="22"/>
        </w:rPr>
        <w:t xml:space="preserve">Why did the consultant recommend piloting the new approach in eight stores before a chain-wide rollout?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To reduce the overall cost of consulting fees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Because the chain only had eight stores in total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To comply with a regulatory requirement for phased implementation</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To allow early identification of operational issues such as staff training needs and system limitations before full commitment</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95.	</w:t>
      </w:r>
      <w:r>
        <w:rPr>
          <w:rFonts w:ascii="Times New Roman" w:cs="Times New Roman" w:eastAsia="Times New Roman" w:hAnsi="Times New Roman"/>
          <w:sz w:val="22"/>
          <w:szCs w:val="22"/>
        </w:rPr>
        <w:t xml:space="preserve">Which of the following, if true, would most weaken the conclusion that the new purchasing model caused the improved pilot results?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The pilot stores also benefited from an unrelated, temporary regional promotional campaign during the same period</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The chain has forty stores across three states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The consultant has prior experience in retail consulting</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The pilot stores were selected randomly from across the chain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96.	</w:t>
      </w:r>
      <w:r>
        <w:rPr>
          <w:rFonts w:ascii="Times New Roman" w:cs="Times New Roman" w:eastAsia="Times New Roman" w:hAnsi="Times New Roman"/>
          <w:sz w:val="22"/>
          <w:szCs w:val="22"/>
        </w:rPr>
        <w:t xml:space="preserve">Which of the following best describes the consultant's overall diagnostic approach in this case?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Recommending an immediate chain-wide rollout without any pilot testing</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Accepting management's initial explanation without further investigation</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Investigating beyond the surface-level cost factors to identify a structural cause of margin erosion</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Focusing solely on reducing rental and utility expenses</w:t>
      </w:r>
    </w:p>
    <w:p>
      <w:pPr>
        <w:tabs>
          <w:tab w:val="left" w:pos="340"/>
        </w:tabs>
        <w:spacing w:after="140" w:before="200" w:line="276"/>
        <w:ind w:left="340"/>
      </w:pPr>
      <w:r>
        <w:rPr>
          <w:rFonts w:ascii="Times New Roman" w:cs="Times New Roman" w:eastAsia="Times New Roman" w:hAnsi="Times New Roman"/>
          <w:b/>
          <w:bCs/>
          <w:sz w:val="22"/>
          <w:szCs w:val="22"/>
        </w:rPr>
        <w:t xml:space="preserve">XVIII.	</w:t>
      </w:r>
      <w:r>
        <w:rPr>
          <w:rFonts w:ascii="Times New Roman" w:cs="Times New Roman" w:eastAsia="Times New Roman" w:hAnsi="Times New Roman"/>
          <w:sz w:val="22"/>
          <w:szCs w:val="22"/>
        </w:rPr>
        <w:t xml:space="preserve">Eight colleagues, Anil, Bina, Chetan, Divya, Esha, Farah, Gopal and Hema, are seated around a square table for a meeting, with two persons seated on each side of the table, all facing the centre. Bina sits second to the right of Anil. Chetan sits immediately opposite Divya. Esha sits third to the left of Bina. Farah sits immediately to the right of Chetan. Gopal sits immediately to the left of Hema. Divya does not sit on the same side as Anil.</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97.	</w:t>
      </w:r>
      <w:r>
        <w:rPr>
          <w:rFonts w:ascii="Times New Roman" w:cs="Times New Roman" w:eastAsia="Times New Roman" w:hAnsi="Times New Roman"/>
          <w:sz w:val="22"/>
          <w:szCs w:val="22"/>
        </w:rPr>
        <w:t xml:space="preserve">Who sits immediately to the left of Anil?</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Esha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Hema</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Gopal</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Chetan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98.	</w:t>
      </w:r>
      <w:r>
        <w:rPr>
          <w:rFonts w:ascii="Times New Roman" w:cs="Times New Roman" w:eastAsia="Times New Roman" w:hAnsi="Times New Roman"/>
          <w:sz w:val="22"/>
          <w:szCs w:val="22"/>
        </w:rPr>
        <w:t xml:space="preserve">Which of the following pairs sits on the same side of the table?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Bina and Farah</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Gopal and Hema</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Divya and Esha</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Anil and Chetan</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99.	</w:t>
      </w:r>
      <w:r>
        <w:rPr>
          <w:rFonts w:ascii="Times New Roman" w:cs="Times New Roman" w:eastAsia="Times New Roman" w:hAnsi="Times New Roman"/>
          <w:sz w:val="22"/>
          <w:szCs w:val="22"/>
        </w:rPr>
        <w:t xml:space="preserve">Who sits immediately opposite Esha?</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Bina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Gopal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Farah</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Hema</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100.	</w:t>
      </w:r>
      <w:r>
        <w:rPr>
          <w:rFonts w:ascii="Times New Roman" w:cs="Times New Roman" w:eastAsia="Times New Roman" w:hAnsi="Times New Roman"/>
          <w:sz w:val="22"/>
          <w:szCs w:val="22"/>
        </w:rPr>
        <w:t xml:space="preserve">Who sits second to the right of Divya?</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Chetan</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Anil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Gopal</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Hema</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101.	</w:t>
      </w:r>
      <w:r>
        <w:rPr>
          <w:rFonts w:ascii="Times New Roman" w:cs="Times New Roman" w:eastAsia="Times New Roman" w:hAnsi="Times New Roman"/>
          <w:sz w:val="22"/>
          <w:szCs w:val="22"/>
        </w:rPr>
        <w:t xml:space="preserve">If Farah and Gopal were to swap seats, who would then sit immediately to the right of Chetan?</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Esha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Gopal</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Hema</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Bina</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102.	</w:t>
      </w:r>
      <w:r>
        <w:rPr>
          <w:rFonts w:ascii="Times New Roman" w:cs="Times New Roman" w:eastAsia="Times New Roman" w:hAnsi="Times New Roman"/>
          <w:sz w:val="22"/>
          <w:szCs w:val="22"/>
        </w:rPr>
        <w:t xml:space="preserve">Which of the following statements is true based on the seating arrangement?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Gopal sits immediately opposite Bina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Esha and Farah sit on the same side of the table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Gopal and Hema sit on the same side of the table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Chetan sits second to the left of Hema</w:t>
      </w:r>
    </w:p>
    <w:p>
      <w:pPr>
        <w:tabs>
          <w:tab w:val="left" w:pos="340"/>
        </w:tabs>
        <w:spacing w:after="140" w:before="200" w:line="276"/>
        <w:ind w:left="340"/>
      </w:pPr>
      <w:r>
        <w:rPr>
          <w:rFonts w:ascii="Times New Roman" w:cs="Times New Roman" w:eastAsia="Times New Roman" w:hAnsi="Times New Roman"/>
          <w:b/>
          <w:bCs/>
          <w:sz w:val="22"/>
          <w:szCs w:val="22"/>
        </w:rPr>
        <w:t xml:space="preserve">XIX.	</w:t>
      </w:r>
      <w:r>
        <w:rPr>
          <w:rFonts w:ascii="Times New Roman" w:cs="Times New Roman" w:eastAsia="Times New Roman" w:hAnsi="Times New Roman"/>
          <w:sz w:val="22"/>
          <w:szCs w:val="22"/>
        </w:rPr>
        <w:t xml:space="preserve">A growing body of workplace research has begun to challenge the long-held assumption that longer working hours translate into proportionally greater output, particularly in roles involving complex cognitive work rather than repetitive manual tasks. Several companies that have piloted reduced working-hour schedules, most commonly a four-day week with full pay maintained, report that employee productivity, measured by output per hour rather than total hours logged, increased sufficiently to offset the reduction in total working time, with overall output remaining stable or, in some pilots, improving modestly.</w:t>
      </w:r>
    </w:p>
    <w:p>
      <w:pPr>
        <w:spacing w:after="140" w:line="276"/>
        <w:ind w:left="340"/>
      </w:pPr>
      <w:r>
        <w:rPr>
          <w:rFonts w:ascii="Times New Roman" w:cs="Times New Roman" w:eastAsia="Times New Roman" w:hAnsi="Times New Roman"/>
          <w:sz w:val="22"/>
          <w:szCs w:val="22"/>
        </w:rPr>
        <w:t xml:space="preserve">Proponents of reduced-hour schedules argue that the gains arise from several mechanisms: reduced time spent on unproductive activities that tend to expand to fill an available working day, lower rates of burnout and associated sick leave, and improved focus during working hours when employees know their time is more constrained. Sceptics counter that these results may not generalise easily across industries, noting that pilots have disproportionately involved knowledge-based and administrative roles where output is comparatively easy to compress, while client-facing roles requiring fixed availability, and manufacturing or healthcare roles tied to continuous operational schedules, may not see the same gains and could in fact suffer from reduced coverage.</w:t>
      </w:r>
    </w:p>
    <w:p>
      <w:pPr>
        <w:spacing w:after="140" w:line="276"/>
        <w:ind w:left="340"/>
      </w:pPr>
      <w:r>
        <w:rPr>
          <w:rFonts w:ascii="Times New Roman" w:cs="Times New Roman" w:eastAsia="Times New Roman" w:hAnsi="Times New Roman"/>
          <w:sz w:val="22"/>
          <w:szCs w:val="22"/>
        </w:rPr>
        <w:t xml:space="preserve">A further point of contention concerns the durability of the productivity gains observed in early pilots: critics note that initial enthusiasm and a sense of being part of a novel experiment may itself temporarily boost effort and engagement, an effect that could fade once the new schedule becomes routine, suggesting that longer-term studies, tracking the same organisations over several years rather than a single pilot quarter, are needed before drawing firm conclusions about the sustainability of the reported benefits.</w:t>
      </w:r>
    </w:p>
    <w:p>
      <w:pPr>
        <w:spacing w:after="140" w:line="276"/>
        <w:ind w:left="340"/>
      </w:pPr>
      <w:r>
        <w:rPr>
          <w:rFonts w:ascii="Times New Roman" w:cs="Times New Roman" w:eastAsia="Times New Roman" w:hAnsi="Times New Roman"/>
          <w:sz w:val="22"/>
          <w:szCs w:val="22"/>
        </w:rPr>
        <w:t xml:space="preserve">(An original passage on workplace productivity research,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103.	</w:t>
      </w:r>
      <w:r>
        <w:rPr>
          <w:rFonts w:ascii="Times New Roman" w:cs="Times New Roman" w:eastAsia="Times New Roman" w:hAnsi="Times New Roman"/>
          <w:sz w:val="22"/>
          <w:szCs w:val="22"/>
        </w:rPr>
        <w:t xml:space="preserve">According to the passage, what assumption do recent workplace studies challenge?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That longer working hours translate into proportionally greater output, particularly for complex cognitive work</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That employees prefer working from home over the office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That employee productivity cannot be measured accurately</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That a four-day week is illegal in most countries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104.	</w:t>
      </w:r>
      <w:r>
        <w:rPr>
          <w:rFonts w:ascii="Times New Roman" w:cs="Times New Roman" w:eastAsia="Times New Roman" w:hAnsi="Times New Roman"/>
          <w:sz w:val="22"/>
          <w:szCs w:val="22"/>
        </w:rPr>
        <w:t xml:space="preserve">Which of the following is NOT cited in the passage as a mechanism behind productivity gains in reduced-hour schedules?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Improved focus during working hours due to time constraints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Reduced time spent on unproductive activities that expand to fill available time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mandatory increase in employee salaries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Lower rates of burnout and associated sick leave</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105.	</w:t>
      </w:r>
      <w:r>
        <w:rPr>
          <w:rFonts w:ascii="Times New Roman" w:cs="Times New Roman" w:eastAsia="Times New Roman" w:hAnsi="Times New Roman"/>
          <w:sz w:val="22"/>
          <w:szCs w:val="22"/>
        </w:rPr>
        <w:t xml:space="preserve">What concern do sceptics raise about the generalisability of these pilot results, according to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That pilots have disproportionately involved knowledge-based roles, while client-facing and continuous-operation roles may not see similar gains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That no companies have ever piloted a four-day week</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That reduced-hour schedules are always illegal in manufacturing</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That the pilots have only been conducted in one single country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106.	</w:t>
      </w:r>
      <w:r>
        <w:rPr>
          <w:rFonts w:ascii="Times New Roman" w:cs="Times New Roman" w:eastAsia="Times New Roman" w:hAnsi="Times New Roman"/>
          <w:sz w:val="22"/>
          <w:szCs w:val="22"/>
        </w:rPr>
        <w:t xml:space="preserve">What is the “durability” concern raised in the final paragraph of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That companies cannot afford to pay full salaries under reduced hours</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That the productivity gains might be a temporary novelty effect that fades once the new schedule becomes routine</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That employees will eventually demand even shorter working weeks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That the pilots have lasted for several years already with no further need for study</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107.	</w:t>
      </w:r>
      <w:r>
        <w:rPr>
          <w:rFonts w:ascii="Times New Roman" w:cs="Times New Roman" w:eastAsia="Times New Roman" w:hAnsi="Times New Roman"/>
          <w:sz w:val="22"/>
          <w:szCs w:val="22"/>
        </w:rPr>
        <w:t xml:space="preserve">Which of the following, if true, would most directly address the “durability” concern raised by critics in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Data showing that employee salaries did not change during the pilot</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study tracking the same organisations over several years showing that productivity gains persisted well beyond the initial pilot period</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survey showing employees prefer the new schedule over the old one</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report showing that several other countries have also piloted similar schedules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108.	</w:t>
      </w:r>
      <w:r>
        <w:rPr>
          <w:rFonts w:ascii="Times New Roman" w:cs="Times New Roman" w:eastAsia="Times New Roman" w:hAnsi="Times New Roman"/>
          <w:sz w:val="22"/>
          <w:szCs w:val="22"/>
        </w:rPr>
        <w:t xml:space="preserve">Which of the following roles, based on the reasoning in the passage, would sceptics most likely argue is least suited to a reduced-hour schedule without additional adjustment?</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An administrative assistant managing email correspondence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 software developer working independently on coding tasks</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A hospital nurse responsible for continuous patient monitoring across shifts</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A freelance graphic designer working on a project basis</w:t>
      </w:r>
    </w:p>
    <w:p>
      <w:pPr>
        <w:pageBreakBefore/>
        <w:pBdr>
          <w:bottom w:val="single" w:color="000000" w:sz="6" w:space="4"/>
        </w:pBdr>
        <w:spacing w:after="240" w:before="0"/>
        <w:jc w:val="center"/>
      </w:pPr>
      <w:r>
        <w:rPr>
          <w:rFonts w:ascii="Times New Roman" w:cs="Times New Roman" w:eastAsia="Times New Roman" w:hAnsi="Times New Roman"/>
          <w:b/>
          <w:bCs/>
          <w:sz w:val="26"/>
          <w:szCs w:val="26"/>
        </w:rPr>
        <w:t xml:space="preserve">Quantitative Techniques</w:t>
      </w:r>
    </w:p>
    <w:p>
      <w:pPr>
        <w:tabs>
          <w:tab w:val="left" w:pos="280"/>
        </w:tabs>
        <w:spacing w:after="140" w:before="200" w:line="276"/>
        <w:ind w:left="280"/>
      </w:pPr>
      <w:r>
        <w:rPr>
          <w:rFonts w:ascii="Times New Roman" w:cs="Times New Roman" w:eastAsia="Times New Roman" w:hAnsi="Times New Roman"/>
          <w:b/>
          <w:bCs/>
          <w:sz w:val="22"/>
          <w:szCs w:val="22"/>
        </w:rPr>
        <w:t xml:space="preserve">XX.	</w:t>
      </w:r>
      <w:r>
        <w:rPr>
          <w:rFonts w:ascii="Times New Roman" w:cs="Times New Roman" w:eastAsia="Times New Roman" w:hAnsi="Times New Roman"/>
          <w:sz w:val="22"/>
          <w:szCs w:val="22"/>
        </w:rPr>
        <w:t xml:space="preserve">A labour ministry survey of daily wages paid to construction workers across four states found that, nationally, men account for 76 percent of total wage income earned in the sector, while women account for the remaining 24 percent, despite women constituting a substantial share of the construction workforce in several regions. The survey recorded average daily wages separately for men and women across the four surveyed states, summarised below.</w:t>
      </w:r>
    </w:p>
    <w:p>
      <w:pPr>
        <w:spacing w:after="140" w:line="276"/>
        <w:ind w:left="280"/>
      </w:pPr>
      <w:r>
        <w:rPr>
          <w:rFonts w:ascii="Times New Roman" w:cs="Times New Roman" w:eastAsia="Times New Roman" w:hAnsi="Times New Roman"/>
          <w:sz w:val="22"/>
          <w:szCs w:val="22"/>
        </w:rPr>
        <w:t xml:space="preserve">In Punjab, male construction workers were paid Rs. 750 per day on average, while female workers were paid Rs. 500 per day. In Maharashtra, the corresponding figures were Rs. 600 for men and Rs. 525 for women. In Odisha, men received Rs. 420 per day against Rs. 396 for women, while in Assam, men received Rs. 400 per day against Rs. 376 for women. The survey noted that while Punjab recorded the highest absolute wage for both men and women among the surveyed states, it also recorded the widest gender wage gap as a percentage of the female wage, whereas Odisha and Assam, despite paying comparatively lower wages overall, recorded the narrowest percentage gaps between male and female earnings.</w:t>
      </w:r>
    </w:p>
    <w:p>
      <w:pPr>
        <w:spacing w:after="140" w:line="276"/>
        <w:ind w:left="280"/>
      </w:pPr>
      <w:r>
        <w:rPr>
          <w:rFonts w:ascii="Times New Roman" w:cs="Times New Roman" w:eastAsia="Times New Roman" w:hAnsi="Times New Roman"/>
          <w:sz w:val="22"/>
          <w:szCs w:val="22"/>
        </w:rPr>
        <w:t xml:space="preserve">The survey further noted that across all sectors of casual labour nationally, male workers on average earned 35 percent more per day than female workers performing comparable work, a gap that researchers attributed to a combination of occupational segregation within the sector, where women are disproportionately assigned to lower-paid tasks, and direct wage discrimination for identical work.</w:t>
      </w:r>
    </w:p>
    <w:p>
      <w:pPr>
        <w:spacing w:after="140" w:line="276"/>
        <w:ind w:left="280"/>
      </w:pPr>
      <w:r>
        <w:rPr>
          <w:rFonts w:ascii="Times New Roman" w:cs="Times New Roman" w:eastAsia="Times New Roman" w:hAnsi="Times New Roman"/>
          <w:sz w:val="22"/>
          <w:szCs w:val="22"/>
        </w:rPr>
        <w:t xml:space="preserve">(An original data-based passage on gender wage gaps, composed for this paper)</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109.	</w:t>
      </w:r>
      <w:r>
        <w:rPr>
          <w:rFonts w:ascii="Times New Roman" w:cs="Times New Roman" w:eastAsia="Times New Roman" w:hAnsi="Times New Roman"/>
          <w:sz w:val="22"/>
          <w:szCs w:val="22"/>
        </w:rPr>
        <w:t xml:space="preserve">What is the gender wage gap, as a percentage of the female wage, in Maharashtra?</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6%</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Approximately 14.3%</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25%</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50%</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110.	</w:t>
      </w:r>
      <w:r>
        <w:rPr>
          <w:rFonts w:ascii="Times New Roman" w:cs="Times New Roman" w:eastAsia="Times New Roman" w:hAnsi="Times New Roman"/>
          <w:sz w:val="22"/>
          <w:szCs w:val="22"/>
        </w:rPr>
        <w:t xml:space="preserve">Which of the four surveyed states recorded the highest gender wage gap as a percentage of the female wage?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Odisha</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Assam</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Maharashtra</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Punjab</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111.	</w:t>
      </w:r>
      <w:r>
        <w:rPr>
          <w:rFonts w:ascii="Times New Roman" w:cs="Times New Roman" w:eastAsia="Times New Roman" w:hAnsi="Times New Roman"/>
          <w:sz w:val="22"/>
          <w:szCs w:val="22"/>
        </w:rPr>
        <w:t xml:space="preserve">Between Odisha and Assam, which state paid the lowest average daily wage to female workers?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Cannot be determined from the passage</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Assam</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Odisha</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Both paid identical wages</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112.	</w:t>
      </w:r>
      <w:r>
        <w:rPr>
          <w:rFonts w:ascii="Times New Roman" w:cs="Times New Roman" w:eastAsia="Times New Roman" w:hAnsi="Times New Roman"/>
          <w:sz w:val="22"/>
          <w:szCs w:val="22"/>
        </w:rPr>
        <w:t xml:space="preserve">If male construction workers in Karnataka are paid Rs. 540 per day, and the percentage wage gap in Karnataka is the same as that recorded in Maharashtra, what is the approximate daily wage paid to female workers in Karnataka?</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Rs. 405</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Rs. 500</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Rs. 472</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Rs. 460</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113.	</w:t>
      </w:r>
      <w:r>
        <w:rPr>
          <w:rFonts w:ascii="Times New Roman" w:cs="Times New Roman" w:eastAsia="Times New Roman" w:hAnsi="Times New Roman"/>
          <w:sz w:val="22"/>
          <w:szCs w:val="22"/>
        </w:rPr>
        <w:t xml:space="preserve">If a contractor in Punjab employs 100 male and 150 female construction workers for a single day at the wages stated in the passage, what is the total wage bill for that day?</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Rs. 1,50,000</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Rs. 1,25,000</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Rs. 1,75,000</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Rs. 2,00,000</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114.	</w:t>
      </w:r>
      <w:r>
        <w:rPr>
          <w:rFonts w:ascii="Times New Roman" w:cs="Times New Roman" w:eastAsia="Times New Roman" w:hAnsi="Times New Roman"/>
          <w:sz w:val="22"/>
          <w:szCs w:val="22"/>
        </w:rPr>
        <w:t xml:space="preserve">Nationally, if female casual workers in a particular trade earn Rs. 480 per day, what would male casual workers in the same trade earn on average, given that male workers earn 35% more per day than female workers, as per the passage?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Rs. 624</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Rs. 648</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Rs. 668</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Rs. 600</w:t>
      </w:r>
    </w:p>
    <w:p>
      <w:pPr>
        <w:tabs>
          <w:tab w:val="left" w:pos="340"/>
        </w:tabs>
        <w:spacing w:after="140" w:before="200" w:line="276"/>
        <w:ind w:left="340"/>
      </w:pPr>
      <w:r>
        <w:rPr>
          <w:rFonts w:ascii="Times New Roman" w:cs="Times New Roman" w:eastAsia="Times New Roman" w:hAnsi="Times New Roman"/>
          <w:b/>
          <w:bCs/>
          <w:sz w:val="22"/>
          <w:szCs w:val="22"/>
        </w:rPr>
        <w:t xml:space="preserve">XXI.	</w:t>
      </w:r>
      <w:r>
        <w:rPr>
          <w:rFonts w:ascii="Times New Roman" w:cs="Times New Roman" w:eastAsia="Times New Roman" w:hAnsi="Times New Roman"/>
          <w:sz w:val="22"/>
          <w:szCs w:val="22"/>
        </w:rPr>
        <w:t xml:space="preserve">Mrs. Kapoor is employed at a private firm and maintains a detailed monthly household budget for herself and her two children. Her basic monthly salary is Rs. 12,500, and she additionally receives a house rent allowance equal to 12 percent of her basic salary. Out of her total monthly income, she allocates 22 percent towards food expenses, 20 percent towards house rent, 8 percent towards transport, 24 percent towards her children's education and tuition fees, 11 percent towards medical and health insurance expenses, and saves the remaining 15 percent of her total monthly income in a recurring deposit account.</w:t>
      </w:r>
    </w:p>
    <w:p>
      <w:pPr>
        <w:spacing w:after="140" w:line="276"/>
        <w:ind w:left="340"/>
      </w:pPr>
      <w:r>
        <w:rPr>
          <w:rFonts w:ascii="Times New Roman" w:cs="Times New Roman" w:eastAsia="Times New Roman" w:hAnsi="Times New Roman"/>
          <w:sz w:val="22"/>
          <w:szCs w:val="22"/>
        </w:rPr>
        <w:t xml:space="preserve">Based on the information given above, answer the questions that follow.</w:t>
      </w:r>
    </w:p>
    <w:p>
      <w:pPr>
        <w:spacing w:after="100"/>
      </w:pPr>
    </w:p>
    <w:p>
      <w:pPr>
        <w:tabs>
          <w:tab w:val="left" w:pos="360"/>
        </w:tabs>
        <w:spacing w:after="60" w:before="120" w:line="264"/>
        <w:ind w:left="360" w:hanging="360"/>
      </w:pPr>
      <w:r>
        <w:rPr>
          <w:rFonts w:ascii="Times New Roman" w:cs="Times New Roman" w:eastAsia="Times New Roman" w:hAnsi="Times New Roman"/>
          <w:b/>
          <w:bCs/>
          <w:sz w:val="22"/>
          <w:szCs w:val="22"/>
        </w:rPr>
        <w:t xml:space="preserve">115.	</w:t>
      </w:r>
      <w:r>
        <w:rPr>
          <w:rFonts w:ascii="Times New Roman" w:cs="Times New Roman" w:eastAsia="Times New Roman" w:hAnsi="Times New Roman"/>
          <w:sz w:val="22"/>
          <w:szCs w:val="22"/>
        </w:rPr>
        <w:t xml:space="preserve">What is Mrs. Kapoor's total monthly income, including her house rent allowance?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Rs. 14,000</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Rs. 14,500</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Rs. 13,500</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Rs. 13,000</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116.	</w:t>
      </w:r>
      <w:r>
        <w:rPr>
          <w:rFonts w:ascii="Times New Roman" w:cs="Times New Roman" w:eastAsia="Times New Roman" w:hAnsi="Times New Roman"/>
          <w:sz w:val="22"/>
          <w:szCs w:val="22"/>
        </w:rPr>
        <w:t xml:space="preserve">How much does Mrs. Kapoor pay towards house rent each month?</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Rs. 2,800</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Rs. 3,080</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Rs. 2,500</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Rs. 3,360</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117.	</w:t>
      </w:r>
      <w:r>
        <w:rPr>
          <w:rFonts w:ascii="Times New Roman" w:cs="Times New Roman" w:eastAsia="Times New Roman" w:hAnsi="Times New Roman"/>
          <w:sz w:val="22"/>
          <w:szCs w:val="22"/>
        </w:rPr>
        <w:t xml:space="preserve">How much money remains with Mrs. Kapoor each month after paying house rent and setting aside her savings?</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Rs. 9,520</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Rs. 8,400</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Rs. 8,820</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Rs. 9,100</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118.	</w:t>
      </w:r>
      <w:r>
        <w:rPr>
          <w:rFonts w:ascii="Times New Roman" w:cs="Times New Roman" w:eastAsia="Times New Roman" w:hAnsi="Times New Roman"/>
          <w:sz w:val="22"/>
          <w:szCs w:val="22"/>
        </w:rPr>
        <w:t xml:space="preserve">Due to a fee hike, Mrs. Kapoor's education expenditure increases by 10%, and she decides to fund this entire increase by reducing her monthly savings accordingly, keeping all other expense categories unchanged. What will her new savings be as a percentage of her total monthly income?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11.4%</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13.5%</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10.8%</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12.6%</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119.	</w:t>
      </w:r>
      <w:r>
        <w:rPr>
          <w:rFonts w:ascii="Times New Roman" w:cs="Times New Roman" w:eastAsia="Times New Roman" w:hAnsi="Times New Roman"/>
          <w:sz w:val="22"/>
          <w:szCs w:val="22"/>
        </w:rPr>
        <w:t xml:space="preserve">What is the total amount Mrs. Kapoor spends on food and transport combined each month?</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Rs. 4,480</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Rs. 4,200</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Rs. 4,000</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Rs. 3,800</w:t>
      </w:r>
    </w:p>
    <w:p>
      <w:pPr>
        <w:tabs>
          <w:tab w:val="left" w:pos="360"/>
        </w:tabs>
        <w:spacing w:after="60" w:before="120" w:line="264"/>
        <w:ind w:left="360" w:hanging="360"/>
      </w:pPr>
      <w:r>
        <w:rPr>
          <w:rFonts w:ascii="Times New Roman" w:cs="Times New Roman" w:eastAsia="Times New Roman" w:hAnsi="Times New Roman"/>
          <w:b/>
          <w:bCs/>
          <w:sz w:val="22"/>
          <w:szCs w:val="22"/>
        </w:rPr>
        <w:t xml:space="preserve">120.	</w:t>
      </w:r>
      <w:r>
        <w:rPr>
          <w:rFonts w:ascii="Times New Roman" w:cs="Times New Roman" w:eastAsia="Times New Roman" w:hAnsi="Times New Roman"/>
          <w:sz w:val="22"/>
          <w:szCs w:val="22"/>
        </w:rPr>
        <w:t xml:space="preserve">What is the ratio of Mrs. Kapoor's monthly expenditure on her children's education to her monthly expenditure on medical and health insurance?</w:t>
      </w:r>
    </w:p>
    <w:p>
      <w:pPr>
        <w:tabs>
          <w:tab w:val="left" w:pos="720"/>
        </w:tabs>
        <w:spacing w:after="40"/>
        <w:ind w:left="720" w:hanging="36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26 : 13</w:t>
      </w:r>
    </w:p>
    <w:p>
      <w:pPr>
        <w:tabs>
          <w:tab w:val="left" w:pos="720"/>
        </w:tabs>
        <w:spacing w:after="40"/>
        <w:ind w:left="720" w:hanging="36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24 : 11</w:t>
      </w:r>
    </w:p>
    <w:p>
      <w:pPr>
        <w:tabs>
          <w:tab w:val="left" w:pos="720"/>
        </w:tabs>
        <w:spacing w:after="40"/>
        <w:ind w:left="720" w:hanging="36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20 : 9</w:t>
      </w:r>
    </w:p>
    <w:p>
      <w:pPr>
        <w:tabs>
          <w:tab w:val="left" w:pos="720"/>
        </w:tabs>
        <w:spacing w:after="40"/>
        <w:ind w:left="720" w:hanging="36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22 : 11</w:t>
      </w:r>
    </w:p>
    <w:p>
      <w:pPr>
        <w:pageBreakBefore/>
      </w:pPr>
      <w:r>
        <w:br w:type="page"/>
      </w:r>
    </w:p>
    <w:p>
      <w:pPr>
        <w:spacing w:after="60" w:before="0"/>
        <w:jc w:val="center"/>
      </w:pPr>
      <w:r>
        <w:rPr>
          <w:rFonts w:ascii="Times New Roman" w:cs="Times New Roman" w:eastAsia="Times New Roman" w:hAnsi="Times New Roman"/>
          <w:b/>
          <w:bCs/>
          <w:sz w:val="28"/>
          <w:szCs w:val="28"/>
        </w:rPr>
        <w:t xml:space="preserve">MOCK CLAT (UG) – SET M1</w:t>
      </w:r>
    </w:p>
    <w:p>
      <w:pPr>
        <w:spacing w:after="280"/>
        <w:jc w:val="center"/>
      </w:pPr>
      <w:r>
        <w:rPr>
          <w:rFonts w:ascii="Times New Roman" w:cs="Times New Roman" w:eastAsia="Times New Roman" w:hAnsi="Times New Roman"/>
          <w:b/>
          <w:bCs/>
          <w:sz w:val="26"/>
          <w:szCs w:val="26"/>
        </w:rPr>
        <w:t xml:space="preserve">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Q. No.</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Ans.</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Q. No.</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Ans.</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Q. No.</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Ans.</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Q. No.</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Ans.</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Q. No.</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Ans.</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Q. No.</w:t>
            </w:r>
          </w:p>
        </w:tc>
        <w:tc>
          <w:tcPr>
            <w:tcW w:type="dxa" w:w="780"/>
            <w:tcBorders>
              <w:top w:val="single" w:color="000000" w:sz="2"/>
              <w:left w:val="single" w:color="000000" w:sz="2"/>
              <w:bottom w:val="single" w:color="000000" w:sz="2"/>
              <w:right w:val="single" w:color="000000" w:sz="2"/>
            </w:tcBorders>
            <w:shd w:fill="D9D9D9" w:val="clear"/>
            <w:tcMar>
              <w:top w:type="dxa" w:w="60"/>
              <w:left w:type="dxa" w:w="80"/>
              <w:bottom w:type="dxa" w:w="60"/>
              <w:right w:type="dxa" w:w="80"/>
            </w:tcMar>
          </w:tcPr>
          <w:p>
            <w:pPr>
              <w:jc w:val="center"/>
            </w:pPr>
            <w:r>
              <w:rPr>
                <w:rFonts w:ascii="Times New Roman" w:cs="Times New Roman" w:eastAsia="Times New Roman" w:hAnsi="Times New Roman"/>
                <w:b/>
                <w:bCs/>
                <w:sz w:val="19"/>
                <w:szCs w:val="19"/>
              </w:rPr>
              <w:t xml:space="preserve">Ans.</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111.</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112.</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113.</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114.</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115.</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116.</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117.</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118.</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39.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59.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(A)</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79.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99.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119.</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r>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20.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40.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60.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80.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(D)</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100.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(C)</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120.</w:t>
            </w:r>
          </w:p>
        </w:tc>
        <w:tc>
          <w:tcPr>
            <w:tcW w:type="dxa" w:w="780"/>
            <w:tcBorders>
              <w:top w:val="single" w:color="000000" w:sz="2"/>
              <w:left w:val="single" w:color="000000" w:sz="2"/>
              <w:bottom w:val="single" w:color="000000" w:sz="2"/>
              <w:right w:val="single" w:color="000000" w:sz="2"/>
            </w:tcBorders>
            <w:tcMar>
              <w:top w:type="dxa" w:w="60"/>
              <w:left w:type="dxa" w:w="80"/>
              <w:bottom w:type="dxa" w:w="60"/>
              <w:right w:type="dxa" w:w="80"/>
            </w:tcMar>
          </w:tcPr>
          <w:p>
            <w:pPr>
              <w:jc w:val="center"/>
            </w:pPr>
            <w:r>
              <w:rPr>
                <w:rFonts w:ascii="Times New Roman" w:cs="Times New Roman" w:eastAsia="Times New Roman" w:hAnsi="Times New Roman"/>
                <w:b w:val="false"/>
                <w:bCs w:val="false"/>
                <w:sz w:val="19"/>
                <w:szCs w:val="19"/>
              </w:rPr>
              <w:t xml:space="preserve">(B)</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MOCK CLAT – UG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2026-06-30T12:20:56.944Z</dcterms:created>
  <dcterms:modified xsi:type="dcterms:W3CDTF">2026-06-30T12:20:56.944Z</dcterms:modified>
</cp:coreProperties>
</file>

<file path=docProps/custom.xml><?xml version="1.0" encoding="utf-8"?>
<Properties xmlns="http://schemas.openxmlformats.org/officeDocument/2006/custom-properties" xmlns:vt="http://schemas.openxmlformats.org/officeDocument/2006/docPropsVTypes"/>
</file>