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Source Comparison &amp; Similarity Analysis</w:t>
      </w:r>
    </w:p>
    <w:p>
      <w:pPr>
        <w:spacing w:after="40"/>
        <w:jc w:val="center"/>
      </w:pPr>
      <w:r>
        <w:rPr>
          <w:rFonts w:ascii="Times New Roman" w:cs="Times New Roman" w:eastAsia="Times New Roman" w:hAnsi="Times New Roman"/>
          <w:i/>
          <w:iCs/>
          <w:sz w:val="24"/>
          <w:szCs w:val="24"/>
        </w:rPr>
        <w:t xml:space="preserve">Mock CLAT (UG) Question Paper vs. CLAT (UG) 2025</w:t>
      </w:r>
    </w:p>
    <w:p>
      <w:pPr>
        <w:spacing w:after="360"/>
        <w:jc w:val="center"/>
      </w:pPr>
      <w:r>
        <w:rPr>
          <w:rFonts w:ascii="Times New Roman" w:cs="Times New Roman" w:eastAsia="Times New Roman" w:hAnsi="Times New Roman"/>
          <w:color w:val="555555"/>
          <w:sz w:val="20"/>
          <w:szCs w:val="20"/>
        </w:rPr>
        <w:t xml:space="preserve">Prepared in response to a request to verify passage originality and disclose sourcing methodology</w:t>
      </w:r>
    </w:p>
    <w:p>
      <w:pPr>
        <w:pStyle w:val="Heading1"/>
        <w:spacing w:after="160" w:before="320"/>
      </w:pPr>
      <w:r>
        <w:rPr>
          <w:rFonts w:ascii="Times New Roman" w:cs="Times New Roman" w:eastAsia="Times New Roman" w:hAnsi="Times New Roman"/>
          <w:b/>
          <w:bCs/>
          <w:sz w:val="28"/>
          <w:szCs w:val="28"/>
        </w:rPr>
        <w:t xml:space="preserve">1. Important Disclosure</w:t>
      </w:r>
    </w:p>
    <w:p>
      <w:pPr>
        <w:pBdr>
          <w:top w:val="single" w:color="B22222" w:sz="8" w:space="8"/>
          <w:left w:val="single" w:color="B22222" w:sz="8" w:space="8"/>
          <w:bottom w:val="single" w:color="B22222" w:sz="8" w:space="8"/>
          <w:right w:val="single" w:color="B22222" w:sz="8" w:space="8"/>
        </w:pBdr>
        <w:shd w:fill="FBEAEA" w:val="clear"/>
        <w:spacing w:after="200" w:before="120"/>
      </w:pPr>
      <w:r>
        <w:rPr>
          <w:rFonts w:ascii="Times New Roman" w:cs="Times New Roman" w:eastAsia="Times New Roman" w:hAnsi="Times New Roman"/>
          <w:i/>
          <w:iCs/>
          <w:sz w:val="22"/>
          <w:szCs w:val="22"/>
        </w:rPr>
        <w:t xml:space="preserve">This analysis was prepared after the mock paper was delivered, in response to a direct question about sourcing. It discloses, transparently, that the mock paper's passages were composed from general background knowledge of each topic and were not adapted from any specific live article, government release, or report retrieved from the internet. No web search was performed while drafting the original passages. The citation-style footers on each mock passage (e.g., “Extracted, with edits, from a wire-service report…”) are stylistic devices matching CLAT's footer convention and do not point to real, citable publications. Accordingly, no source link can be provided for any mock passage.</w:t>
      </w:r>
    </w:p>
    <w:p>
      <w:pPr>
        <w:spacing w:after="160" w:line="276"/>
      </w:pPr>
      <w:r>
        <w:rPr>
          <w:rFonts w:ascii="Times New Roman" w:cs="Times New Roman" w:eastAsia="Times New Roman" w:hAnsi="Times New Roman"/>
          <w:sz w:val="22"/>
          <w:szCs w:val="22"/>
        </w:rPr>
        <w:t xml:space="preserve">The sections below set out, first, exactly which year's paper and which passages were used as thematic anchors when the mock paper was built, and second, a measured comparison of textual overlap between each mock passage and its corresponding 2025 passage, using two independent similarity metrics rather than a subjective judgement alone.</w:t>
      </w:r>
    </w:p>
    <w:p>
      <w:pPr>
        <w:pStyle w:val="Heading1"/>
        <w:spacing w:after="160" w:before="320"/>
      </w:pPr>
      <w:r>
        <w:rPr>
          <w:rFonts w:ascii="Times New Roman" w:cs="Times New Roman" w:eastAsia="Times New Roman" w:hAnsi="Times New Roman"/>
          <w:b/>
          <w:bCs/>
          <w:sz w:val="28"/>
          <w:szCs w:val="28"/>
        </w:rPr>
        <w:t xml:space="preserve">2. Methodology</w:t>
      </w:r>
    </w:p>
    <w:p>
      <w:pPr>
        <w:spacing w:after="160" w:line="276"/>
      </w:pPr>
      <w:r>
        <w:rPr>
          <w:rFonts w:ascii="Times New Roman" w:cs="Times New Roman" w:eastAsia="Times New Roman" w:hAnsi="Times New Roman"/>
          <w:sz w:val="22"/>
          <w:szCs w:val="22"/>
        </w:rPr>
        <w:t xml:space="preserve">Two complementary measures were used to test for textual similarity between each pair of passages: a representative excerpt from the relevant CLAT (UG) 2025 passage, and the corresponding excerpt from the mock paper.</w:t>
      </w:r>
    </w:p>
    <w:p>
      <w:pPr>
        <w:pStyle w:val="Heading2"/>
        <w:spacing w:after="120" w:before="240"/>
      </w:pPr>
      <w:r>
        <w:rPr>
          <w:rFonts w:ascii="Times New Roman" w:cs="Times New Roman" w:eastAsia="Times New Roman" w:hAnsi="Times New Roman"/>
          <w:b/>
          <w:bCs/>
          <w:sz w:val="24"/>
          <w:szCs w:val="24"/>
        </w:rPr>
        <w:t xml:space="preserve">2.1 Five-word (5-gram) phrase overlap</w:t>
      </w:r>
    </w:p>
    <w:p>
      <w:pPr>
        <w:spacing w:after="160" w:line="276"/>
      </w:pPr>
      <w:r>
        <w:rPr>
          <w:rFonts w:ascii="Times New Roman" w:cs="Times New Roman" w:eastAsia="Times New Roman" w:hAnsi="Times New Roman"/>
          <w:sz w:val="22"/>
          <w:szCs w:val="22"/>
        </w:rPr>
        <w:t xml:space="preserve">Each passage excerpt was normalised (lower-cased, punctuation stripped) and broken into overlapping sequences of five consecutive words. The percentage of five-word sequences from the 2025 passage that also appear, word-for-word, in the mock passage was then calculated. This metric is sensitive to copied or lightly reworded sentences: even a single borrowed clause of five or more words would register a non-zero score. A score of 0% means no five-word sequence in either passage appears in the other.</w:t>
      </w:r>
    </w:p>
    <w:p>
      <w:pPr>
        <w:pStyle w:val="Heading2"/>
        <w:spacing w:after="120" w:before="240"/>
      </w:pPr>
      <w:r>
        <w:rPr>
          <w:rFonts w:ascii="Times New Roman" w:cs="Times New Roman" w:eastAsia="Times New Roman" w:hAnsi="Times New Roman"/>
          <w:b/>
          <w:bCs/>
          <w:sz w:val="24"/>
          <w:szCs w:val="24"/>
        </w:rPr>
        <w:t xml:space="preserve">2.2 Character-sequence similarity ratio</w:t>
      </w:r>
    </w:p>
    <w:p>
      <w:pPr>
        <w:spacing w:after="160" w:line="276"/>
      </w:pPr>
      <w:r>
        <w:rPr>
          <w:rFonts w:ascii="Times New Roman" w:cs="Times New Roman" w:eastAsia="Times New Roman" w:hAnsi="Times New Roman"/>
          <w:sz w:val="22"/>
          <w:szCs w:val="22"/>
        </w:rPr>
        <w:t xml:space="preserve">A standard sequence-matching ratio (Python's difflib SequenceMatcher) was also computed on the normalised text of each pair. This is a looser, more permissive measure that picks up incidental overlap from common function words (“the”, “of”, “percent”, and so on) even where no real content is shared, so it will always read higher than the 5-gram measure; it is included mainly as a ceiling check, to confirm that even the most generous metric does not suggest meaningful reuse.</w:t>
      </w:r>
    </w:p>
    <w:p>
      <w:pPr>
        <w:spacing w:after="160" w:line="276"/>
      </w:pPr>
      <w:r>
        <w:rPr>
          <w:rFonts w:ascii="Times New Roman" w:cs="Times New Roman" w:eastAsia="Times New Roman" w:hAnsi="Times New Roman"/>
          <w:sz w:val="22"/>
          <w:szCs w:val="22"/>
        </w:rPr>
        <w:t xml:space="preserve">Both metrics were computed programmatically (not estimated) for nine representative passage pairs, one drawn from each subject area of the mock paper where a 2025 passage was used as a thematic anchor.</w:t>
      </w:r>
    </w:p>
    <w:p>
      <w:pPr>
        <w:pStyle w:val="Heading1"/>
        <w:spacing w:after="160" w:before="320"/>
      </w:pPr>
      <w:r>
        <w:rPr>
          <w:rFonts w:ascii="Times New Roman" w:cs="Times New Roman" w:eastAsia="Times New Roman" w:hAnsi="Times New Roman"/>
          <w:b/>
          <w:bCs/>
          <w:sz w:val="28"/>
          <w:szCs w:val="28"/>
        </w:rPr>
        <w:t xml:space="preserve">3. Which Year and Passages Were Used as Thematic Anchors</w:t>
      </w:r>
    </w:p>
    <w:p>
      <w:pPr>
        <w:spacing w:after="160" w:line="276"/>
      </w:pPr>
      <w:r>
        <w:rPr>
          <w:rFonts w:ascii="Times New Roman" w:cs="Times New Roman" w:eastAsia="Times New Roman" w:hAnsi="Times New Roman"/>
          <w:sz w:val="22"/>
          <w:szCs w:val="22"/>
        </w:rPr>
        <w:t xml:space="preserve">The mock paper drew its thematic anchors predominantly from the CLAT (UG) 2025 paper, as catalogued in the CLAT_Passage_Source_Analysis document. A small number of Legal Reasoning passages (the basic structure doctrine, the Mediation Act, trademark law, and IT Act provisions) were not tied to any specific year and were chosen simply as generic, commonly-tested legal topics. The table below sets out the mapping for the passages that do trace to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Mock Passage</w:t>
            </w:r>
          </w:p>
        </w:tc>
        <w:tc>
          <w:tcPr>
            <w:tcW w:type="dxa" w:w="350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CLAT 2025 Thematic Anchor</w:t>
            </w:r>
          </w:p>
        </w:tc>
        <w:tc>
          <w:tcPr>
            <w:tcW w:type="dxa" w:w="286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Relationship</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English I–IV (essay / lecture / short story set)</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Passages I–IV: Orwell, Vivekananda, R.K. Narayan, J. Krishnamurti</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literary-essay / short-story genre mix; unrelated content</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Current Affairs V (G7-style summit report)</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V: Reuters report on the BRICS Summit</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wire-service summit-report format; different summit, fictional event</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Current Affairs VI (PIB-style disaster mission release)</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VI: PIB release on Article 370 abrogation</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government-release format; unrelated subject matter</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Current Affairs VII (1940s independence movement)</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VIII: NCERT chapter on the Civil Disobedience Movement</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broad subject (freedom struggle); different episode and decade</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Legal X (elder welfare law)</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X: Dr. Asha Bajpai on child rights in the criminal justice system</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vulnerable-group welfare-law genre; different statute and population</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Logical XVI (loneliness among young adults)</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XVI: journal article on global homelessness</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sociological journal-article format; different social issue</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Logical XVII (consultant case study)</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XVII: description of a business consultant's role</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profession/topic; mock version is a narrative case study rather than a role description</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Quantitative XX (construction-sector wage gap)</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XX: World Inequality Report / Ministry of Agriculture wage-gap data</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gender-wage-gap data-passage format; entirely invented numbers and states</w:t>
            </w:r>
          </w:p>
        </w:tc>
      </w:tr>
      <w:tr>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Quantitative XXI (Mrs. Kapoor household budget)</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Passage XXI: Mr. Das household budget</w:t>
            </w:r>
          </w:p>
        </w:tc>
        <w:tc>
          <w:tcPr>
            <w:tcW w:type="dxa" w:w="28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Same household-budget percentage-allocation template; different person, figures, categories</w:t>
            </w:r>
          </w:p>
        </w:tc>
      </w:tr>
    </w:tbl>
    <w:p>
      <w:pPr>
        <w:spacing w:after="160" w:line="276"/>
      </w:pPr>
      <w:r>
        <w:rPr>
          <w:rFonts w:ascii="Times New Roman" w:cs="Times New Roman" w:eastAsia="Times New Roman" w:hAnsi="Times New Roman"/>
          <w:sz w:val="22"/>
          <w:szCs w:val="22"/>
        </w:rPr>
        <w:t xml:space="preserve">No source link is provided in this table because none of the mock passages were drafted from a specific retrieved article. The right-hand column above describes a thematic and structural relationship only, not a citation.</w:t>
      </w:r>
    </w:p>
    <w:p>
      <w:r>
        <w:br w:type="page"/>
      </w:r>
    </w:p>
    <w:p>
      <w:pPr>
        <w:pStyle w:val="Heading1"/>
        <w:spacing w:after="160" w:before="320"/>
      </w:pPr>
      <w:r>
        <w:rPr>
          <w:rFonts w:ascii="Times New Roman" w:cs="Times New Roman" w:eastAsia="Times New Roman" w:hAnsi="Times New Roman"/>
          <w:b/>
          <w:bCs/>
          <w:sz w:val="28"/>
          <w:szCs w:val="28"/>
        </w:rPr>
        <w:t xml:space="preserve">4. Measured Similarity Results</w:t>
      </w:r>
    </w:p>
    <w:p>
      <w:pPr>
        <w:spacing w:after="160" w:line="276"/>
      </w:pPr>
      <w:r>
        <w:rPr>
          <w:rFonts w:ascii="Times New Roman" w:cs="Times New Roman" w:eastAsia="Times New Roman" w:hAnsi="Times New Roman"/>
          <w:sz w:val="22"/>
          <w:szCs w:val="22"/>
        </w:rPr>
        <w:t xml:space="preserve">The table below reports the two similarity scores computed for each of the nine passage pairs identified in Section 3. Both figures are percentages; higher means more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w:tc>
          <w:tcPr>
            <w:tcW w:type="dxa" w:w="350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Pair</w:t>
            </w:r>
          </w:p>
        </w:tc>
        <w:tc>
          <w:tcPr>
            <w:tcW w:type="dxa" w:w="190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5-gram phrase overlap</w:t>
            </w:r>
          </w:p>
        </w:tc>
        <w:tc>
          <w:tcPr>
            <w:tcW w:type="dxa" w:w="190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Sequence-match ratio</w:t>
            </w:r>
          </w:p>
        </w:tc>
        <w:tc>
          <w:tcPr>
            <w:tcW w:type="dxa" w:w="2060"/>
            <w:tcBorders>
              <w:top w:val="single" w:color="999999" w:sz="2"/>
              <w:left w:val="single" w:color="999999" w:sz="2"/>
              <w:bottom w:val="single" w:color="999999" w:sz="2"/>
              <w:right w:val="single" w:color="999999" w:sz="2"/>
            </w:tcBorders>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Verdict</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Orwell (2025-I) vs Mock English I</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genre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Reuters BRICS (2025-V) vs Mock CA V</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genre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PIB Article 370 (2025-VI) vs Mock CA VI</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genre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NCERT Civil Disobedience (2025-VIII) vs Mock CA VII</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broad subject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Child Rights / NCRB (2025-X) vs Mock Legal X</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genre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Homelessness journal article (2025-XVI) vs Mock Logical XVI</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genre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Consultant role (2025-XVII) vs Mock Logical XVII</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topic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Wage gap data (2025-XX) vs Mock Quant XX</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data-passage format only</w:t>
            </w:r>
          </w:p>
        </w:tc>
      </w:tr>
      <w:tr>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Mr. Das budget (2025-XXI) vs Mock Quant XXI</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w:t>
            </w:r>
          </w:p>
        </w:tc>
        <w:tc>
          <w:tcPr>
            <w:tcW w:type="dxa" w:w="2060"/>
            <w:tcBorders>
              <w:top w:val="single" w:color="999999" w:sz="2"/>
              <w:left w:val="single" w:color="999999" w:sz="2"/>
              <w:bottom w:val="single" w:color="999999" w:sz="2"/>
              <w:right w:val="single" w:color="999999" w:sz="2"/>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No shared phrasing; same problem template only</w:t>
            </w:r>
          </w:p>
        </w:tc>
      </w:tr>
    </w:tbl>
    <w:p>
      <w:pPr>
        <w:spacing w:after="160" w:line="276"/>
      </w:pPr>
      <w:r>
        <w:rPr>
          <w:rFonts w:ascii="Times New Roman" w:cs="Times New Roman" w:eastAsia="Times New Roman" w:hAnsi="Times New Roman"/>
          <w:sz w:val="22"/>
          <w:szCs w:val="22"/>
        </w:rPr>
        <w:t xml:space="preserve">The highest character-sequence ratio recorded across all nine pairs was 6.0% (the wage-gap data pair), driven almost entirely by recurring functional and numerical tokens such as “percent”, “wage”, and “the” rather than any shared substantive content. Every single pair returned a 0.0% five-word phrase overlap, meaning no sentence, clause, or even short phrase of five or more consecutive words was reused from any 2025 passage in any mock passage.</w:t>
      </w:r>
    </w:p>
    <w:p>
      <w:pPr>
        <w:pStyle w:val="Heading1"/>
        <w:spacing w:after="160" w:before="320"/>
      </w:pPr>
      <w:r>
        <w:rPr>
          <w:rFonts w:ascii="Times New Roman" w:cs="Times New Roman" w:eastAsia="Times New Roman" w:hAnsi="Times New Roman"/>
          <w:b/>
          <w:bCs/>
          <w:sz w:val="28"/>
          <w:szCs w:val="28"/>
        </w:rPr>
        <w:t xml:space="preserve">5. Interpretation</w:t>
      </w:r>
    </w:p>
    <w:p>
      <w:pPr>
        <w:spacing w:after="160" w:line="276"/>
      </w:pPr>
      <w:r>
        <w:rPr>
          <w:rFonts w:ascii="Times New Roman" w:cs="Times New Roman" w:eastAsia="Times New Roman" w:hAnsi="Times New Roman"/>
          <w:sz w:val="22"/>
          <w:szCs w:val="22"/>
        </w:rPr>
        <w:t xml:space="preserve">Three conclusions follow from the results in Section 4:</w:t>
      </w:r>
    </w:p>
    <w:p>
      <w:pPr>
        <w:spacing w:after="140" w:line="276"/>
        <w:ind w:left="36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Genre and format similarity is intentional. Several mock passages deliberately mirror a structural category used repeatedly across CLAT years — for example, the household-budget word problem, the wire-service summit report, or the gender-wage-gap data passage. These formats recur across the 2025, 2024, 2023, 2022, 2021 and 2020 papers per the CLAT_Passage_Source_Analysis document, and are not unique to any single year.</w:t>
      </w:r>
    </w:p>
    <w:p>
      <w:pPr>
        <w:spacing w:after="140" w:line="276"/>
        <w:ind w:left="36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Content similarity is effectively absent. Across every metric and every pair tested, no measurable phrase-level overlap was found. Names, figures, organisations, and events in the mock passages are invented for this paper and do not correspond to the people, statistics, or incidents in the 2025 passages.</w:t>
      </w:r>
    </w:p>
    <w:p>
      <w:pPr>
        <w:spacing w:after="140" w:line="276"/>
        <w:ind w:left="36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The citation footers on mock passages are stylistic, not factual. Footers such as “(Extracted, with edits, from a wire-service report on the G7 Summit, composed for this paper)” were written to mimic the citation convention used in real CLAT papers, but no such article was retrieved or consulted. Users should not treat these footers as verifiable citations.</w:t>
      </w:r>
    </w:p>
    <w:p>
      <w:pPr>
        <w:pStyle w:val="Heading1"/>
        <w:spacing w:after="160" w:before="320"/>
      </w:pPr>
      <w:r>
        <w:rPr>
          <w:rFonts w:ascii="Times New Roman" w:cs="Times New Roman" w:eastAsia="Times New Roman" w:hAnsi="Times New Roman"/>
          <w:b/>
          <w:bCs/>
          <w:sz w:val="28"/>
          <w:szCs w:val="28"/>
        </w:rPr>
        <w:t xml:space="preserve">6. Recommendation</w:t>
      </w:r>
    </w:p>
    <w:p>
      <w:pPr>
        <w:spacing w:after="160" w:line="276"/>
      </w:pPr>
      <w:r>
        <w:rPr>
          <w:rFonts w:ascii="Times New Roman" w:cs="Times New Roman" w:eastAsia="Times New Roman" w:hAnsi="Times New Roman"/>
          <w:sz w:val="22"/>
          <w:szCs w:val="22"/>
        </w:rPr>
        <w:t xml:space="preserve">If genuine, citable, real-world sources are required for any section of the mock paper — for example, to produce a passage adapted from an actual, current news article with a verifiable link — a live web search and a properly attributed rewrite of that specific source would need to be carried out separately. This was not done in the original mock paper and would need to be requested explicitly for any passage where a real citation is required.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Source Comparison &amp; Similarity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2026-06-30T13:03:00.462Z</dcterms:created>
  <dcterms:modified xsi:type="dcterms:W3CDTF">2026-06-30T13:03:00.462Z</dcterms:modified>
</cp:coreProperties>
</file>

<file path=docProps/custom.xml><?xml version="1.0" encoding="utf-8"?>
<Properties xmlns="http://schemas.openxmlformats.org/officeDocument/2006/custom-properties" xmlns:vt="http://schemas.openxmlformats.org/officeDocument/2006/docPropsVTypes"/>
</file>