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left="567" w:right="567"/>
        <w:jc w:val="center"/>
      </w:pPr>
      <w:r>
        <w:rPr>
          <w:rFonts w:ascii="Calibri" w:cs="Calibri" w:eastAsia="Calibri" w:hAnsi="Calibri"/>
          <w:b/>
          <w:bCs/>
          <w:color w:val="000000"/>
          <w:sz w:val="28"/>
          <w:szCs w:val="28"/>
        </w:rPr>
        <w:t xml:space="preserve">Module II – General principles relating to transfer of property (Sections 10–37)</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Chapter i – general principles relating to transfer of property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Transfer of Property Act, 1882 came into force on 1 July 1882 with the objective of codifying and rationalising the principles governing transfers between living persons. Before its enactment, the law relating to property was largely based on English common law, equity, justice, and good conscience, resulting in inconsistency and uncertainty. The Act seeks to achieve a balance between two competing objectives: protecting the owner's right to freely deal with property, and preventing unreasonable restrictions that hamper the free circulation of property.</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Sections 10 to 37 of the Act contain various rules restricting conditions that unnecessarily limit the transferability or enjoyment of property, while simultaneously protecting legitimate rights created by transfers. These provisions collectively establish the general principles governing valid transfers, restraints on alienation, restrictions repugnant to the interest created, transfers for the benefit of unborn persons, conditional transfers, election, apportionment, priorities, and fraudulent transfers.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2. condition restraining alienation – section 10</w:t>
      </w:r>
    </w:p>
    <w:p>
      <w:pPr>
        <w:spacing w:after="0" w:before="0" w:line="240"/>
        <w:ind w:left="567" w:right="567"/>
      </w:pPr>
      <w:r>
        <w:rPr>
          <w:rFonts w:ascii="Calibri" w:cs="Calibri" w:eastAsia="Calibri" w:hAnsi="Calibri"/>
          <w:b/>
          <w:bCs/>
          <w:color w:val="000000"/>
          <w:sz w:val="28"/>
          <w:szCs w:val="28"/>
        </w:rPr>
        <w:t xml:space="preserve">Section 10 of the Transfer of Property Act, 1882 (Condition restraining alienation):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Where property is transferred subject to a condition or limitation absolutely restraining the transferee or any person claiming under him from parting with or disposing of his interest in the property, the condition or limitation is void, except in the case of a lease where the condition is for the benefit of the lessor or those claiming under him.</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10 declares that any condition imposing an absolute restraint on the transferee's power of alienation is void. The section does not invalidate the transfer itself; only the offending condition becomes void and the transferee receives the property free from such restriction. The section is founded upon the maxim that property must remain freely alienable. Conditions that completely prohibit transfer — such as conditions never to sell, mortgage, gift, lease, exchange, or transfer to anyone — are absolute restraints and hence void. The legislature considers such restraints harmful because they prevent free circulation of property, reduce commercial transactions, affect economic growth, create dead property, and reduce market value. The exception to this rule is in the case of a lease: a condition restricting subletting or assignment by the lessee for the benefit of the lessor is valid, because a lessee receives only a limited interest and the lessor retains ownership. A partial restraint — one that merely regulates the manner, time, or persons to whom property may be transferred — is generally valid. Courts examine whether the restriction substantially destroys the power of alienation; if it does, Section 10 applies.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3. restriction repugnant to interest created – section 11</w:t>
      </w:r>
    </w:p>
    <w:p>
      <w:pPr>
        <w:spacing w:after="0" w:before="0" w:line="240"/>
        <w:ind w:left="567" w:right="567"/>
      </w:pPr>
      <w:r>
        <w:rPr>
          <w:rFonts w:ascii="Calibri" w:cs="Calibri" w:eastAsia="Calibri" w:hAnsi="Calibri"/>
          <w:b/>
          <w:bCs/>
          <w:color w:val="000000"/>
          <w:sz w:val="28"/>
          <w:szCs w:val="28"/>
        </w:rPr>
        <w:t xml:space="preserve">Section 11 of the Transfer of Property Act, 1882 (Restriction repugnant to interest created):</w:t>
      </w:r>
    </w:p>
    <w:p>
      <w:pPr>
        <w:spacing w:after="0" w:before="0" w:line="240"/>
        <w:ind w:left="567" w:right="567"/>
      </w:pPr>
      <w:r>
        <w:rPr>
          <w:rFonts w:ascii="Calibri" w:cs="Calibri" w:eastAsia="Calibri" w:hAnsi="Calibri"/>
          <w:b w:val="false"/>
          <w:bCs w:val="false"/>
          <w:i w:val="false"/>
          <w:iCs w:val="false"/>
          <w:color w:val="000000"/>
          <w:sz w:val="28"/>
          <w:szCs w:val="28"/>
        </w:rPr>
        <w:t xml:space="preserve">Where, on a transfer of property, an interest therein is created absolutely in favour of any person, but the terms of the transfer direct that such interest shall be applied or enjoyed by him in a particular manner, he shall be entitled to receive and dispose of such interest as if there were no such direction. Where any such direction has been made in respect of one piece of immovable property for the purpose of securing the beneficial enjoyment of another piece of such property, nothing in this section shall be deemed to affect any right which the transferor may have to enforce such direction or any remedy which he may have in respect of a breach thereof.</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11 deals with restrictions on the mode of enjoyment of property, as distinguished from restrictions on alienation under Section 10. If ownership is transferred absolutely, the transferor cannot dictate how the property must be used forever. The law recognises that absolute ownership carries with it absolute freedom of enjoyment. Any condition directing the manner in which the transferee shall use or enjoy the property is repugnant to the absolute interest conferred and is therefore inoperative. For example, if A gifts a house to B absolutely with a condition that B shall never paint the house, or that B shall cultivate only wheat, such conditions are ignored because they are repugnant to absolute ownership. The exception is where a direction regarding one piece of immovable property is made to secure the beneficial enjoyment of another piece; in such a case, the transferor may enforce the direction.</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Distinction between Section 10 and Section 11</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10</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11</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Subject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Restriction on transfer/alienation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Restriction on enjoyment</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What it deals with</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Power to alienate (transfer)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Mode of use/user of property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Effect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Condition becomes void</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Direction becomes inoperative</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Ownership</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Unaffected</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Unaffected</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Protects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Power of transfer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Incidents of ownership</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4. alienation and partial restraints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term "alienation" is derived from the Latin word "alienare" meaning to transfer ownership or proprietary rights from one person to another. In property law, alienation refers to the voluntary transfer of property or an interest in property through legally recognised modes such as sale, gift, mortgage, lease, or exchange. Alienation is considered one of the fundamental incidents of ownership. A person who possesses absolute ownership generally enjoys the right to possess, the right to enjoy and use, and the right to transfer or dispose of the property. The law presumes that every owner has the freedom to alienate property unless such transfer is expressly prohibited by statute or restricted by a valid legal condition.</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 partial restraint is one that merely regulates the manner, time, or persons to whom property may be transferred. Examples include a restriction on transfer for a fixed period of five years, a condition that property may be sold only after repayment of a loan, a right of pre-emption, and transfer only with prior permission where permitted by law. Indian courts examine whether the restriction substantially destroys the power of alienation. If yes, Section 10 applies; if not, the restriction may survive. Statutory restrictions imposed by legislation — such as under land ceiling laws, cooperative housing laws, tenancy legislation, and Scheduled Tribe land protection statutes — are valid because they arise by statute and not by private agreement.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5. relevant case laws</w:t>
      </w:r>
    </w:p>
    <w:p>
      <w:pPr>
        <w:spacing w:after="0" w:before="0" w:line="240"/>
        <w:ind w:left="567" w:right="567"/>
      </w:pPr>
      <w:r>
        <w:rPr>
          <w:rFonts w:ascii="Calibri" w:cs="Calibri" w:eastAsia="Calibri" w:hAnsi="Calibri"/>
          <w:b/>
          <w:bCs/>
          <w:color w:val="000000"/>
          <w:sz w:val="28"/>
          <w:szCs w:val="28"/>
        </w:rPr>
        <w:t xml:space="preserve">Rosher v. Rosher</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(1884) 26 Ch D 801 (Court of Appeal, England)</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A testator bequeathed property to his son with a condition that if the son desired to sell the property, he must first offer it to his mother at a price far below the market value, effectively preventing the son from selling to anyone else.</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such a condition amounted to an absolute restraint on alienation.</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Court held that the condition was void because it imposed an unreasonable restraint on alienation. The case established the principle that courts examine the practical effect of the restraint rather than its wording, and a seemingly partial restriction may be treated as absolute if it substantially prevents alienation.</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Mohd. Raza v. Abbas Bandi Bibi</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(1932) LR 59 IA 236 (Privy Council)</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Property was transferred subject to restrictions limiting the transferee's power to deal with the property.</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a transfer creating absolute ownership could simultaneously impose restrictions inconsistent with that ownership.</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Privy Council held that once absolute ownership is transferred, every legal incident of ownership — including the right of alienation — passes to the transferee. Conditions inconsistent with absolute ownership are void, while the transfer itself remains valid.</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Zoroastrian Cooperative Housing Society Ltd. v. District Registrar, Cooperative Societies (Urban)</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(2005) 5 SCC 632</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Bye-laws of a cooperative housing society restricted the transfer of membership and property only to members of the Zoroastrian community, which was challenged as violating the principle against restraint on alienation.</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restrictions contained in cooperative society bye-laws violated the principle against restraint on alienation.</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validity of the bye-laws. The Court distinguished between restrictions imposed by private contractual arrangements and statutory or cooperative regulations, holding that members voluntarily accept such restrictions. Statutory or legally recognised restrictions may constitute valid exceptions to the rule against restraint on alienation.</w:t>
      </w:r>
    </w:p>
    <w:p>
      <w:pPr>
        <w:spacing w:after="0" w:before="0" w:line="240"/>
      </w:pPr>
      <w:r>
        <w:t xml:space="preserve"/>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Chapter ii – transfer to unborn persons (section 13) and vesting (section 20)</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Transfer of Property Act, 1882 permits, as a limited exception to the general rule that only living persons may receive property, a transfer for the benefit of a person not yet born, provided certain mandatory conditions are fulfilled. An unborn person has no legal personality at the time of transfer and cannot directly accept or hold property. The law protects the proprietary interests of an unborn child through the Latin maxim "Nasciturus pro iam nato habetur, quotiens de commodis eius agitur" — meaning that a child in the womb is deemed to have been born whenever it is for his or her benefit.</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13 is closely connected with Sections 14 (Rule Against Perpetuity), 15 (Transfer to a class), 16 (Failure of prior interest), 19 (Vested interest), and 20 (Interest of an unborn person). Together, these provisions constitute a comprehensive legal framework governing future interests in property.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2. transfer to unborn person – section 13</w:t>
      </w:r>
    </w:p>
    <w:p>
      <w:pPr>
        <w:spacing w:after="0" w:before="0" w:line="240"/>
        <w:ind w:left="567" w:right="567"/>
      </w:pPr>
      <w:r>
        <w:rPr>
          <w:rFonts w:ascii="Calibri" w:cs="Calibri" w:eastAsia="Calibri" w:hAnsi="Calibri"/>
          <w:b/>
          <w:bCs/>
          <w:color w:val="000000"/>
          <w:sz w:val="28"/>
          <w:szCs w:val="28"/>
        </w:rPr>
        <w:t xml:space="preserve">Section 13 of the Transfer of Property Act, 1882 (Transfer for benefit of unborn person):</w:t>
      </w:r>
    </w:p>
    <w:p>
      <w:pPr>
        <w:spacing w:after="0" w:before="0" w:line="240"/>
        <w:ind w:left="567" w:right="567"/>
      </w:pPr>
      <w:r>
        <w:rPr>
          <w:rFonts w:ascii="Calibri" w:cs="Calibri" w:eastAsia="Calibri" w:hAnsi="Calibri"/>
          <w:b w:val="false"/>
          <w:bCs w:val="false"/>
          <w:i w:val="false"/>
          <w:iCs w:val="false"/>
          <w:color w:val="000000"/>
          <w:sz w:val="28"/>
          <w:szCs w:val="28"/>
        </w:rPr>
        <w:t xml:space="preserve">Where, on a transfer of property, an interest therein is created for the benefit of a person not in existence at the date of the transfer, subject to a prior interest created by the same transfer, the interest created for the benefit of such person shall not take effect, unless it extends to the whole of the remaining interest of the transferor in the property.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13 permits a transfer for the benefit of an unborn person, subject to two mandatory conditions. First, a prior interest must be created in favour of one or more living persons before any interest passes to the unborn beneficiary. This ensures that ownership is never suspended or left without a holder. Second, the unborn person must receive the entire remaining interest of the transferor — not a limited or partial estate. If the unborn person is given only a life interest or some lesser estate, the transfer is void with respect to the unborn beneficiary. If the transfer gives the unborn person the absolute estate after the prior life interest, it is valid. The rationale behind requiring the whole remaining interest is to prevent fragmentation of ownership and uncertainty in succession. These conditions must also be read in conjunction with Section 14 (Rule Against Perpetuity), which prescribes the maximum period within which vesting must occur.</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3. vesting of interest in unborn person – section 20</w:t>
      </w:r>
    </w:p>
    <w:p>
      <w:pPr>
        <w:spacing w:after="0" w:before="0" w:line="240"/>
        <w:ind w:left="567" w:right="567"/>
      </w:pPr>
      <w:r>
        <w:rPr>
          <w:rFonts w:ascii="Calibri" w:cs="Calibri" w:eastAsia="Calibri" w:hAnsi="Calibri"/>
          <w:b/>
          <w:bCs/>
          <w:color w:val="000000"/>
          <w:sz w:val="28"/>
          <w:szCs w:val="28"/>
        </w:rPr>
        <w:t xml:space="preserve">Section 20 of the Transfer of Property Act, 1882 (When unborn person acquires vested interest on transfer for his benefit):</w:t>
      </w:r>
    </w:p>
    <w:p>
      <w:pPr>
        <w:spacing w:after="0" w:before="0" w:line="240"/>
        <w:ind w:left="567" w:right="567"/>
      </w:pPr>
      <w:r>
        <w:rPr>
          <w:rFonts w:ascii="Calibri" w:cs="Calibri" w:eastAsia="Calibri" w:hAnsi="Calibri"/>
          <w:b w:val="false"/>
          <w:bCs w:val="false"/>
          <w:i w:val="false"/>
          <w:iCs w:val="false"/>
          <w:color w:val="000000"/>
          <w:sz w:val="28"/>
          <w:szCs w:val="28"/>
        </w:rPr>
        <w:t xml:space="preserve">Where, on a transfer of property, an interest therein is created for the benefit of a person not then living, he acquires upon his birth, unless a contrary intention appear from the terms of the transfer, a vested interest, although he may not be entitled to the enjoyment thereof immediately on his birth.</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20 determines when the unborn beneficiary becomes the owner of the property transferred for his benefit. Upon birth — provided the child is born alive — ownership vests immediately in the child, even though actual possession may remain postponed until the prior life estate ends. A stillborn child acquires no legal interest. The vesting occurs automatically on birth unless the transfer instrument indicates a contrary intention. The distinction between vesting and possession is fundamental: vesting relates to the acquisition of legal title, while possession relates to actual enjoyment. Since the interest vests upon birth, the child's vested interest can devolve upon his or her legal heirs even if the child dies before the prior interest terminates. Section 20 is a special application of the broader principle of vested interest contained in Section 19.</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Relationship between Section 13 and Section 20</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13</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20</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Purpose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Creates the transfer and governs validity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Determines when vesting occurs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Prior interest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Compulsory in favour of a living person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Operates after prior interest is created</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Whole remaining interest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Required for unborn beneficiary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Interest vests upon birth</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Governs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Validity of transfer to unborn person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Acquisition of ownership</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4. relevant case laws</w:t>
      </w:r>
    </w:p>
    <w:p>
      <w:pPr>
        <w:spacing w:after="0" w:before="0" w:line="240"/>
        <w:ind w:left="567" w:right="567"/>
      </w:pPr>
      <w:r>
        <w:rPr>
          <w:rFonts w:ascii="Calibri" w:cs="Calibri" w:eastAsia="Calibri" w:hAnsi="Calibri"/>
          <w:b/>
          <w:bCs/>
          <w:color w:val="000000"/>
          <w:sz w:val="28"/>
          <w:szCs w:val="28"/>
        </w:rPr>
        <w:t xml:space="preserve">Sopher v. Administrator General of Bengal</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1944 PC 67</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settlor created a settlement under which property was first given to certain living persons and thereafter to unborn beneficiaries. The unborn beneficiaries were given only a limited estate rather than the entire remaining interest.</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a transfer to an unborn person is valid if only a limited interest is given, and whether Section 13 requires the unborn beneficiary to receive the whole remaining interest.</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Privy Council held that Section 13 is mandatory. A transfer in favour of an unborn person is valid only if a prior interest is created in favour of a living person and the unborn person receives the entire remaining interest of the transferor. Since only a limited estate had been created, the transfer in favour of the unborn beneficiaries was invalid. This case is the leading authority on Section 13.</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Girjesh Dutt v. Data Din</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1934 PC 113</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A settlement created successive life estates in favour of persons not yet born, postponing the vesting of the absolute interest for several generations.</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such successive life estates violated Sections 13 and 14 of the Transfer of Property Act.</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Privy Council held that Section 13 must be read together with Section 14 (Rule Against Perpetuity). A transfer that postpones the vesting of property beyond the period permitted by law is void. The transfer was declared void insofar as it violated the statutory provisions, and the case illustrates the close relationship between Sections 13 and 14.</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Tagore v. Tagore</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(1872) LR IA Supp 47</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testator attempted to create a new line of succession and to grant property to persons not recognised under Hindu law in a manner inconsistent with established legal principles, creating successive future interests.</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property could be settled in favour of unborn persons through successive life estates.</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Privy Council held that Indian law does not permit the creation of new estates unknown to law. Property cannot be tied up indefinitely through successive limited interests, and the settlement was held invalid to the extent that it attempted to create impermissible future interests. Although decided before the Transfer of Property Act, this decision strongly influenced the drafting of Sections 13 and 14.</w:t>
      </w:r>
    </w:p>
    <w:p>
      <w:pPr>
        <w:spacing w:after="0" w:before="0" w:line="240"/>
      </w:pPr>
      <w:r>
        <w:t xml:space="preserve"/>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Chapter iii – rule against perpetuity (sections 14 and 16)</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Rule Against Perpetuity is codified in Section 14 of the Transfer of Property Act, 1882. It prevents property from being tied up indefinitely by prohibiting the creation of future interests that postpone the vesting of ownership beyond the period prescribed by law. The rule is based on the principle that no owner should have the power to control the devolution and enjoyment of property for an indefinite period. The law favours the free circulation of property and discourages arrangements that keep property out of commerce or render it inalienable for generations.</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Rule Against Perpetuity originated in English common law and was developed through judicial decisions, particularly the celebrated Duke of Norfolk's Case (1682). English courts observed that wealthy landowners frequently attempted to tie up estates for several generations through successive life interests, thereby preventing the free transfer of land. The Indian legislature adopted this principle while enacting the Transfer of Property Act, incorporating it in Section 14 with modifications suited to Indian conditions.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2. rule against perpetuity – section 14</w:t>
      </w:r>
    </w:p>
    <w:p>
      <w:pPr>
        <w:spacing w:after="0" w:before="0" w:line="240"/>
        <w:ind w:left="567" w:right="567"/>
      </w:pPr>
      <w:r>
        <w:rPr>
          <w:rFonts w:ascii="Calibri" w:cs="Calibri" w:eastAsia="Calibri" w:hAnsi="Calibri"/>
          <w:b/>
          <w:bCs/>
          <w:color w:val="000000"/>
          <w:sz w:val="28"/>
          <w:szCs w:val="28"/>
        </w:rPr>
        <w:t xml:space="preserve">Section 14 of the Transfer of Property Act, 1882 (Rule against perpetuity):</w:t>
      </w:r>
    </w:p>
    <w:p>
      <w:pPr>
        <w:spacing w:after="0" w:before="0" w:line="240"/>
        <w:ind w:left="567" w:right="567"/>
      </w:pPr>
      <w:r>
        <w:rPr>
          <w:rFonts w:ascii="Calibri" w:cs="Calibri" w:eastAsia="Calibri" w:hAnsi="Calibri"/>
          <w:b w:val="false"/>
          <w:bCs w:val="false"/>
          <w:i w:val="false"/>
          <w:iCs w:val="false"/>
          <w:color w:val="000000"/>
          <w:sz w:val="28"/>
          <w:szCs w:val="28"/>
        </w:rPr>
        <w:t xml:space="preserve">No transfer of property can operate to create an interest which is to take effect after the lifetime of one or more persons living at the date of such transfer, and the minority of some person who shall be in existence at the expiration of that period, and to whom, if he attains full age, the interest created is to belong.</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14 imposes a statutory limitation upon the creation of future interests. The permissible period within which vesting must occur is: the lifetime of one or more persons living at the date of transfer (the "lives in being"), plus the minority of the ultimate beneficiary who must be in existence when the last life interest ends. Any postponement of vesting beyond this period is void. The rule is concerned only with remote vesting, not with remote enjoyment — the enjoyment or possession of the property may be postponed, but vesting of ownership cannot be deferred beyond the prescribed period. "Lives in being" means persons alive at the date of the transfer. There is no restriction on the number of such persons. The age of majority is generally 18 years under the Indian Majority Act, 1875. The formula is: lives in being + minority of the ultimate beneficiary. Transfers for public benefit such as schools, hospitals, libraries, religious institutions, and public trusts are generally exempt from the rule, as public policy recognises their social utility.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3. failure of prior interest – section 16</w:t>
      </w:r>
    </w:p>
    <w:p>
      <w:pPr>
        <w:spacing w:after="0" w:before="0" w:line="240"/>
        <w:ind w:left="567" w:right="567"/>
      </w:pPr>
      <w:r>
        <w:rPr>
          <w:rFonts w:ascii="Calibri" w:cs="Calibri" w:eastAsia="Calibri" w:hAnsi="Calibri"/>
          <w:b/>
          <w:bCs/>
          <w:color w:val="000000"/>
          <w:sz w:val="28"/>
          <w:szCs w:val="28"/>
        </w:rPr>
        <w:t xml:space="preserve">Section 16 of the Transfer of Property Act, 1882 (Transferee cannot be restrained from parting with interest):</w:t>
      </w:r>
    </w:p>
    <w:p>
      <w:pPr>
        <w:spacing w:after="0" w:before="0" w:line="240"/>
        <w:ind w:left="567" w:right="567"/>
      </w:pPr>
      <w:r>
        <w:rPr>
          <w:rFonts w:ascii="Calibri" w:cs="Calibri" w:eastAsia="Calibri" w:hAnsi="Calibri"/>
          <w:b w:val="false"/>
          <w:bCs w:val="false"/>
          <w:i w:val="false"/>
          <w:iCs w:val="false"/>
          <w:color w:val="000000"/>
          <w:sz w:val="28"/>
          <w:szCs w:val="28"/>
        </w:rPr>
        <w:t xml:space="preserve">Where, by reason of any of the rules contained in sections 13 and 14, an interest created for the benefit of a person or of a class of persons fails in regard to such person or the whole of such class, any interest created in the same transaction and intended to take effect after or upon failure of such prior interest also fails.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16 is a consequential provision that operates when a prior interest in favour of an unborn person fails because Sections 13 or 14 have been violated. Any subsequent interest dependent upon that invalid prior interest also fails. The section prevents the transferor from creating an indirect chain of invalid future interests or circumventing the Rule Against Perpetuity through alternative beneficiary arrangements. For example, if A transfers property to B for life, then to B's unborn son for life, then to C, the transfer to the unborn son violates Section 13 because only a life interest is given. Since C's interest depends upon the invalid life interest of the unborn son, C's interest also fails under Section 16. Section 16 does not apply to interests that are independent of the invalid prior interest.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Distinction between Sections 13, 14 and 16</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2526"/>
        <w:gridCol w:w="2526"/>
        <w:gridCol w:w="2526"/>
        <w:gridCol w:w="2526"/>
      </w:tblGrid>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13</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14</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16</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Subject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to unborn person</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Rule Against Perpetuity</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Failure of prior interest</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Purpose</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Valid transfer to unborn persons</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Prevent remote vesting</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Invalidate dependent interests</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Main requirement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Prior interest + whole remaining interest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Life in being + minority</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Prior interest must have failed</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Effect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Validates transfer if conditions met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Voids offending future interest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Voids subsequent dependent interests</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4. relevant case laws</w:t>
      </w:r>
    </w:p>
    <w:p>
      <w:pPr>
        <w:spacing w:after="0" w:before="0" w:line="240"/>
        <w:ind w:left="567" w:right="567"/>
      </w:pPr>
      <w:r>
        <w:rPr>
          <w:rFonts w:ascii="Calibri" w:cs="Calibri" w:eastAsia="Calibri" w:hAnsi="Calibri"/>
          <w:b/>
          <w:bCs/>
          <w:color w:val="000000"/>
          <w:sz w:val="28"/>
          <w:szCs w:val="28"/>
        </w:rPr>
        <w:t xml:space="preserve">Cadell v. Palmer</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(1833) 1 Cl and F 372 (House of Lords)</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case involved a settlement that postponed the vesting of property for an extended period.</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What constitutes the permissible period for postponement of vesting?</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House of Lords reaffirmed the common law Rule Against Perpetuity and clarified the permissible period for vesting. The settlement was upheld only insofar as it complied with the established rule. The case is a classical English authority explaining the rationale behind the Rule Against Perpetuity.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Leake v. Robinson</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(1817) 2 Mer 363</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Property was transferred to unborn members of a class with vesting postponed for an indefinite period.</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such postponement violated the Rule Against Perpetuity.</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Court held that future interests must vest within the legally permissible period. The transfer was held invalid to the extent it violated the Rule Against Perpetuity. This English decision significantly influenced Indian law and the drafting of Section 14.</w:t>
      </w:r>
    </w:p>
    <w:p>
      <w:pPr>
        <w:spacing w:after="0" w:before="0" w:line="240"/>
      </w:pPr>
      <w:r>
        <w:t xml:space="preserve"/>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Chapter iv – vested and contingent interest (sections 19–24)</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Transfer of Property Act, 1882 regulates not only the transfer of ownership but also future interests created in property. Sections 19 to 24 govern the concepts of vested interest and contingent interest, which determine when ownership is acquired, whether the acquisition depends upon an uncertain event, and whether the beneficiary has an immediate or conditional right over the property. These concepts play an important role in settlements, family arrangements, trusts, gifts, and succession planning.</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law always presumes vesting unless the instrument clearly indicates a contrary intention. Courts prefer vested interests over contingent interests because they promote certainty, reduce litigation, and facilitate the free circulation of property.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2. vested interest – section 19</w:t>
      </w:r>
    </w:p>
    <w:p>
      <w:pPr>
        <w:spacing w:after="0" w:before="0" w:line="240"/>
        <w:ind w:left="567" w:right="567"/>
      </w:pPr>
      <w:r>
        <w:rPr>
          <w:rFonts w:ascii="Calibri" w:cs="Calibri" w:eastAsia="Calibri" w:hAnsi="Calibri"/>
          <w:b/>
          <w:bCs/>
          <w:color w:val="000000"/>
          <w:sz w:val="28"/>
          <w:szCs w:val="28"/>
        </w:rPr>
        <w:t xml:space="preserve">Section 19 of the Transfer of Property Act, 1882 (Vested interest):</w:t>
      </w:r>
    </w:p>
    <w:p>
      <w:pPr>
        <w:spacing w:after="0" w:before="0" w:line="240"/>
        <w:ind w:left="567" w:right="567"/>
      </w:pPr>
      <w:r>
        <w:rPr>
          <w:rFonts w:ascii="Calibri" w:cs="Calibri" w:eastAsia="Calibri" w:hAnsi="Calibri"/>
          <w:b w:val="false"/>
          <w:bCs w:val="false"/>
          <w:i w:val="false"/>
          <w:iCs w:val="false"/>
          <w:color w:val="000000"/>
          <w:sz w:val="28"/>
          <w:szCs w:val="28"/>
        </w:rPr>
        <w:t xml:space="preserve">Where, on a transfer of property, an interest therein is created in favour of a person without specifying that it is to take effect only upon the happening of a specified uncertain event, or where an interest is to take effect upon the happening of an event which must happen, such interest is vested, unless a contrary intention appears from the terms of the transfer. A vested interest is not defeated by the death of the transferee before he obtains possession.</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A vested interest is an immediate and absolute right in property, although actual enjoyment or possession may commence at a future date. Ownership is complete even though possession may be postponed. For example, if A transfers property to B for life and after B's death to C, C acquires vested ownership immediately upon the transfer, though possession begins only after B's death. The key characteristics of a vested interest are: ownership arises immediately; it is not dependent on an uncertain event; it is heritable — if the holder dies before obtaining possession, his heirs inherit the interest; it is transferable — the holder may sell, mortgage, or gift his vested interest; and it is certain — no uncertainty affects the existence of the right. Death is treated as a certain event, not an uncertain one, so an interest to take effect after death is a vested interest.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3. interest created for benefit of unborn person – section 20</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20 provides that where an interest is created for the benefit of an unborn person, he acquires upon his birth, unless a contrary intention appears from the terms of the transfer, a vested interest, although he may not be entitled to the enjoyment thereof immediately on his birth. Section 20 is a special application of the broader principle in Section 19 and must be read together with Section 13. Upon birth, ownership vests immediately in the child; actual possession may still be postponed until the prior life estate ends.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4. contingent interest – section 21</w:t>
      </w:r>
    </w:p>
    <w:p>
      <w:pPr>
        <w:spacing w:after="0" w:before="0" w:line="240"/>
        <w:ind w:left="567" w:right="567"/>
      </w:pPr>
      <w:r>
        <w:rPr>
          <w:rFonts w:ascii="Calibri" w:cs="Calibri" w:eastAsia="Calibri" w:hAnsi="Calibri"/>
          <w:b/>
          <w:bCs/>
          <w:color w:val="000000"/>
          <w:sz w:val="28"/>
          <w:szCs w:val="28"/>
        </w:rPr>
        <w:t xml:space="preserve">Section 21 of the Transfer of Property Act, 1882 (Contingent interest):</w:t>
      </w:r>
    </w:p>
    <w:p>
      <w:pPr>
        <w:spacing w:after="0" w:before="0" w:line="240"/>
        <w:ind w:left="567" w:right="567"/>
      </w:pPr>
      <w:r>
        <w:rPr>
          <w:rFonts w:ascii="Calibri" w:cs="Calibri" w:eastAsia="Calibri" w:hAnsi="Calibri"/>
          <w:b w:val="false"/>
          <w:bCs w:val="false"/>
          <w:i w:val="false"/>
          <w:iCs w:val="false"/>
          <w:color w:val="000000"/>
          <w:sz w:val="28"/>
          <w:szCs w:val="28"/>
        </w:rPr>
        <w:t xml:space="preserve">Where, on a transfer of property, an interest therein is created in favour of a person to take effect only upon the happening or non-happening of a specified uncertain event, such person thereby acquires a contingent interest in the property. Such interest becomes a vested interest, in the case of the happening of the event, upon its happening, and in the case of the non-happening of the event, when it becomes certain that the event cannot happen.</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A contingent interest is one that depends upon the occurrence or non-occurrence of a specified uncertain event. Until the contingency is fulfilled, no vested right arises. Ownership itself remains uncertain. For example, if A transfers property to B if B becomes a doctor, ownership passes only if and when B obtains the medical degree. Contingent interests have the following characteristics: ownership depends upon uncertainty; there is no immediate proprietary right; the interest may never vest if the contingency fails; and transferability is conditional upon the contingency. The defining characteristic is uncertainty. Marriage, passing an examination, surviving a particular person, and qualifying for a profession are examples of uncertain events. Contingent interests do become vested upon fulfilment of the contingency or when it becomes certain the event cannot happen.</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5. sections 22–24</w:t>
      </w:r>
    </w:p>
    <w:p>
      <w:pPr>
        <w:spacing w:after="0" w:before="0" w:line="240"/>
        <w:ind w:left="567" w:right="567"/>
      </w:pPr>
      <w:r>
        <w:rPr>
          <w:rFonts w:ascii="Calibri" w:cs="Calibri" w:eastAsia="Calibri" w:hAnsi="Calibri"/>
          <w:b/>
          <w:bCs/>
          <w:color w:val="000000"/>
          <w:sz w:val="28"/>
          <w:szCs w:val="28"/>
        </w:rPr>
        <w:t xml:space="preserve">Section 22 – transfer to members of a class</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22 applies where property is transferred to a class of persons and the interest depends upon members of that class satisfying a specified condition. Only those members who fulfil the condition acquire the interest; the others take nothing. For example, a transfer to the children of B who attain the age of 25 years operates only in favour of those children who actually reach 25 years.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Section 23 – transfer contingent on uncertain event</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23 deals with transfers dependent upon an uncertain future event. If the event never happens, no interest ever arises. For example, a transfer to B if B marries C takes effect only if the marriage occurs; if the marriage never takes place, B acquires no interest in the property.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Section 24 – transfer to survivors</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24 provides that where property is transferred to several persons depending upon survival, only those surviving the specified person or event acquire the property. For example, a transfer to such of C's children as survive B operates only in favour of those children who are alive when B dies.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Comparison of vested interest and contingent interest</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Vested interest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Contingent interest</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Relevant section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19</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21</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Nature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Present/immediate ownership</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Conditional ownership</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Depends on uncertain event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Yes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Ownership</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Acquired immediately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Acquired only upon fulfilment of contingency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Enjoyment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May be postponed</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Depends on fulfilment of the contingency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Certainty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Certain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Uncertain</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Heritable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Yes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Conditional upon fulfilment</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Transferable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Yes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Generally transferable, subject to the contingency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Failure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Does not fail merely because holder dies before possession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Fails if contingency is not fulfilled</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Judicial preference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Favoured by courts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Less favoured</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6. relevant case laws</w:t>
      </w:r>
    </w:p>
    <w:p>
      <w:pPr>
        <w:spacing w:after="0" w:before="0" w:line="240"/>
        <w:ind w:left="567" w:right="567"/>
      </w:pPr>
      <w:r>
        <w:rPr>
          <w:rFonts w:ascii="Calibri" w:cs="Calibri" w:eastAsia="Calibri" w:hAnsi="Calibri"/>
          <w:b/>
          <w:bCs/>
          <w:color w:val="000000"/>
          <w:sz w:val="28"/>
          <w:szCs w:val="28"/>
        </w:rPr>
        <w:t xml:space="preserve">Lachman Singh v. Kirpa Singh</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(1987) 2 SCC 547</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arose from a family settlement in which property was transferred subject to certain future events, and the question was whether the beneficiary acquired an immediate vested interest or only a contingent one.</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the interest created under the settlement vested immediately or depended upon fulfilment of a condition.</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where the transfer indicates an immediate intention to confer ownership and postpones only possession, the interest is vested. The mere postponement of enjoyment does not convert a vested interest into a contingent interest. The Court reaffirmed that the law favours vested interests unless a contrary intention clearly appears from the instrument.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Ardeshir H. Mama v. Flora Sassoon</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1928 PC 208</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A settlement created future interests in favour of certain beneficiaries, and a dispute arose as to whether those interests had vested immediately or remained contingent.</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postponement of possession amounts to postponement of vesting.</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Privy Council distinguished between vesting and enjoyment and held that ownership may vest immediately even though possession is postponed. The interests were held to be vested. The case is one of the leading authorities explaining the distinction between vested and contingent interests, frequently cited in the interpretation of Sections 19 and 20.</w:t>
      </w:r>
    </w:p>
    <w:p>
      <w:pPr>
        <w:spacing w:after="0" w:before="0" w:line="240"/>
      </w:pPr>
      <w:r>
        <w:t xml:space="preserve"/>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Chapter v – conditional transfers (sections 25–34)</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A conditional transfer is one where the creation, continuation, or termination of an interest in property depends upon the occurrence or non-occurrence of a specified event. The conditions may postpone the vesting of the interest until a condition is fulfilled, or may bring an already vested interest to an end upon the occurrence of a specified event. Conditional transfers are frequently encountered in family settlements, marriage settlements, gifts, trusts, and religious endowments. The law allows reasonable conditions but prohibits conditions that are impossible, illegal, immoral, fraudulent, uncertain, or opposed to public policy.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2. condition precedent – section 25</w:t>
      </w:r>
    </w:p>
    <w:p>
      <w:pPr>
        <w:spacing w:after="0" w:before="0" w:line="240"/>
        <w:ind w:left="567" w:right="567"/>
      </w:pPr>
      <w:r>
        <w:rPr>
          <w:rFonts w:ascii="Calibri" w:cs="Calibri" w:eastAsia="Calibri" w:hAnsi="Calibri"/>
          <w:b/>
          <w:bCs/>
          <w:color w:val="000000"/>
          <w:sz w:val="28"/>
          <w:szCs w:val="28"/>
        </w:rPr>
        <w:t xml:space="preserve">Section 25 of the Transfer of Property Act, 1882 (Conditional transfer):</w:t>
      </w:r>
    </w:p>
    <w:p>
      <w:pPr>
        <w:spacing w:after="0" w:before="0" w:line="240"/>
        <w:ind w:left="567" w:right="567"/>
      </w:pPr>
      <w:r>
        <w:rPr>
          <w:rFonts w:ascii="Calibri" w:cs="Calibri" w:eastAsia="Calibri" w:hAnsi="Calibri"/>
          <w:b w:val="false"/>
          <w:bCs w:val="false"/>
          <w:i w:val="false"/>
          <w:iCs w:val="false"/>
          <w:color w:val="000000"/>
          <w:sz w:val="28"/>
          <w:szCs w:val="28"/>
        </w:rPr>
        <w:t xml:space="preserve">An interest created on a transfer of property and dependent upon a condition fails if the condition is not fulfilled, except in the following cases: – (a) where the condition is that the transferee shall take with him some benefit under the same transfer and does not fulfil the condition; (b) where the condition is that the transferee shall share with another certain benefits under the same transfer, and such other person does not take his share; (c) where the condition is subsequent and the breach thereof is made by the transferor himself or his agent.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25 governs conditions precedent — conditions that must be performed before the interest comes into existence. Where the condition is not fulfilled, no right passes to the transferee. The condition must be lawful, certain, and capable of performance; impossible, illegal, immoral, or fraudulent conditions are void. If the transferor himself prevents the performance of the condition, the condition is treated as fulfilled and the interest arises. For example, if A promises to transfer land to B if B marries X, but A forcibly prevents the marriage, A cannot rely on non-performance. The exceptions in the section relate to cases where the benefit and the condition are part of an integrated transaction and good faith requires the transfer to take effect even if the condition is not strictly fulfilled.</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3. types of conditions</w:t>
      </w:r>
    </w:p>
    <w:p>
      <w:pPr>
        <w:spacing w:after="0" w:before="0" w:line="240"/>
        <w:ind w:left="567" w:right="567"/>
      </w:pPr>
      <w:r>
        <w:rPr>
          <w:rFonts w:ascii="Calibri" w:cs="Calibri" w:eastAsia="Calibri" w:hAnsi="Calibri"/>
          <w:b/>
          <w:bCs/>
          <w:color w:val="000000"/>
          <w:sz w:val="28"/>
          <w:szCs w:val="28"/>
        </w:rPr>
        <w:t xml:space="preserve">Condition precedent</w:t>
      </w:r>
    </w:p>
    <w:p>
      <w:pPr>
        <w:spacing w:after="0" w:before="0" w:line="240"/>
        <w:ind w:left="567" w:right="567"/>
      </w:pPr>
      <w:r>
        <w:rPr>
          <w:rFonts w:ascii="Calibri" w:cs="Calibri" w:eastAsia="Calibri" w:hAnsi="Calibri"/>
          <w:b w:val="false"/>
          <w:bCs w:val="false"/>
          <w:i w:val="false"/>
          <w:iCs w:val="false"/>
          <w:color w:val="000000"/>
          <w:sz w:val="28"/>
          <w:szCs w:val="28"/>
        </w:rPr>
        <w:t xml:space="preserve">A condition precedent is one that must be performed before the interest vests. No ownership exists until fulfilment. It operates before vesting, delays creation of ownership, creates no immediate right, and non-performance defeats the transfer.</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Condition subsequent</w:t>
      </w:r>
    </w:p>
    <w:p>
      <w:pPr>
        <w:spacing w:after="0" w:before="0" w:line="240"/>
        <w:ind w:left="567" w:right="567"/>
      </w:pPr>
      <w:r>
        <w:rPr>
          <w:rFonts w:ascii="Calibri" w:cs="Calibri" w:eastAsia="Calibri" w:hAnsi="Calibri"/>
          <w:b w:val="false"/>
          <w:bCs w:val="false"/>
          <w:i w:val="false"/>
          <w:iCs w:val="false"/>
          <w:color w:val="000000"/>
          <w:sz w:val="28"/>
          <w:szCs w:val="28"/>
        </w:rPr>
        <w:t xml:space="preserve">A condition subsequent is one that operates after the interest has already vested. Ownership exists immediately but may later be defeated if the condition is breached. It operates after vesting and non-performance may divest the existing ownership.</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Collateral condition</w:t>
      </w:r>
    </w:p>
    <w:p>
      <w:pPr>
        <w:spacing w:after="0" w:before="0" w:line="240"/>
        <w:ind w:left="567" w:right="567"/>
      </w:pPr>
      <w:r>
        <w:rPr>
          <w:rFonts w:ascii="Calibri" w:cs="Calibri" w:eastAsia="Calibri" w:hAnsi="Calibri"/>
          <w:b w:val="false"/>
          <w:bCs w:val="false"/>
          <w:i w:val="false"/>
          <w:iCs w:val="false"/>
          <w:color w:val="000000"/>
          <w:sz w:val="28"/>
          <w:szCs w:val="28"/>
        </w:rPr>
        <w:t xml:space="preserve">A collateral condition is one that is independent of the transfer itself. It neither creates nor destroys ownership directly but regulates an external obligation. For example, a condition that the transferee shall maintain the transferor's parents is a collateral condition. Ownership passes immediately, and the obligation remains personal.</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Comparison of conditions</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2526"/>
        <w:gridCol w:w="2526"/>
        <w:gridCol w:w="2526"/>
        <w:gridCol w:w="2526"/>
      </w:tblGrid>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Condition precedent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Condition subsequent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Collateral condition</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Time of operation</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Before transfer takes effect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After transfer takes effect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Independent</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Effect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Creates ownership</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Terminates ownership</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Creates obligation</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Ownership</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Delayed</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Immediate</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Immediate</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Failure</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 transfer</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defeated</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Personal consequences</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4. sections 27–34 in brief</w:t>
      </w:r>
    </w:p>
    <w:p>
      <w:pPr>
        <w:spacing w:after="0" w:before="0" w:line="240"/>
        <w:ind w:left="567" w:right="567"/>
      </w:pPr>
      <w:r>
        <w:rPr>
          <w:rFonts w:ascii="Calibri" w:cs="Calibri" w:eastAsia="Calibri" w:hAnsi="Calibri"/>
          <w:b/>
          <w:bCs/>
          <w:color w:val="000000"/>
          <w:sz w:val="28"/>
          <w:szCs w:val="28"/>
        </w:rPr>
        <w:t xml:space="preserve">Section 27 – conditional transfer on happening or non-happening of specified event</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27 recognises the validity of transfers made conditional upon the happening or non-happening of a specified uncertain event, provided the event is lawful and capable of occurring. The interest depends upon the specified contingency and becomes effective upon its occurrence or non-occurrence.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Section 28 – ulterior transfer conditional on specified event</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28 deals with ulterior transfers — secondary or subsequent transfers intended to take effect after the first transfer upon the occurrence or non-occurrence of a specified uncertain event. For example, if A transfers property to B with a provision that if B dies without children the property shall pass to C, C's interest is an ulterior transfer valid under Section 28 if the condition is lawful and capable of fulfilment.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Section 29 – ulterior transfer unconditional</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29 recognises that an ulterior transfer which is independent of an invalid prior disposition may survive and take effect on its own, provided it does not itself offend any provision of the Act. This reflects the doctrine of severability — preserving the transferor's intention wherever possible.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Section 30 – prior disposition not affected by invalid ulterior disposition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30 provides that the invalidity of a later transfer does not invalidate an earlier valid transfer. The valid portion of the transfer is preserved and only the offending clause is disregarded. For example, if A transfers property to B absolutely and thereafter to C upon an impossible condition, B's transfer remains valid even though C's interest fails.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Sections 31–34 – performance and non-performance of acts</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31 governs transfers dependent upon the performance of a positive act; Section 32 governs transfers dependent upon the non-performance of an act; Section 33 applies where performance of an act is required but no time is specified (performance must then occur within a reasonable time); and Section 34 applies where non-performance is the condition but no time is specified (the matter is determined according to the intention of the parties and surrounding circumstances). Courts prefer constructions that uphold rather than defeat a transfer.</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5. doctrine of acceleration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Doctrine of Acceleration means that where a prior interest fails, the subsequent vested interest takes effect immediately instead of waiting for the expiry of the earlier interest. The doctrine is based on the principle that the law favours the earliest possible vesting of property. For example, if A transfers property to B for life and thereafter to C, and B disclaims the life interest, C's interest accelerates and C immediately becomes entitled. The doctrine applies where the prior holder renounces, dies before vesting, or the earlier estate becomes impossible, unless the transferor intended otherwise.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6. relevant case laws</w:t>
      </w:r>
    </w:p>
    <w:p>
      <w:pPr>
        <w:spacing w:after="0" w:before="0" w:line="240"/>
        <w:ind w:left="567" w:right="567"/>
      </w:pPr>
      <w:r>
        <w:rPr>
          <w:rFonts w:ascii="Calibri" w:cs="Calibri" w:eastAsia="Calibri" w:hAnsi="Calibri"/>
          <w:b/>
          <w:bCs/>
          <w:color w:val="000000"/>
          <w:sz w:val="28"/>
          <w:szCs w:val="28"/>
        </w:rPr>
        <w:t xml:space="preserve">Tagore v. Tagore</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(1872) LR IA Supp 47</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testator attempted to create new forms of estate and imposed several conditions regulating the future enjoyment and devolution of the property, attempting to bind future generations in a manner not recognised by law.</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a transferor can create new estates unknown to law, and whether conditions attached to such estates were valid.</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Privy Council held that a transferor cannot create estates or conditions unknown to law. Conditions attached to transfers must conform to established legal principles and statutory provisions. The settlement was held invalid to the extent it created impermissible estates and conditions, laying the foundation for the modern law governing conditional transfers.</w:t>
      </w:r>
    </w:p>
    <w:p>
      <w:pPr>
        <w:spacing w:after="0" w:before="0" w:line="240"/>
      </w:pPr>
      <w:r>
        <w:t xml:space="preserve"/>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Chapter vi – doctrine of election (section 35)</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Doctrine of Election is one of the most equitable doctrines incorporated in the Transfer of Property Act, 1882. It is embodied in Section 35 and is founded upon the equitable maxim "He who accepts a benefit under an instrument must also bear its burden." The doctrine prevents a person from approbating and reprobating — from accepting those parts of a transaction that are beneficial while rejecting those that impose obligations. It originated in English equity and was incorporated into Indian law through Section 35 to ensure fairness and consistency in property transactions.</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doctrine generally applies where a person purports to transfer property belonging to another while simultaneously conferring a benefit upon the true owner under the same instrument. The true owner cannot both retain his property and enjoy the benefit conferred. He must elect either to confirm the transfer or to dissent from it and surrender the benefit. The jurisprudential basis includes the maxims "Qui approbat non reprobat" (one who approbates cannot reprobate) and the principle that equity prevents a party from taking contradictory positions regarding the same transaction.</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2. doctrine of election – section 35</w:t>
      </w:r>
    </w:p>
    <w:p>
      <w:pPr>
        <w:spacing w:after="0" w:before="0" w:line="240"/>
        <w:ind w:left="567" w:right="567"/>
      </w:pPr>
      <w:r>
        <w:rPr>
          <w:rFonts w:ascii="Calibri" w:cs="Calibri" w:eastAsia="Calibri" w:hAnsi="Calibri"/>
          <w:b/>
          <w:bCs/>
          <w:color w:val="000000"/>
          <w:sz w:val="28"/>
          <w:szCs w:val="28"/>
        </w:rPr>
        <w:t xml:space="preserve">Section 35 of the Transfer of Property Act, 1882 (Election when necessary):</w:t>
      </w:r>
    </w:p>
    <w:p>
      <w:pPr>
        <w:spacing w:after="0" w:before="0" w:line="240"/>
        <w:ind w:left="567" w:right="567"/>
      </w:pPr>
      <w:r>
        <w:rPr>
          <w:rFonts w:ascii="Calibri" w:cs="Calibri" w:eastAsia="Calibri" w:hAnsi="Calibri"/>
          <w:b w:val="false"/>
          <w:bCs w:val="false"/>
          <w:i w:val="false"/>
          <w:iCs w:val="false"/>
          <w:color w:val="000000"/>
          <w:sz w:val="28"/>
          <w:szCs w:val="28"/>
        </w:rPr>
        <w:t xml:space="preserve">Where a person professes to transfer property which he has no right to transfer, and as part of the same transaction confers any benefit on the owner of the property, such owner must elect either to confirm such transfer or to dissent from it; and in the latter case he shall relinquish the benefit so conferred, and the benefit so relinquished shall revert to the transferor or his representative as if it had not been disposed of, subject, nevertheless, where the election is dissent, to the provisions hereinafter contained. Where the owner of the property, having knowledge of his duty to elect and of the circumstances creating that duty, does any act which renders it impossible for him, or persons claiming through him, to restore the things received as such benefit to the state in which they were at the time of the transfer, he is deemed to have elected to confirm the transfer. If he does not within one year from the date of the knowledge aforesaid signify to the transferor or his representative his intention to dissent, he shall be deemed to have elected to confirm the transfer. Where a person is under a disability, the period of one year shall not begin to run until the disability has ceased, or until it appears that the election might have been made without injustice to the person under disability. Where the transfer is gratuitous and the transferor has, before the election, died or otherwise become incapable of making a fresh transfer, and the transferee has in the meantime entered into possession of the property transferred, and where the transferor would have been unable, if he had remained alive and capable, to recover the property, the transferee, though he has elected to dissent, is not entitled to recover the value of the property transferred to him.</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35 operates when all of the following conditions coexist: the transferor professes to transfer property over which he has no legal authority; the property actually belongs to another person; the true owner receives a benefit under the same transaction; and the benefit and the burden both arise from the same instrument. The section requires the true owner to make an election — to confirm the transfer and retain the benefit, or to dissent and return the benefit while retaining the original property. Election may be express (clearly communicated by declaration or document) or implied (inferred from conduct, such as accepting and dealing with the benefit with full knowledge). Where the owner, with full knowledge of the transfer and his obligation, does any act rendering it impossible to restore the benefit to its original state, he is deemed to have elected to confirm. Silence for one year after a demand by the transferor or his representative is also treated as deemed confirmation. Election must be free, informed, and voluntary — election obtained through fraud, coercion, or undue influence is invalid. A minor cannot ordinarily make a binding election during minority. Where the owner dissents, the disappointed transferee may in certain circumstances receive compensation out of the benefit relinquished, particularly where the transfer was gratuitous and the transferor has died or become incapable.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Essential conditions for the doctrine of election</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5053"/>
        <w:gridCol w:w="5053"/>
      </w:tblGrid>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Requirement</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Explanation</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of another's property</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Transferor lacks title or right to transfer</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Property belongs to another</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True owner must be identifiable</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Benefit conferred</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Benefit given to the true owner under the same transaction</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Same instrument</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and benefit must arise from one composite instrument</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Intention</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Transferor intended both to be part of one composite arrangement</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Capacity</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Owner must be legally competent to elect</w:t>
            </w:r>
          </w:p>
        </w:tc>
      </w:tr>
      <w:tr>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Free choice</w:t>
            </w:r>
          </w:p>
        </w:tc>
        <w:tc>
          <w:tcPr>
            <w:tcW w:type="dxa" w:w="5053"/>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Election must be voluntary and free from fraud</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Distinction between election, estoppel, and waiver</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2526"/>
        <w:gridCol w:w="2526"/>
        <w:gridCol w:w="2526"/>
        <w:gridCol w:w="2526"/>
      </w:tblGrid>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Election</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Estoppel</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Waiver</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Foundation</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Equity — benefit and burden under same instrument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Representation relied upon by another party</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Voluntary abandonment of a known right</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Governed by</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35 of the Transfer of Property Act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Indian Evidence Act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General legal doctrine</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Subject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Choice between inconsistent rights</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Prevents denial of previous representation</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May involve only one right</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Requirement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Two alternative and inconsistent rights</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Reliance and alteration of position</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Intentional relinquishment</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3. relevant case laws</w:t>
      </w:r>
    </w:p>
    <w:p>
      <w:pPr>
        <w:spacing w:after="0" w:before="0" w:line="240"/>
        <w:ind w:left="567" w:right="567"/>
      </w:pPr>
      <w:r>
        <w:rPr>
          <w:rFonts w:ascii="Calibri" w:cs="Calibri" w:eastAsia="Calibri" w:hAnsi="Calibri"/>
          <w:b/>
          <w:bCs/>
          <w:color w:val="000000"/>
          <w:sz w:val="28"/>
          <w:szCs w:val="28"/>
        </w:rPr>
        <w:t xml:space="preserve">Cooper v. Cooper</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(1874) LR 7 HL 53</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A person purported to dispose of property not belonging to him while simultaneously conferring benefits upon the true owner under the same instrument. The owner accepted the benefits but later attempted to reclaim the property.</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a person can accept benefits under an instrument while rejecting the obligations imposed by the same instrument.</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House of Lords held that a person cannot both approbate and reprobate. Acceptance of benefits under the same instrument amounts to confirmation of the transaction. The owner, having accepted the benefits, was bound by the transfer. This case is one of the classic authorities on the Doctrine of Election.</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Codrington v. Codrington</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(1875) LR 7 HL 854</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A settlement transferred property belonging to another person and simultaneously granted valuable benefits to that owner.</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the owner could retain both the property and the benefit.</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House of Lords held that equity does not permit a person to claim inconsistent rights under the same instrument. The owner was required to elect between the property and the benefit. The decision strengthened the equitable basis of the Doctrine of Election.</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 Beepathuma v. V. S. Kadambolithaya</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1965 SC 241</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concerned inconsistent claims made by a party under the same legal transaction.</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a party could accept one part of a transaction while rejecting another.</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emphasised that a person cannot blow hot and cold or approbate and reprobate in relation to the same transaction. The Court refused to permit the party to adopt inconsistent positions, reinforcing the maxim that one cannot both accept and reject the same instrument.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Shambhu Nath v. Pushkar Nath</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1969 All 201</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related to the transfer of property under a family arrangement where benefits had been accepted by one of the parties.</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acceptance of benefits constituted election under Section 35.</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Allahabad High Court held that where a person knowingly accepts benefits arising under the same transaction, he cannot subsequently challenge the corresponding burden. The conduct of the party amounted to an implied election, and the case highlights the importance of knowledge and conduct in determining implied election.</w:t>
      </w:r>
    </w:p>
    <w:p>
      <w:pPr>
        <w:spacing w:after="0" w:before="0" w:line="240"/>
      </w:pPr>
      <w:r>
        <w:t xml:space="preserve"/>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Chapter vii – doctrine of apportionment (sections 36 and 37)</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1. introduction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Doctrine of Apportionment is embodied in Sections 36 and 37 of the Transfer of Property Act, 1882. The doctrine determines how periodic benefits and obligations attached to property are to be divided when the ownership or enjoyment of the property changes. In property transactions, property often yields recurring income such as rent, lease money, annuities, royalties, or interest. When ownership changes during the period for which income accrues, a question arises as to who is entitled to receive the income and in what proportion. The doctrine answers this question and is based on the principle of fairness and equity — ensuring that every person receives income or bears liability proportionate to the period or extent of his ownership.</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doctrine originated in English common law and was adopted by the Indian legislature in Sections 36 and 37 with modifications suited to Indian conditions. It recognises two forms: apportionment by time under Section 36, and apportionment by estate under Section 37.</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2. apportionment by time – section 36</w:t>
      </w:r>
    </w:p>
    <w:p>
      <w:pPr>
        <w:spacing w:after="0" w:before="0" w:line="240"/>
        <w:ind w:left="567" w:right="567"/>
      </w:pPr>
      <w:r>
        <w:rPr>
          <w:rFonts w:ascii="Calibri" w:cs="Calibri" w:eastAsia="Calibri" w:hAnsi="Calibri"/>
          <w:b/>
          <w:bCs/>
          <w:color w:val="000000"/>
          <w:sz w:val="28"/>
          <w:szCs w:val="28"/>
        </w:rPr>
        <w:t xml:space="preserve">Section 36 of the Transfer of Property Act, 1882 (Apportionment of periodical payments on determination of interest of person entitled):</w:t>
      </w:r>
    </w:p>
    <w:p>
      <w:pPr>
        <w:spacing w:after="0" w:before="0" w:line="240"/>
        <w:ind w:left="567" w:right="567"/>
      </w:pPr>
      <w:r>
        <w:rPr>
          <w:rFonts w:ascii="Calibri" w:cs="Calibri" w:eastAsia="Calibri" w:hAnsi="Calibri"/>
          <w:b w:val="false"/>
          <w:bCs w:val="false"/>
          <w:i w:val="false"/>
          <w:iCs w:val="false"/>
          <w:color w:val="000000"/>
          <w:sz w:val="28"/>
          <w:szCs w:val="28"/>
        </w:rPr>
        <w:t xml:space="preserve">In the absence of a contract or local usage to the contrary, all rents, annuities, pensions, dividends and other periodical payments in the nature of income shall, upon the determination of the interest of the person entitled to receive them as such, be held to accrue from day to day, and shall be apportioned accordingly upon a transfer of the interest of the person entitled to receive them.</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36 embodies the principle of apportionment by time. Recurring income is treated as accruing from day to day, though it may become payable only on a specified future date. Where ownership changes during the relevant period, the income is divided proportionately between the transferor and the transferee according to the duration of their respective ownership. The section applies to rents, annuities, pensions, dividends, royalties, and other periodical payments in the nature of income. It does not alter contractual due dates but merely regulates the distribution of income between transferor and transferee. The section applies in the absence of a contrary contract or local usage. If the parties agree to a different arrangement, or if an established local custom provides otherwise, Section 36 is displaced. For example, if A owns a house generating annual rent of Rs 1,20,000 and sells it to B after four months, A is entitled to Rs 40,000 and B to Rs 80,000 for the relevant year.</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3. apportionment by estate – section 37</w:t>
      </w:r>
    </w:p>
    <w:p>
      <w:pPr>
        <w:spacing w:after="0" w:before="0" w:line="240"/>
        <w:ind w:left="567" w:right="567"/>
      </w:pPr>
      <w:r>
        <w:rPr>
          <w:rFonts w:ascii="Calibri" w:cs="Calibri" w:eastAsia="Calibri" w:hAnsi="Calibri"/>
          <w:b/>
          <w:bCs/>
          <w:color w:val="000000"/>
          <w:sz w:val="28"/>
          <w:szCs w:val="28"/>
        </w:rPr>
        <w:t xml:space="preserve">Section 37 of the Transfer of Property Act, 1882 (Apportionment of benefit of obligation on severance of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When, in consequence of the transfer of immovable property, the property is held in two or more shares by different persons, the benefit of the covenants and obligations annexed thereto shall, in the absence of a contract to the contrary, be apportioned between those shares according to the respective interests of the several holders thereof. No one of them shall be entitled to sue for the whole of the benefit in respect of the property without joining the others as parties.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Explanation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37 deals with apportionment by estate — the distribution of rights, benefits, liabilities, and obligations according to the proportion of ownership held by different persons after a transfer or partition. Unlike Section 36 which divides income according to time, Section 37 divides according to the extent of ownership. For example, if A owns 100 acres and transfers 40 acres to B and retains 60 acres, a lease rent of Rs 10,00,000 is distributed as Rs 4,00,000 to B and Rs 6,00,000 to A. Section 37 ensures equitable distribution among co-owners, maintains continuity of contractual obligations, and prevents disputes after partition. It applies unless parties agree to a different arrangement.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Distinction between Section 36 (apportionment by time) and Section 37 (apportionment by estate)</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Basis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36 – Apportionment by time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 37 – Apportionment by estate</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Basis of division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Duration of ownership (time)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Extent of ownership (proprietary share)</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Persons concerned</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Transferor and transferee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Co-owners or persons holding divided estates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Subject matter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Recurring periodical income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Rights and obligations attached to property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Property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Usually remains intact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Divided into separate shares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Principle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Daily accrual of income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Proportionate proprietary interest</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Example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Annual rent apportioned on sale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Division of rent after partition</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4. relevant case laws</w:t>
      </w:r>
    </w:p>
    <w:p>
      <w:pPr>
        <w:spacing w:after="0" w:before="0" w:line="240"/>
        <w:ind w:left="567" w:right="567"/>
      </w:pPr>
      <w:r>
        <w:rPr>
          <w:rFonts w:ascii="Calibri" w:cs="Calibri" w:eastAsia="Calibri" w:hAnsi="Calibri"/>
          <w:b/>
          <w:bCs/>
          <w:color w:val="000000"/>
          <w:sz w:val="28"/>
          <w:szCs w:val="28"/>
        </w:rPr>
        <w:t xml:space="preserve">Hari Krishna Das v. Narottam Das</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1918 Cal 402</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A dispute arose regarding the apportionment of rent after the transfer of leased property during the currency of the lease. Both the transferor and transferee claimed entitlement to the rent payable at the end of the lease period.</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rent should be divided between transferor and transferee according to duration of ownership, and whether Section 36 applies to recurring rent.</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Calcutta High Court held that rent accruing periodically is deemed to accrue from day to day and must be apportioned between transferor and transferee according to the period during which each held the property. The case established that Section 36 modifies the rigid common law rule by introducing the equitable principle of daily accrual of recurring income.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Keshavlal Lallubhai Patel v. Lalbhai Trikumlal Mills Ltd.</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1958 SC 512</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concerned rights and obligations attached to immovable property after the transfer of proprietary interests.</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Whether benefits and liabilities connected with transferred property should follow the ownership of the property.</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emphasised that rights annexed to immovable property ordinarily pass with the property unless excluded by law or agreement. Equitable distribution should be preferred wherever the statute so provides, and the case reinforces the principle that benefits attached to property ordinarily accompany ownership.</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Raja Brijraj Krishna v. Shaw Brothers</w:t>
      </w:r>
    </w:p>
    <w:p>
      <w:pPr>
        <w:spacing w:after="0" w:before="0" w:line="240"/>
        <w:ind w:left="567" w:right="567"/>
      </w:pPr>
      <w:r>
        <w:rPr>
          <w:rFonts w:ascii="Calibri" w:cs="Calibri" w:eastAsia="Calibri" w:hAnsi="Calibri"/>
          <w:b/>
          <w:bCs/>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1951 SC 115</w:t>
      </w:r>
    </w:p>
    <w:p>
      <w:pPr>
        <w:spacing w:after="0" w:before="0" w:line="240"/>
        <w:ind w:left="567" w:right="567"/>
      </w:pPr>
      <w:r>
        <w:rPr>
          <w:rFonts w:ascii="Calibri" w:cs="Calibri" w:eastAsia="Calibri" w:hAnsi="Calibri"/>
          <w:b/>
          <w:bCs/>
          <w:color w:val="000000"/>
          <w:sz w:val="28"/>
          <w:szCs w:val="28"/>
        </w:rPr>
        <w:t xml:space="preserve">Facts: </w:t>
      </w:r>
      <w:r>
        <w:rPr>
          <w:rFonts w:ascii="Calibri" w:cs="Calibri" w:eastAsia="Calibri" w:hAnsi="Calibri"/>
          <w:b w:val="false"/>
          <w:bCs w:val="false"/>
          <w:i w:val="false"/>
          <w:iCs w:val="false"/>
          <w:color w:val="000000"/>
          <w:sz w:val="28"/>
          <w:szCs w:val="28"/>
        </w:rPr>
        <w:t xml:space="preserve">The dispute related to the recovery of rent after the transfer of leased property, specifically who was entitled to recover rent after ownership had changed.</w:t>
      </w:r>
    </w:p>
    <w:p>
      <w:pPr>
        <w:spacing w:after="0" w:before="0" w:line="240"/>
        <w:ind w:left="567" w:right="567"/>
      </w:pPr>
      <w:r>
        <w:rPr>
          <w:rFonts w:ascii="Calibri" w:cs="Calibri" w:eastAsia="Calibri" w:hAnsi="Calibri"/>
          <w:b/>
          <w:bCs/>
          <w:color w:val="000000"/>
          <w:sz w:val="28"/>
          <w:szCs w:val="28"/>
        </w:rPr>
        <w:t xml:space="preserve">Issue: </w:t>
      </w:r>
      <w:r>
        <w:rPr>
          <w:rFonts w:ascii="Calibri" w:cs="Calibri" w:eastAsia="Calibri" w:hAnsi="Calibri"/>
          <w:b w:val="false"/>
          <w:bCs w:val="false"/>
          <w:i w:val="false"/>
          <w:iCs w:val="false"/>
          <w:color w:val="000000"/>
          <w:sz w:val="28"/>
          <w:szCs w:val="28"/>
        </w:rPr>
        <w:t xml:space="preserve">Who was entitled to recover rent accruing after the transfer of the property.</w:t>
      </w:r>
    </w:p>
    <w:p>
      <w:pPr>
        <w:spacing w:after="0" w:before="0" w:line="240"/>
        <w:ind w:left="567" w:right="567"/>
      </w:pPr>
      <w:r>
        <w:rPr>
          <w:rFonts w:ascii="Calibri" w:cs="Calibri" w:eastAsia="Calibri" w:hAnsi="Calibri"/>
          <w:b/>
          <w:bCs/>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transferee became entitled to recover rent accruing after the transfer. Rights relating to rent ordinarily pass with the transfer of ownership, subject to statutory provisions and contractual stipulations. The decision supports the principle that recurring income follows ownership, subject to the rule of apportionment.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5. conclusion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general principles relating to the transfer of property under Sections 10 to 37 of the Transfer of Property Act, 1882 collectively constitute a comprehensive framework governing the manner in which property interests may be created, transferred, and enforced. Section 10 ensures that absolute ownership remains freely alienable by voiding absolute restraints on transfer. Section 11 preserves the full incidents of ownership by ignoring directions inconsistent with absolute ownership. Sections 13 and 20 create a carefully constructed mechanism for transfers to unborn persons, ensuring continuity of ownership and protecting the interests of future generations. Section 14 enforces the Rule Against Perpetuity, keeping property freely marketable across generations. Section 16 prevents indirect circumvention of Sections 13 and 14 by invalidating dependent future interests. Sections 19 to 24 define vested and contingent interests and regulate the acquisition of future proprietary rights, with the law consistently favouring vested interests to promote certainty. Sections 25 to 34 govern conditional transfers, permitting lawful conditions while prohibiting impossible, illegal, or contrary to public policy conditions. Section 35 embodies the Doctrine of Election, requiring a person to choose between inconsistent rights arising from the same instrument. Sections 36 and 37 implement the Doctrine of Apportionment, ensuring equitable distribution of periodical income and property-related obligations.</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As Poonam Pradhan Saxena observes, these provisions reflect the legislative policy of balancing the freedom of disposition enjoyed by property owners with the requirements of certainty, fairness, and public policy. Judicial decisions from the Privy Council and the Supreme Court of India have consistently interpreted these provisions in light of their equitable foundations, ensuring that property remains freely transferable, ownership remains certain, and transactions remain fair and transparent.</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Additional chapter – essential conditions of a valid transfer under sections 5–9</w:t>
      </w:r>
    </w:p>
    <w:p>
      <w:pPr>
        <w:spacing w:after="0" w:before="0" w:line="240"/>
        <w:ind w:left="567" w:right="567"/>
      </w:pPr>
      <w:r>
        <w:rPr>
          <w:rFonts w:ascii="Calibri" w:cs="Calibri" w:eastAsia="Calibri" w:hAnsi="Calibri"/>
          <w:b w:val="false"/>
          <w:bCs w:val="false"/>
          <w:i w:val="false"/>
          <w:iCs w:val="false"/>
          <w:color w:val="000000"/>
          <w:sz w:val="28"/>
          <w:szCs w:val="28"/>
        </w:rPr>
        <w:t xml:space="preserve">A valid transfer of property under the Transfer of Property Act, 1882 requires compliance with several cumulative conditions. These conditions ensure that transactions are lawful, certain, voluntary, and capable of enforcement. The following is a comprehensive analysis of the essential conditions.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I. competency of the transferor – section 7</w:t>
      </w:r>
    </w:p>
    <w:p>
      <w:pPr>
        <w:spacing w:after="0" w:before="0" w:line="240"/>
        <w:ind w:left="567" w:right="567"/>
      </w:pPr>
      <w:r>
        <w:rPr>
          <w:rFonts w:ascii="Calibri" w:cs="Calibri" w:eastAsia="Calibri" w:hAnsi="Calibri"/>
          <w:b w:val="false"/>
          <w:bCs w:val="false"/>
          <w:i w:val="false"/>
          <w:iCs w:val="false"/>
          <w:color w:val="000000"/>
          <w:sz w:val="28"/>
          <w:szCs w:val="28"/>
        </w:rPr>
        <w:t xml:space="preserve">The transferor must be competent to contract under the Indian Contract Act, 1872. He must have attained the age of majority, be of sound mind, and not be disqualified from contracting by any law. He must also be entitled to the transferable property or authorised to dispose of it. A minor's transfer is void; a person of unsound mind cannot make a valid transfer. A person acting under a validly executed power of attorney may transfer another's property within the limits of the authority conferred.</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Ii. competency of the transferee</w:t>
      </w:r>
    </w:p>
    <w:p>
      <w:pPr>
        <w:spacing w:after="0" w:before="0" w:line="240"/>
        <w:ind w:left="567" w:right="567"/>
      </w:pPr>
      <w:r>
        <w:rPr>
          <w:rFonts w:ascii="Calibri" w:cs="Calibri" w:eastAsia="Calibri" w:hAnsi="Calibri"/>
          <w:b w:val="false"/>
          <w:bCs w:val="false"/>
          <w:i w:val="false"/>
          <w:iCs w:val="false"/>
          <w:color w:val="000000"/>
          <w:sz w:val="28"/>
          <w:szCs w:val="28"/>
        </w:rPr>
        <w:t xml:space="preserve">Any person capable of holding property may be a transferee — including minors, companies, corporations, associations, idol trusts, and government bodies. Unlike the transferor, the transferee need not always be competent to contract. For example, a valid gift may be made to a minor. The transfer becomes complete when the minor's guardian accepts the gift on the minor's behalf.</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Iii. transferable property – section 6</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property must be legally transferable. Section 6 declares that property of every kind may be transferred except as otherwise provided. Non-transferable interests include spes successionis, a mere right of re-entry, an easement apart from dominant heritage, personal restricted interests, the right to future maintenance, a mere right to sue, public offices, government salaries before they become payable, and interests opposed to law or public policy. Transferable property includes land, buildings, easements, leasehold rights, mortgage interests, intellectual property rights, and actionable claims.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Iv. existence of property</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property must generally exist at the time of transfer. Existing property — property that already belongs to the transferor on the date of transfer — is immediately transferable. Future property, which does not exist or does not belong to the transferor on the date of transfer, cannot presently be transferred. An agreement to transfer future property may operate as a contract that becomes effective when the property comes into existence, but there is no present transfer.</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V. prescribed mode of transfer</w:t>
      </w:r>
    </w:p>
    <w:p>
      <w:pPr>
        <w:spacing w:after="0" w:before="0" w:line="240"/>
        <w:ind w:left="567" w:right="567"/>
      </w:pPr>
      <w:r>
        <w:rPr>
          <w:rFonts w:ascii="Calibri" w:cs="Calibri" w:eastAsia="Calibri" w:hAnsi="Calibri"/>
          <w:b w:val="false"/>
          <w:bCs w:val="false"/>
          <w:i w:val="false"/>
          <w:iCs w:val="false"/>
          <w:color w:val="000000"/>
          <w:sz w:val="28"/>
          <w:szCs w:val="28"/>
        </w:rPr>
        <w:t xml:space="preserve">Certain transfers require specific formalities. The sale of immovable property of value Rs 100 or more requires a registered instrument. A gift of immovable property requires a registered instrument attested by two witnesses. Simple mortgages and mortgages by conditional sale of immovable property require a registered instrument attested by two witnesses. Leases exceeding one year require registration. Failure to comply with the prescribed mode renders the transfer invalid or ineffective.</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Vi. lawful object and consideration</w:t>
      </w:r>
    </w:p>
    <w:p>
      <w:pPr>
        <w:spacing w:after="0" w:before="0" w:line="240"/>
        <w:ind w:left="567" w:right="567"/>
      </w:pPr>
      <w:r>
        <w:rPr>
          <w:rFonts w:ascii="Calibri" w:cs="Calibri" w:eastAsia="Calibri" w:hAnsi="Calibri"/>
          <w:b w:val="false"/>
          <w:bCs w:val="false"/>
          <w:i w:val="false"/>
          <w:iCs w:val="false"/>
          <w:color w:val="000000"/>
          <w:sz w:val="28"/>
          <w:szCs w:val="28"/>
        </w:rPr>
        <w:t xml:space="preserve">The object of transfer must not be illegal, fraudulent, immoral, or opposed to public policy. Transfers made with the object of defeating creditors, evading taxes, or facilitating illegal activities are voidable or void. Free consent of the parties is also essential — a transfer obtained by fraud, coercion, undue influence, or misrepresentation may be set aside under the principles of the Indian Contract Act, 1872.</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Vii. certainty of subject matter</w:t>
      </w:r>
    </w:p>
    <w:p>
      <w:pPr>
        <w:spacing w:after="0" w:before="0" w:line="240"/>
        <w:ind w:left="567" w:right="567"/>
      </w:pPr>
      <w:r>
        <w:rPr>
          <w:rFonts w:ascii="Calibri" w:cs="Calibri" w:eastAsia="Calibri" w:hAnsi="Calibri"/>
          <w:b w:val="false"/>
          <w:bCs w:val="false"/>
          <w:i w:val="false"/>
          <w:iCs w:val="false"/>
          <w:color w:val="000000"/>
          <w:sz w:val="28"/>
          <w:szCs w:val="28"/>
        </w:rPr>
        <w:t xml:space="preserve">The property to be transferred must be clearly and specifically identified. A transfer of "one of my lands" without further identification is void for uncertainty. However, a transfer of "Survey No. 25 situated in Village X, Tehsil Y, District Z" is valid because the property is ascertainable. The degree of certainty required depends upon the nature of the property and the transaction.</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Summary of essential conditions of a valid transfer</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Condition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Relevant section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Explanation</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Competent transferor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7</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Must be competent to contract and entitled or authorised to transfer</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Competent transferee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Sections 5 and 6</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Any person capable of holding property may receive it</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Transferable property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6</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Must be legally transferable; non-transferable interests excluded</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Existing proprietary interest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5</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must generally relate to existing property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Prescribed mode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Sections 5 and 9</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Writing, registration, and attestation where required</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Lawful object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Contract Act principles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 illegal, fraudulent, or opposed to public policy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Free consent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Contract Act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Not obtained by fraud, coercion, or undue influence</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Certainty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General principle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Property must be clearly identifiable</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Practical applications of the general principles</w:t>
      </w:r>
    </w:p>
    <w:p>
      <w:pPr>
        <w:spacing w:after="0" w:before="0" w:line="240"/>
        <w:ind w:left="567" w:right="567"/>
      </w:pPr>
      <w:r>
        <w:rPr>
          <w:rFonts w:ascii="Calibri" w:cs="Calibri" w:eastAsia="Calibri" w:hAnsi="Calibri"/>
          <w:b/>
          <w:bCs/>
          <w:color w:val="000000"/>
          <w:sz w:val="28"/>
          <w:szCs w:val="28"/>
        </w:rPr>
        <w:t xml:space="preserve">Application of section 10</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10 is frequently applied in family settlements and testamentary-type arrangements where the transferor attempts to restrict the transferee from selling family property. In several reported cases, Indian courts have voided clauses in sale deeds, gift deeds, and family settlement agreements that prohibited the recipient from ever selling or mortgaging the property. The courts invariably hold that such conditions, by destroying the power of alienation completely, are void under Section 10, while the transfer itself remains valid.</w:t>
      </w:r>
    </w:p>
    <w:p>
      <w:pPr>
        <w:spacing w:after="0" w:before="0" w:line="240"/>
      </w:pPr>
      <w:r>
        <w:t xml:space="preserve"/>
      </w:r>
    </w:p>
    <w:p>
      <w:pPr>
        <w:spacing w:after="0" w:before="0" w:line="240"/>
        <w:ind w:left="567" w:right="567"/>
      </w:pPr>
      <w:r>
        <w:rPr>
          <w:rFonts w:ascii="Calibri" w:cs="Calibri" w:eastAsia="Calibri" w:hAnsi="Calibri"/>
          <w:b w:val="false"/>
          <w:bCs w:val="false"/>
          <w:i w:val="false"/>
          <w:iCs w:val="false"/>
          <w:color w:val="000000"/>
          <w:sz w:val="28"/>
          <w:szCs w:val="28"/>
        </w:rPr>
        <w:t xml:space="preserve">The distinction between absolute and partial restraints has also been litigated extensively. A condition preventing transfer for a fixed period of ten years has been upheld as a partial restraint in certain circumstances. However, a condition that property shall never be sold to anyone outside the family has sometimes been treated as an absolute restraint if it practically destroys the power of alienation. The determining question is always whether the restraint substantially destroys the transferee's power to deal with the property.</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Application of section 13 in family settlements</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 13 is particularly important in the context of family settlements, trusts, and wills by analogy. Where a transferor wishes to benefit not only living members of the family but also future generations, Section 13 provides the mechanism. The property is first vested in a living person — for example, a life interest in favour of the transferor's spouse or sibling — and thereafter the absolute estate passes to the unborn child or grandchild upon birth. The critical requirement is that the unborn beneficiary must receive the entire residual estate; a limited interest (such as a life interest) given to the unborn beneficiary violates Section 13 and is void.</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Application of sections 14 and 16 together</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Sections 14 and 16 work in tandem to prevent perpetual settlements. Where a transfer satisfies Section 13 but the interest is so structured that vesting cannot occur within the permissible period (lives in being plus minority), Section 14 voids the remote future interest. Section 16 then invalidates every subsequent dependent interest, because the chain of future interests that depends upon the void prior interest cannot survive. The combined effect is that the transferor cannot tie up property for more than one generation into the future beyond what the law permits.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Application of sections 19 and 21 in practical transactions</w:t>
      </w:r>
    </w:p>
    <w:p>
      <w:pPr>
        <w:spacing w:after="0" w:before="0" w:line="240"/>
        <w:ind w:left="567" w:right="567"/>
      </w:pPr>
      <w:r>
        <w:rPr>
          <w:rFonts w:ascii="Calibri" w:cs="Calibri" w:eastAsia="Calibri" w:hAnsi="Calibri"/>
          <w:b w:val="false"/>
          <w:bCs w:val="false"/>
          <w:i w:val="false"/>
          <w:iCs w:val="false"/>
          <w:color w:val="000000"/>
          <w:sz w:val="28"/>
          <w:szCs w:val="28"/>
        </w:rPr>
        <w:t xml:space="preserve">In a typical family settlement, suppose A settles his ancestral property upon his wife W for her lifetime, and after W's death upon his son S absolutely. S has a vested interest immediately upon the execution of the settlement — ownership has vested though possession is postponed until W's death. If S dies before W, S's heirs inherit S's vested interest and upon W's death become entitled to possession. Contrast this with a settlement to S if S qualifies as a chartered accountant: here S has only a contingent interest, and if he never qualifies, the interest never vests.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Application of section 35 in testamentary and family contexts</w:t>
      </w:r>
    </w:p>
    <w:p>
      <w:pPr>
        <w:spacing w:after="0" w:before="0" w:line="240"/>
        <w:ind w:left="567" w:right="567"/>
      </w:pPr>
      <w:r>
        <w:rPr>
          <w:rFonts w:ascii="Calibri" w:cs="Calibri" w:eastAsia="Calibri" w:hAnsi="Calibri"/>
          <w:b w:val="false"/>
          <w:bCs w:val="false"/>
          <w:i w:val="false"/>
          <w:iCs w:val="false"/>
          <w:color w:val="000000"/>
          <w:sz w:val="28"/>
          <w:szCs w:val="28"/>
        </w:rPr>
        <w:t xml:space="preserve">The Doctrine of Election most frequently arises in the context of wills and family settlements where a person purports to bequeath or settle property belonging to another, while simultaneously conferring benefits upon the true owner. In several Indian cases, courts have applied the doctrine to wills made by Hindu undivided family managers, guardians, and karta (family manager), where they purported to dispose of joint family property along with separate personal property. The co-owners had to elect between confirming the disposition of joint family property (and accepting the personal benefits given to them) or retaining their rights in the joint family property and surrendering the personal benefits.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Application of sections 36 and 37 in commercial leases</w:t>
      </w:r>
    </w:p>
    <w:p>
      <w:pPr>
        <w:spacing w:after="0" w:before="0" w:line="240"/>
        <w:ind w:left="567" w:right="567"/>
      </w:pPr>
      <w:r>
        <w:rPr>
          <w:rFonts w:ascii="Calibri" w:cs="Calibri" w:eastAsia="Calibri" w:hAnsi="Calibri"/>
          <w:b w:val="false"/>
          <w:bCs w:val="false"/>
          <w:i w:val="false"/>
          <w:iCs w:val="false"/>
          <w:color w:val="000000"/>
          <w:sz w:val="28"/>
          <w:szCs w:val="28"/>
        </w:rPr>
        <w:t xml:space="preserve">Sections 36 and 37 are of great practical significance in commercial real estate transactions. When a commercial building that is subject to multiple tenancies is sold mid-year, Section 36 ensures that the rent for the relevant period is apportioned equitably between the seller and the buyer. The seller receives rent for the period during which he owned the property; the buyer receives rent for the balance. Without Section 36, the buyer might receive the entire year's rent even though he owned the property for only part of the year, which would be inequitable. Similarly, in partition cases involving joint family property, Section 37 ensures that rental income from jointly owned property is distributed among co-owners in proportion to their respective shares.</w:t>
      </w:r>
    </w:p>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Further comparative analysis</w:t>
      </w:r>
    </w:p>
    <w:p>
      <w:pPr>
        <w:spacing w:after="0" w:before="0" w:line="240"/>
        <w:ind w:left="567" w:right="567"/>
      </w:pPr>
      <w:r>
        <w:rPr>
          <w:rFonts w:ascii="Calibri" w:cs="Calibri" w:eastAsia="Calibri" w:hAnsi="Calibri"/>
          <w:b/>
          <w:bCs/>
          <w:color w:val="000000"/>
          <w:sz w:val="28"/>
          <w:szCs w:val="28"/>
        </w:rPr>
        <w:t xml:space="preserve">Comparison of conditional transfer types</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2526"/>
        <w:gridCol w:w="2526"/>
        <w:gridCol w:w="2526"/>
        <w:gridCol w:w="2526"/>
      </w:tblGrid>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Type</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Nature</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Example</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Condition precedent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25</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Before ownership arises</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"To B if B becomes an advocate"</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Condition subsequent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Sections 31–33</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After ownership may be defeated</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"To B, but if B opens a liquor shop, property reverts"</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Collateral condition</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General principle</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Independent obligation</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 shall maintain A's parents"</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Ulterior transfer</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28</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Future transfer after primary transfer</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"If B dies childless, property to C"</w:t>
            </w:r>
          </w:p>
        </w:tc>
      </w:tr>
      <w:tr>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Acceleration</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Judicial doctrine</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Earlier vesting on failure of prior interest</w:t>
            </w:r>
          </w:p>
        </w:tc>
        <w:tc>
          <w:tcPr>
            <w:tcW w:type="dxa" w:w="2526"/>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B's interest vests earlier when prior holder renounces</w:t>
            </w:r>
          </w:p>
        </w:tc>
      </w:tr>
    </w:tbl>
    <w:p>
      <w:pPr>
        <w:spacing w:after="0" w:before="0" w:line="240"/>
      </w:pPr>
      <w:r>
        <w:t xml:space="preserve"/>
      </w:r>
    </w:p>
    <w:p>
      <w:pPr>
        <w:spacing w:after="0" w:before="0" w:line="240"/>
        <w:ind w:left="567" w:right="567"/>
      </w:pPr>
      <w:r>
        <w:rPr>
          <w:rFonts w:ascii="Calibri" w:cs="Calibri" w:eastAsia="Calibri" w:hAnsi="Calibri"/>
          <w:b/>
          <w:bCs/>
          <w:color w:val="000000"/>
          <w:sz w:val="28"/>
          <w:szCs w:val="28"/>
        </w:rPr>
        <w:t xml:space="preserve">Overview of all Sections 10–37 discussed in this module</w:t>
      </w:r>
    </w:p>
    <w:p>
      <w:pPr>
        <w:spacing w:after="0" w:before="0" w:line="240"/>
      </w:pPr>
      <w:r>
        <w:t xml:space="preserve"/>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CellMar>
          <w:left w:type="dxa" w:w="900"/>
          <w:right w:type="dxa" w:w="900"/>
        </w:tblCellMar>
      </w:tblPr>
      <w:tblGrid>
        <w:gridCol w:w="3368"/>
        <w:gridCol w:w="3368"/>
        <w:gridCol w:w="3368"/>
      </w:tblGrid>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Section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Subject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bCs/>
                <w:color w:val="000000"/>
                <w:sz w:val="28"/>
                <w:szCs w:val="28"/>
              </w:rPr>
              <w:t xml:space="preserve">Key rule</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10</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Restraint on alienation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Absolute restraints are void; partial restraints may be valid</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11</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Restriction repugnant to interest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Directions on enjoyment inconsistent with absolute ownership are ignored</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13</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to unborn person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Prior interest + whole remaining interest; direct transfer to unborn is void</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14</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Rule against perpetuity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Vesting cannot be postponed beyond lives in being + minority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15</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to class</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Only eligible class members take under the transfer</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16</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Failure of prior interest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Dependent future interests also fail if prior interest is void</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19</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Vested interest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Immediate ownership; possession may be postponed</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20</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Interest of unborn person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Vests upon birth; enjoyment may be deferred</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21</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Contingent interest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Ownership depends on uncertain event</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Sections 22–24</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Class, uncertain event, survivorship</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Regulates conditional class and survival interests</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25</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Condition precedent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Ownership arises only on fulfilment of condition</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27</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Conditional transfer on event</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Transfer depends on happening or non-happening of uncertain event</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28</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Ulterior transfer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Secondary transfer operative on specified contingency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29</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Independent ulterior transfer</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May survive failure of prior disposition</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30</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Severability</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Valid prior transfer unaffected by invalid ulterior limitation</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Sections 31–34</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Performance, non-performance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Ownership depends on performance or omission; reasonable time where unspecified</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35</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Doctrine of election</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Cannot approbate and reprobate; must choose between benefit and property</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36</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Apportionment by time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Recurring income apportioned according to period of ownership</w:t>
            </w:r>
          </w:p>
        </w:tc>
      </w:tr>
      <w:tr>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Section 37</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Apportionment by estate</w:t>
            </w:r>
          </w:p>
        </w:tc>
        <w:tc>
          <w:tcPr>
            <w:tcW w:type="dxa" w:w="3368"/>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0" w:before="0" w:line="240"/>
            </w:pPr>
            <w:r>
              <w:rPr>
                <w:rFonts w:ascii="Calibri" w:cs="Calibri" w:eastAsia="Calibri" w:hAnsi="Calibri"/>
                <w:b w:val="false"/>
                <w:bCs w:val="false"/>
                <w:color w:val="000000"/>
                <w:sz w:val="28"/>
                <w:szCs w:val="28"/>
              </w:rPr>
              <w:t xml:space="preserve">Rights and liabilities apportioned according to extent of ownership</w:t>
            </w:r>
          </w:p>
        </w:tc>
      </w:tr>
    </w:tbl>
    <w:p>
      <w:pPr>
        <w:spacing w:after="0" w:before="0" w:line="24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2026-06-27T06:51:48.809Z</dcterms:created>
  <dcterms:modified xsi:type="dcterms:W3CDTF">2026-06-27T06:51:48.810Z</dcterms:modified>
</cp:coreProperties>
</file>

<file path=docProps/custom.xml><?xml version="1.0" encoding="utf-8"?>
<Properties xmlns="http://schemas.openxmlformats.org/officeDocument/2006/custom-properties" xmlns:vt="http://schemas.openxmlformats.org/officeDocument/2006/docPropsVTypes"/>
</file>