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ind w:left="567" w:right="567"/>
        <w:jc w:val="center"/>
      </w:pPr>
      <w:r>
        <w:rPr>
          <w:rFonts w:ascii="Calibri" w:cs="Calibri" w:eastAsia="Calibri" w:hAnsi="Calibri"/>
          <w:b/>
          <w:bCs/>
          <w:color w:val="000000"/>
          <w:sz w:val="28"/>
          <w:szCs w:val="28"/>
        </w:rPr>
        <w:t xml:space="preserve">Module III – Equitable doctrines under the Transfer of Property Act, 1882</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Chapter i – ostensible owner (section 41), doctrine of holding out, section 43, and benami transactions</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1. introduction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The Transfer of Property Act, 1882 is one of the most important pieces of legislation governing the transfer of property in India. It lays down the legal principles regulating transfers of immovable property between living persons. Ordinarily, only the true owner of a property can transfer a valid title, and the Latin maxim "Nemo dat quod non habet" — no one can transfer a better title than he himself possesses — applies with full force. Therefore, if a person who is not the owner sells property, the buyer generally acquires no title.</w:t>
      </w:r>
    </w:p>
    <w:p>
      <w:pPr>
        <w:spacing w:after="0" w:before="0" w:line="240"/>
      </w:pPr>
      <w: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However, strict application of this rule may sometimes lead to injustice. There are situations where the real owner, through his conduct or negligence, allows another person to appear as the owner of the property. An innocent purchaser, relying upon such appearance and acting honestly, purchases the property. The Transfer of Property Act incorporates several equitable doctrines to prevent such injustice — notably the Doctrine of Ostensible Ownership under Section 41, the Doctrine of Feeding the Grant by Estoppel under Section 43, the Doctrine of Lis Pendens under Section 52, and the Doctrine of Part Performance under Section 53A. The doctrine embodied in Section 41 is particularly significant because it protects bona fide purchasers who purchase property from an ostensible owner with the consent of the real owner.</w:t>
      </w:r>
    </w:p>
    <w:p>
      <w:pPr>
        <w:spacing w:after="0" w:before="0" w:line="240"/>
      </w:pPr>
      <w: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doctrine is founded on the equitable principle that where one of two innocent persons must suffer because of the acts of a third person, the loss should fall upon the person whose conduct enabled the fraud to be committed.</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2. ostensible owner – meaning and characteristics</w:t>
      </w:r>
    </w:p>
    <w:p>
      <w:pPr>
        <w:spacing w:after="0" w:before="0" w:line="240"/>
        <w:ind w:left="567" w:right="567"/>
      </w:pPr>
      <w:r>
        <w:rPr>
          <w:rFonts w:ascii="Calibri" w:cs="Calibri" w:eastAsia="Calibri" w:hAnsi="Calibri"/>
          <w:b w:val="false"/>
          <w:bCs w:val="false"/>
          <w:i w:val="false"/>
          <w:iCs w:val="false"/>
          <w:color w:val="000000"/>
          <w:sz w:val="28"/>
          <w:szCs w:val="28"/>
        </w:rPr>
        <w:t xml:space="preserve">An ostensible owner is a person who appears to the world as the owner of property but is not its real owner. He possesses all outward indications of ownership, although the legal title belongs to another person. The appearance of ownership arises because the real owner has expressly or impliedly permitted the person to represent himself as the owner. In other words, real ownership remains with one person, while apparent ownership exists in another. The doctrine is based upon equity, justice, and good conscience.</w:t>
      </w:r>
    </w:p>
    <w:p>
      <w:pPr>
        <w:spacing w:after="0" w:before="0" w:line="240"/>
      </w:pPr>
      <w: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Transfer of Property Act does not separately define the term "ostensible owner." The concept is gathered from Section 41 itself, which recognises that a person may appear to be the owner with the consent of the real owner and may transfer the property to another person. An ostensible owner generally possesses apparent ownership to outsiders, has no legal title to the property, usually remains in possession which strengthens the appearance of ownership, and acts with the express or implied consent of the real owner. Where all the statutory conditions under Section 41 are fulfilled, a transfer by an ostensible owner may become binding upon the real owner.</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3. section 41 – transfer by ostensible owner</w:t>
      </w:r>
    </w:p>
    <w:p>
      <w:pPr>
        <w:spacing w:after="0" w:before="0" w:line="240"/>
        <w:ind w:left="567" w:right="567"/>
      </w:pPr>
      <w:r>
        <w:rPr>
          <w:rFonts w:ascii="Calibri" w:cs="Calibri" w:eastAsia="Calibri" w:hAnsi="Calibri"/>
          <w:b/>
          <w:bCs/>
          <w:color w:val="000000"/>
          <w:sz w:val="28"/>
          <w:szCs w:val="28"/>
        </w:rPr>
        <w:t xml:space="preserve">Section 41 of the Transfer of Property Act, 1882 (Transfer by ostensible owner):</w:t>
      </w:r>
    </w:p>
    <w:p>
      <w:pPr>
        <w:spacing w:after="0" w:before="0" w:line="240"/>
        <w:ind w:left="567" w:right="567"/>
      </w:pPr>
      <w:r>
        <w:rPr>
          <w:rFonts w:ascii="Calibri" w:cs="Calibri" w:eastAsia="Calibri" w:hAnsi="Calibri"/>
          <w:b w:val="false"/>
          <w:bCs w:val="false"/>
          <w:i w:val="false"/>
          <w:iCs w:val="false"/>
          <w:color w:val="000000"/>
          <w:sz w:val="28"/>
          <w:szCs w:val="28"/>
        </w:rPr>
        <w:t xml:space="preserve">Where, with the express or implied consent of the persons interested in immovable property, a person is the ostensible owner of such property and transfers the same for consideration, the transfer shall not be voidable on the ground that the transferor was not authorised to make it: provided that the transferee, after taking reasonable care to ascertain that the transferor had power to make the transfer, has acted in good faith.</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41 creates a statutory exception to the rule that no one can transfer a better title than he possesses. It protects a bona fide purchaser who buys immovable property from an ostensible owner provided the following conditions are satisfied. First, the transaction must involve immovable property — Section 41 does not apply to movable property. Second, the transferor must be an ostensible owner, meaning he appears to the world as the owner by reason of the real owner's conduct or consent, not merely because he is in possession as a tenant or caretaker. Third, the real owner must have expressly or impliedly consented to the appearance of ownership — without such consent there can be no ostensible ownership under this section. Fourth, the transfer must be for valuable consideration, which is why gifts are not protected. Fifth, the transferee must have taken reasonable care to verify the transferor's authority by examining title deeds, checking municipal and revenue records, and verifying encumbrances, and must have acted honestly throughout. If all these conditions are met, the transfer is valid and the real owner cannot avoid it, even though he himself did not authorise the actual sale.</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4. doctrine of holding out</w:t>
      </w:r>
    </w:p>
    <w:p>
      <w:pPr>
        <w:spacing w:after="0" w:before="0" w:line="240"/>
        <w:ind w:left="567" w:right="567"/>
      </w:pPr>
      <w:r>
        <w:rPr>
          <w:rFonts w:ascii="Calibri" w:cs="Calibri" w:eastAsia="Calibri" w:hAnsi="Calibri"/>
          <w:b w:val="false"/>
          <w:bCs w:val="false"/>
          <w:i w:val="false"/>
          <w:iCs w:val="false"/>
          <w:color w:val="000000"/>
          <w:sz w:val="28"/>
          <w:szCs w:val="28"/>
        </w:rPr>
        <w:t xml:space="preserve">The Doctrine of Holding Out is closely related to Section 41 and is an equitable principle embedded within it. The expression "holding out" means representing another person to the world as having ownership or authority over property, either expressly or by conduct. This representation may arise through express statements, a written authorisation, a power of attorney, long acquiescence, silence despite knowledge, or permitting another to exercise ownership rights publicly.</w:t>
      </w:r>
    </w:p>
    <w:p>
      <w:pPr>
        <w:spacing w:after="0" w:before="0" w:line="240"/>
      </w:pPr>
      <w: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legal basis of the doctrine is the equitable maxim that where one of two innocent persons must suffer because of the fraud of a third, the loss should fall upon the person whose conduct enabled the fraud to occur. Accordingly, if the real owner creates the appearance of ownership and an innocent purchaser relies upon it in good faith and for consideration, the law protects the purchaser. The essential elements are: a voluntary representation by the true owner that another person is the owner; reasonable reliance by the third party upon that representation; alteration of position by paying consideration; and good faith throughout. The doctrine promotes commercial certainty, security of property transactions, and stability of land markets.</w:t>
      </w:r>
    </w:p>
    <w:p>
      <w:pPr>
        <w:spacing w:after="0" w:before="0" w:line="240"/>
      </w:pPr>
      <w: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Holding out is an application of the broader doctrine of estoppel. Once the owner has represented another person as owner and induced a purchaser to rely upon that representation, the owner is estopped from denying it later. The key distinction from mere possession is that possession alone — as in the case of a tenant, servant, or licensee — does not constitute holding out. The person must be held out as the owner, not merely as a person with physical control over the property.</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5. section 43 – transfer by unauthorised person who subsequently acquires interest</w:t>
      </w:r>
    </w:p>
    <w:p>
      <w:pPr>
        <w:spacing w:after="0" w:before="0" w:line="240"/>
        <w:ind w:left="567" w:right="567"/>
      </w:pPr>
      <w:r>
        <w:rPr>
          <w:rFonts w:ascii="Calibri" w:cs="Calibri" w:eastAsia="Calibri" w:hAnsi="Calibri"/>
          <w:b/>
          <w:bCs/>
          <w:color w:val="000000"/>
          <w:sz w:val="28"/>
          <w:szCs w:val="28"/>
        </w:rPr>
        <w:t xml:space="preserve">Section 43 of the Transfer of Property Act, 1882 (Transfer by person having no title or insufficient title):</w:t>
      </w:r>
    </w:p>
    <w:p>
      <w:pPr>
        <w:spacing w:after="0" w:before="0" w:line="240"/>
        <w:ind w:left="567" w:right="567"/>
      </w:pPr>
      <w:r>
        <w:rPr>
          <w:rFonts w:ascii="Calibri" w:cs="Calibri" w:eastAsia="Calibri" w:hAnsi="Calibri"/>
          <w:b w:val="false"/>
          <w:bCs w:val="false"/>
          <w:i w:val="false"/>
          <w:iCs w:val="false"/>
          <w:color w:val="000000"/>
          <w:sz w:val="28"/>
          <w:szCs w:val="28"/>
        </w:rPr>
        <w:t xml:space="preserve">Where a person fraudulently or erroneously represents that he is authorised to transfer certain immovable property and professes to transfer such property for consideration, such transfer shall, at the option of the transferee, operate on any interest which the transferor may acquire in such property at any time during which the contract of transfer subsists.
Nothing in this section shall impair the right of transferees in good faith for consideration without notice of the existence of the said option.</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43 embodies the equitable doctrine known as "Feeding the Grant by Estoppel." Unlike Section 41, where the transfer is made by an ostensible owner with the real owner's consent, Section 43 deals with a person who falsely or erroneously represents that he has authority to transfer property and later acquires that authority or interest. The law then gives the transferee an option to enforce the transfer against the subsequently acquired interest. The expression "feeding the grant" refers to the fact that the later-acquired title nourishes or validates the earlier defective transfer. The section applies where the transferor makes a fraudulent or erroneous representation; the transfer is for consideration (gifts are excluded); the transferor subsequently acquires an interest in the property through inheritance, partition, purchase, court decree, family settlement, or any other lawful mode; the original contract continues to subsist; and the transferee elects to enforce the transfer. Crucially, Section 43 does not operate automatically — it operates only at the option of the transferee. The section also expressly protects a subsequent bona fide purchaser for value without notice who acquires the property before the original transferee exercises his option.</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Distinction between Section 41 and Section 43</w:t>
      </w:r>
    </w:p>
    <w:p>
      <w:pPr>
        <w:spacing w:after="0" w:before="0" w:line="24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CellMar>
          <w:left w:type="dxa" w:w="900"/>
          <w:right w:type="dxa" w:w="900"/>
        </w:tblCellMar>
      </w:tblPr>
      <w:tblGrid>
        <w:gridCol w:w="3368"/>
        <w:gridCol w:w="3368"/>
        <w:gridCol w:w="3368"/>
      </w:tblGrid>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Basis</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Section 41 – Ostensible owner</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Section 43 – Feeding the grant by estoppel</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Principle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Doctrine of ostensible ownership</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Doctrine of feeding the grant by estoppel</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Nature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Apparent ownership with real owner's consent</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Subsequent acquisition of title by transferor</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Consent of real owner</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Essential</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Not necessary</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Representation</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By conduct/consent of the real owner</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By the transferor himself</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Title at time of transfer</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Transferor has apparent authority</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Transferor has no title at all</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Subsequent acquisition</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Not required</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Essential condition</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Consideration</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Mandatory</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Mandatory</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Good faith</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Mandatory for transferee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Relevant; protects bona fide subsequent purchasers</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Operates automatically?</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Yes, if statutory conditions fulfilled</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No — only at the option of the transferee</w:t>
            </w:r>
          </w:p>
        </w:tc>
      </w:tr>
    </w:tbl>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6. benami transactions</w:t>
      </w:r>
    </w:p>
    <w:p>
      <w:pPr>
        <w:spacing w:after="0" w:before="0" w:line="240"/>
        <w:ind w:left="567" w:right="567"/>
      </w:pPr>
      <w:r>
        <w:rPr>
          <w:rFonts w:ascii="Calibri" w:cs="Calibri" w:eastAsia="Calibri" w:hAnsi="Calibri"/>
          <w:b w:val="false"/>
          <w:bCs w:val="false"/>
          <w:i w:val="false"/>
          <w:iCs w:val="false"/>
          <w:color w:val="000000"/>
          <w:sz w:val="28"/>
          <w:szCs w:val="28"/>
        </w:rPr>
        <w:t xml:space="preserve">The term "Benami" is derived from Persian words meaning "without a name" or "in another's name." In a Benami transaction, property is transferred or purchased in the name of one person, while the consideration is paid by another, who is the real beneficiary of the property. Historically, such transactions were not per se illegal and courts often upheld them. However, their widespread misuse for tax evasion, concealment of black money, money laundering, corruption, and fraudulent property dealings necessitated legislative intervention.</w:t>
      </w:r>
    </w:p>
    <w:p>
      <w:pPr>
        <w:spacing w:after="0" w:before="0" w:line="240"/>
      </w:pPr>
      <w: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In a Benami transaction, two persons are typically involved — the Benamidar, who is the person in whose name the property stands and who is merely the nominal or ostensible owner, and the Beneficial Owner, who actually provides the consideration and enjoys all the benefits arising from the property. The modern legal position is governed by the Prohibition of Benami Property Transactions Act, 1988, as substantially amended in 2016, which generally prohibits such transactions except in certain statutory exceptions.</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Statutory exceptions (transactions not regarded as benami)</w:t>
      </w:r>
    </w:p>
    <w:p>
      <w:pPr>
        <w:spacing w:after="0" w:before="0" w:line="240"/>
        <w:ind w:left="567" w:right="567"/>
      </w:pPr>
      <w:r>
        <w:rPr>
          <w:rFonts w:ascii="Calibri" w:cs="Calibri" w:eastAsia="Calibri" w:hAnsi="Calibri"/>
          <w:b w:val="false"/>
          <w:bCs w:val="false"/>
          <w:i w:val="false"/>
          <w:iCs w:val="false"/>
          <w:color w:val="000000"/>
          <w:sz w:val="28"/>
          <w:szCs w:val="28"/>
        </w:rPr>
        <w:t xml:space="preserve">The Act excludes certain genuine transactions from the definition of Benami. Property held by the Karta or a member of a Hindu Undivided Family for the benefit of the family from known sources of family income is excluded. Property held by persons in fiduciary capacities — such as trustees, executors, partners, company directors, depositories, and legal guardians — is excluded. Property purchased in the name of a spouse or child from known and legitimate sources of income may also fall outside the prohibition, subject to the conditions prescribed by law. Joint ownership with siblings, ascendants, or descendants from known sources satisfying the statutory conditions may similarly be excluded.</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Consequences of benami transactions</w:t>
      </w:r>
    </w:p>
    <w:p>
      <w:pPr>
        <w:spacing w:after="0" w:before="0" w:line="240"/>
        <w:ind w:left="567" w:right="567"/>
      </w:pPr>
      <w:r>
        <w:rPr>
          <w:rFonts w:ascii="Calibri" w:cs="Calibri" w:eastAsia="Calibri" w:hAnsi="Calibri"/>
          <w:b w:val="false"/>
          <w:bCs w:val="false"/>
          <w:i w:val="false"/>
          <w:iCs w:val="false"/>
          <w:color w:val="000000"/>
          <w:sz w:val="28"/>
          <w:szCs w:val="28"/>
        </w:rPr>
        <w:t xml:space="preserve">The Prohibition of Benami Property Transactions Act, 1988 prescribes stringent consequences for prohibited Benami transactions. These include attachment of the Benami property by the Adjudicating Authority, confiscation by the Central Government, civil disabilities, criminal prosecution of the Benamidar and the beneficial owner, and monetary penalties. The beneficial owner cannot ordinarily enforce any right over Benami property. Imprisonment of up to seven years and heavy fines may be imposed upon conviction.</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Distinction between ostensible owner (Section 41, TPA) and benamidar</w:t>
      </w:r>
    </w:p>
    <w:p>
      <w:pPr>
        <w:spacing w:after="0" w:before="0" w:line="24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CellMar>
          <w:left w:type="dxa" w:w="900"/>
          <w:right w:type="dxa" w:w="900"/>
        </w:tblCellMar>
      </w:tblPr>
      <w:tblGrid>
        <w:gridCol w:w="3368"/>
        <w:gridCol w:w="3368"/>
        <w:gridCol w:w="3368"/>
      </w:tblGrid>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Basis</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Ostensible owner (Section 41, TPA)</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Benamidar</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Governing law</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Transfer of Property Act, 1882</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Prohibition of Benami Property Transactions Act, 1988</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Consent of real owner</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Exists</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Usually exists but the arrangement is prohibited unless within statutory exceptions</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Object</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Protection of bona fide purchasers</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Prevention of concealment of real ownership</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Nature of ownership</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Apparent ownership</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Nominal ownership</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Beneficial interest</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Remains with the real owner</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Belongs to the beneficial owner</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Legal policy</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Valid under prescribed conditions</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Generally prohibited</w:t>
            </w:r>
          </w:p>
        </w:tc>
      </w:tr>
    </w:tbl>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7. relevant case laws</w:t>
      </w:r>
    </w:p>
    <w:p>
      <w:pPr>
        <w:spacing w:after="0" w:before="0" w:line="240"/>
        <w:ind w:left="567" w:right="567"/>
      </w:pPr>
      <w:r>
        <w:rPr>
          <w:rFonts w:ascii="Calibri" w:cs="Calibri" w:eastAsia="Calibri" w:hAnsi="Calibri"/>
          <w:b/>
          <w:bCs/>
          <w:color w:val="000000"/>
          <w:sz w:val="28"/>
          <w:szCs w:val="28"/>
        </w:rPr>
        <w:t xml:space="preserve">Ramcoomar Koondoo v. John and Maria McQueen</w:t>
      </w:r>
    </w:p>
    <w:p>
      <w:pPr>
        <w:spacing w:after="0" w:before="0" w:line="240"/>
        <w:ind w:left="567" w:right="567"/>
      </w:pPr>
      <w:r>
        <w:rPr>
          <w:rFonts w:ascii="Calibri" w:cs="Calibri" w:eastAsia="Calibri" w:hAnsi="Calibri"/>
          <w:b/>
          <w:bCs/>
          <w:color w:val="000000"/>
          <w:sz w:val="28"/>
          <w:szCs w:val="28"/>
        </w:rPr>
        <w:t xml:space="preserve">Citation: </w:t>
      </w:r>
      <w:r>
        <w:rPr>
          <w:rFonts w:ascii="Calibri" w:cs="Calibri" w:eastAsia="Calibri" w:hAnsi="Calibri"/>
          <w:b w:val="false"/>
          <w:bCs w:val="false"/>
          <w:i w:val="false"/>
          <w:iCs w:val="false"/>
          <w:color w:val="000000"/>
          <w:sz w:val="28"/>
          <w:szCs w:val="28"/>
        </w:rPr>
        <w:t xml:space="preserve">(1872) 11 Bengal LR 46 (Privy Council)</w:t>
      </w:r>
    </w:p>
    <w:p>
      <w:pPr>
        <w:spacing w:after="0" w:before="0" w:line="240"/>
        <w:ind w:left="567" w:right="567"/>
      </w:pPr>
      <w:r>
        <w:rPr>
          <w:rFonts w:ascii="Calibri" w:cs="Calibri" w:eastAsia="Calibri" w:hAnsi="Calibri"/>
          <w:b/>
          <w:bCs/>
          <w:color w:val="000000"/>
          <w:sz w:val="28"/>
          <w:szCs w:val="28"/>
        </w:rPr>
        <w:t xml:space="preserve">Facts: </w:t>
      </w:r>
      <w:r>
        <w:rPr>
          <w:rFonts w:ascii="Calibri" w:cs="Calibri" w:eastAsia="Calibri" w:hAnsi="Calibri"/>
          <w:b w:val="false"/>
          <w:bCs w:val="false"/>
          <w:i w:val="false"/>
          <w:iCs w:val="false"/>
          <w:color w:val="000000"/>
          <w:sz w:val="28"/>
          <w:szCs w:val="28"/>
        </w:rPr>
        <w:t xml:space="preserve">The dispute concerned property transferred by a person who represented himself as having authority over the property. The transferee relied upon that representation and claimed protection.</w:t>
      </w:r>
    </w:p>
    <w:p>
      <w:pPr>
        <w:spacing w:after="0" w:before="0" w:line="240"/>
        <w:ind w:left="567" w:right="567"/>
      </w:pPr>
      <w:r>
        <w:rPr>
          <w:rFonts w:ascii="Calibri" w:cs="Calibri" w:eastAsia="Calibri" w:hAnsi="Calibri"/>
          <w:b/>
          <w:bCs/>
          <w:color w:val="000000"/>
          <w:sz w:val="28"/>
          <w:szCs w:val="28"/>
        </w:rPr>
        <w:t xml:space="preserve">Issue: </w:t>
      </w:r>
      <w:r>
        <w:rPr>
          <w:rFonts w:ascii="Calibri" w:cs="Calibri" w:eastAsia="Calibri" w:hAnsi="Calibri"/>
          <w:b w:val="false"/>
          <w:bCs w:val="false"/>
          <w:i w:val="false"/>
          <w:iCs w:val="false"/>
          <w:color w:val="000000"/>
          <w:sz w:val="28"/>
          <w:szCs w:val="28"/>
        </w:rPr>
        <w:t xml:space="preserve">Whether the transferor was estopped from denying the representation made to the transferee.</w:t>
      </w:r>
    </w:p>
    <w:p>
      <w:pPr>
        <w:spacing w:after="0" w:before="0" w:line="240"/>
        <w:ind w:left="567" w:right="567"/>
      </w:pPr>
      <w:r>
        <w:rPr>
          <w:rFonts w:ascii="Calibri" w:cs="Calibri" w:eastAsia="Calibri" w:hAnsi="Calibri"/>
          <w:b/>
          <w:bCs/>
          <w:color w:val="000000"/>
          <w:sz w:val="28"/>
          <w:szCs w:val="28"/>
        </w:rPr>
        <w:t xml:space="preserve">Held: </w:t>
      </w:r>
      <w:r>
        <w:rPr>
          <w:rFonts w:ascii="Calibri" w:cs="Calibri" w:eastAsia="Calibri" w:hAnsi="Calibri"/>
          <w:b w:val="false"/>
          <w:bCs w:val="false"/>
          <w:i w:val="false"/>
          <w:iCs w:val="false"/>
          <w:color w:val="000000"/>
          <w:sz w:val="28"/>
          <w:szCs w:val="28"/>
        </w:rPr>
        <w:t xml:space="preserve">The Privy Council recognised the equitable doctrine that a person who induces another to act upon a representation cannot subsequently deny that representation to the detriment of the innocent party. This principle later found statutory recognition in Sections 41 and 43 of the Transfer of Property Act. The Court applied the doctrine of estoppel and protected the bona fide transferee.</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Jumma Masjid, Mercara v. Kodimaniandra Deviah</w:t>
      </w:r>
    </w:p>
    <w:p>
      <w:pPr>
        <w:spacing w:after="0" w:before="0" w:line="240"/>
        <w:ind w:left="567" w:right="567"/>
      </w:pPr>
      <w:r>
        <w:rPr>
          <w:rFonts w:ascii="Calibri" w:cs="Calibri" w:eastAsia="Calibri" w:hAnsi="Calibri"/>
          <w:b/>
          <w:bCs/>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1962 SC 847</w:t>
      </w:r>
    </w:p>
    <w:p>
      <w:pPr>
        <w:spacing w:after="0" w:before="0" w:line="240"/>
        <w:ind w:left="567" w:right="567"/>
      </w:pPr>
      <w:r>
        <w:rPr>
          <w:rFonts w:ascii="Calibri" w:cs="Calibri" w:eastAsia="Calibri" w:hAnsi="Calibri"/>
          <w:b/>
          <w:bCs/>
          <w:color w:val="000000"/>
          <w:sz w:val="28"/>
          <w:szCs w:val="28"/>
        </w:rPr>
        <w:t xml:space="preserve">Facts: </w:t>
      </w:r>
      <w:r>
        <w:rPr>
          <w:rFonts w:ascii="Calibri" w:cs="Calibri" w:eastAsia="Calibri" w:hAnsi="Calibri"/>
          <w:b w:val="false"/>
          <w:bCs w:val="false"/>
          <w:i w:val="false"/>
          <w:iCs w:val="false"/>
          <w:color w:val="000000"/>
          <w:sz w:val="28"/>
          <w:szCs w:val="28"/>
        </w:rPr>
        <w:t xml:space="preserve">A transferor executed a transfer despite lacking title at the time of the transaction. Subsequently, he acquired ownership of the same property. The transferee sought enforcement of the earlier transfer under Section 43.</w:t>
      </w:r>
    </w:p>
    <w:p>
      <w:pPr>
        <w:spacing w:after="0" w:before="0" w:line="240"/>
        <w:ind w:left="567" w:right="567"/>
      </w:pPr>
      <w:r>
        <w:rPr>
          <w:rFonts w:ascii="Calibri" w:cs="Calibri" w:eastAsia="Calibri" w:hAnsi="Calibri"/>
          <w:b/>
          <w:bCs/>
          <w:color w:val="000000"/>
          <w:sz w:val="28"/>
          <w:szCs w:val="28"/>
        </w:rPr>
        <w:t xml:space="preserve">Issue: </w:t>
      </w:r>
      <w:r>
        <w:rPr>
          <w:rFonts w:ascii="Calibri" w:cs="Calibri" w:eastAsia="Calibri" w:hAnsi="Calibri"/>
          <w:b w:val="false"/>
          <w:bCs w:val="false"/>
          <w:i w:val="false"/>
          <w:iCs w:val="false"/>
          <w:color w:val="000000"/>
          <w:sz w:val="28"/>
          <w:szCs w:val="28"/>
        </w:rPr>
        <w:t xml:space="preserve">Whether Section 43 applies where the transferor acquires title after making the transfer, and whether the transferee could compel transfer of the subsequently acquired interest.</w:t>
      </w:r>
    </w:p>
    <w:p>
      <w:pPr>
        <w:spacing w:after="0" w:before="0" w:line="240"/>
        <w:ind w:left="567" w:right="567"/>
      </w:pPr>
      <w:r>
        <w:rPr>
          <w:rFonts w:ascii="Calibri" w:cs="Calibri" w:eastAsia="Calibri" w:hAnsi="Calibri"/>
          <w:b/>
          <w:bCs/>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Section 43 incorporates the equitable doctrine of "feeding the grant by estoppel." Once the transferor acquires title, the transferee may elect to enforce the earlier transfer provided all statutory conditions are satisfied. The representation may be fraudulent or erroneous; the contract must continue to subsist; and the option belongs exclusively to the transferee. The transferee was held entitled to enforce the transfer against the subsequently acquired interest. This is the leading authority on Section 43.</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Thakur Bhim Singh v. Thakur Kan Singh</w:t>
      </w:r>
    </w:p>
    <w:p>
      <w:pPr>
        <w:spacing w:after="0" w:before="0" w:line="240"/>
        <w:ind w:left="567" w:right="567"/>
      </w:pPr>
      <w:r>
        <w:rPr>
          <w:rFonts w:ascii="Calibri" w:cs="Calibri" w:eastAsia="Calibri" w:hAnsi="Calibri"/>
          <w:b/>
          <w:bCs/>
          <w:color w:val="000000"/>
          <w:sz w:val="28"/>
          <w:szCs w:val="28"/>
        </w:rPr>
        <w:t xml:space="preserve">Citation: </w:t>
      </w:r>
      <w:r>
        <w:rPr>
          <w:rFonts w:ascii="Calibri" w:cs="Calibri" w:eastAsia="Calibri" w:hAnsi="Calibri"/>
          <w:b w:val="false"/>
          <w:bCs w:val="false"/>
          <w:i w:val="false"/>
          <w:iCs w:val="false"/>
          <w:color w:val="000000"/>
          <w:sz w:val="28"/>
          <w:szCs w:val="28"/>
        </w:rPr>
        <w:t xml:space="preserve">(1980) 3 SCC 72</w:t>
      </w:r>
    </w:p>
    <w:p>
      <w:pPr>
        <w:spacing w:after="0" w:before="0" w:line="240"/>
        <w:ind w:left="567" w:right="567"/>
      </w:pPr>
      <w:r>
        <w:rPr>
          <w:rFonts w:ascii="Calibri" w:cs="Calibri" w:eastAsia="Calibri" w:hAnsi="Calibri"/>
          <w:b/>
          <w:bCs/>
          <w:color w:val="000000"/>
          <w:sz w:val="28"/>
          <w:szCs w:val="28"/>
        </w:rPr>
        <w:t xml:space="preserve">Facts: </w:t>
      </w:r>
      <w:r>
        <w:rPr>
          <w:rFonts w:ascii="Calibri" w:cs="Calibri" w:eastAsia="Calibri" w:hAnsi="Calibri"/>
          <w:b w:val="false"/>
          <w:bCs w:val="false"/>
          <w:i w:val="false"/>
          <w:iCs w:val="false"/>
          <w:color w:val="000000"/>
          <w:sz w:val="28"/>
          <w:szCs w:val="28"/>
        </w:rPr>
        <w:t xml:space="preserve">The dispute centred on whether a property transaction was genuinely Benami.</w:t>
      </w:r>
    </w:p>
    <w:p>
      <w:pPr>
        <w:spacing w:after="0" w:before="0" w:line="240"/>
        <w:ind w:left="567" w:right="567"/>
      </w:pPr>
      <w:r>
        <w:rPr>
          <w:rFonts w:ascii="Calibri" w:cs="Calibri" w:eastAsia="Calibri" w:hAnsi="Calibri"/>
          <w:b/>
          <w:bCs/>
          <w:color w:val="000000"/>
          <w:sz w:val="28"/>
          <w:szCs w:val="28"/>
        </w:rPr>
        <w:t xml:space="preserve">Issue: </w:t>
      </w:r>
      <w:r>
        <w:rPr>
          <w:rFonts w:ascii="Calibri" w:cs="Calibri" w:eastAsia="Calibri" w:hAnsi="Calibri"/>
          <w:b w:val="false"/>
          <w:bCs w:val="false"/>
          <w:i w:val="false"/>
          <w:iCs w:val="false"/>
          <w:color w:val="000000"/>
          <w:sz w:val="28"/>
          <w:szCs w:val="28"/>
        </w:rPr>
        <w:t xml:space="preserve">What tests should be applied to determine the existence of a Benami transaction.</w:t>
      </w:r>
    </w:p>
    <w:p>
      <w:pPr>
        <w:spacing w:after="0" w:before="0" w:line="240"/>
        <w:ind w:left="567" w:right="567"/>
      </w:pPr>
      <w:r>
        <w:rPr>
          <w:rFonts w:ascii="Calibri" w:cs="Calibri" w:eastAsia="Calibri" w:hAnsi="Calibri"/>
          <w:b/>
          <w:bCs/>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identified several relevant factors, including the source of purchase money, nature and possession of the property, motive behind the transaction, relationship between the parties, custody of title deeds, and conduct before and after the sale. The Court held that no single factor is conclusive; the cumulative effect of all surrounding circumstances determines whether a transaction is Benami.</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R. Rajagopal Reddy (Dead) by LRs v. Padmini Chandrasekharan</w:t>
      </w:r>
    </w:p>
    <w:p>
      <w:pPr>
        <w:spacing w:after="0" w:before="0" w:line="240"/>
        <w:ind w:left="567" w:right="567"/>
      </w:pPr>
      <w:r>
        <w:rPr>
          <w:rFonts w:ascii="Calibri" w:cs="Calibri" w:eastAsia="Calibri" w:hAnsi="Calibri"/>
          <w:b/>
          <w:bCs/>
          <w:color w:val="000000"/>
          <w:sz w:val="28"/>
          <w:szCs w:val="28"/>
        </w:rPr>
        <w:t xml:space="preserve">Citation: </w:t>
      </w:r>
      <w:r>
        <w:rPr>
          <w:rFonts w:ascii="Calibri" w:cs="Calibri" w:eastAsia="Calibri" w:hAnsi="Calibri"/>
          <w:b w:val="false"/>
          <w:bCs w:val="false"/>
          <w:i w:val="false"/>
          <w:iCs w:val="false"/>
          <w:color w:val="000000"/>
          <w:sz w:val="28"/>
          <w:szCs w:val="28"/>
        </w:rPr>
        <w:t xml:space="preserve">(1995) 2 SCC 630</w:t>
      </w:r>
    </w:p>
    <w:p>
      <w:pPr>
        <w:spacing w:after="0" w:before="0" w:line="240"/>
        <w:ind w:left="567" w:right="567"/>
      </w:pPr>
      <w:r>
        <w:rPr>
          <w:rFonts w:ascii="Calibri" w:cs="Calibri" w:eastAsia="Calibri" w:hAnsi="Calibri"/>
          <w:b/>
          <w:bCs/>
          <w:color w:val="000000"/>
          <w:sz w:val="28"/>
          <w:szCs w:val="28"/>
        </w:rPr>
        <w:t xml:space="preserve">Facts: </w:t>
      </w:r>
      <w:r>
        <w:rPr>
          <w:rFonts w:ascii="Calibri" w:cs="Calibri" w:eastAsia="Calibri" w:hAnsi="Calibri"/>
          <w:b w:val="false"/>
          <w:bCs w:val="false"/>
          <w:i w:val="false"/>
          <w:iCs w:val="false"/>
          <w:color w:val="000000"/>
          <w:sz w:val="28"/>
          <w:szCs w:val="28"/>
        </w:rPr>
        <w:t xml:space="preserve">The dispute concerned the applicability of the Benami Transactions (Prohibition) Act to transactions that had taken place before the Act came into force.</w:t>
      </w:r>
    </w:p>
    <w:p>
      <w:pPr>
        <w:spacing w:after="0" w:before="0" w:line="240"/>
        <w:ind w:left="567" w:right="567"/>
      </w:pPr>
      <w:r>
        <w:rPr>
          <w:rFonts w:ascii="Calibri" w:cs="Calibri" w:eastAsia="Calibri" w:hAnsi="Calibri"/>
          <w:b/>
          <w:bCs/>
          <w:color w:val="000000"/>
          <w:sz w:val="28"/>
          <w:szCs w:val="28"/>
        </w:rPr>
        <w:t xml:space="preserve">Issue: </w:t>
      </w:r>
      <w:r>
        <w:rPr>
          <w:rFonts w:ascii="Calibri" w:cs="Calibri" w:eastAsia="Calibri" w:hAnsi="Calibri"/>
          <w:b w:val="false"/>
          <w:bCs w:val="false"/>
          <w:i w:val="false"/>
          <w:iCs w:val="false"/>
          <w:color w:val="000000"/>
          <w:sz w:val="28"/>
          <w:szCs w:val="28"/>
        </w:rPr>
        <w:t xml:space="preserve">Whether the provisions of the Benami Act operated retrospectively.</w:t>
      </w:r>
    </w:p>
    <w:p>
      <w:pPr>
        <w:spacing w:after="0" w:before="0" w:line="240"/>
        <w:ind w:left="567" w:right="567"/>
      </w:pPr>
      <w:r>
        <w:rPr>
          <w:rFonts w:ascii="Calibri" w:cs="Calibri" w:eastAsia="Calibri" w:hAnsi="Calibri"/>
          <w:b/>
          <w:bCs/>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the Act is generally prospective in operation unless the legislature clearly provides otherwise. Vested rights arising before the Act could not ordinarily be taken away retrospectively.</w:t>
      </w:r>
    </w:p>
    <w:p>
      <w:pPr>
        <w:spacing w:after="0" w:before="0" w:line="240"/>
      </w:pPr>
      <w:r>
        <w:t xml:space="preserve"/>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Chapter ii – doctrine of estoppel and feeding the grant by estoppel (section 43)</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1. what is estoppel?</w:t>
      </w:r>
    </w:p>
    <w:p>
      <w:pPr>
        <w:spacing w:after="0" w:before="0" w:line="240"/>
        <w:ind w:left="567" w:right="567"/>
      </w:pPr>
      <w:r>
        <w:rPr>
          <w:rFonts w:ascii="Calibri" w:cs="Calibri" w:eastAsia="Calibri" w:hAnsi="Calibri"/>
          <w:b w:val="false"/>
          <w:bCs w:val="false"/>
          <w:i w:val="false"/>
          <w:iCs w:val="false"/>
          <w:color w:val="000000"/>
          <w:sz w:val="28"/>
          <w:szCs w:val="28"/>
        </w:rPr>
        <w:t xml:space="preserve">The word "estoppel" is derived from the old French word "estoupail" meaning to stop, obstruct, or prevent. In law, estoppel means that a person who has made a representation by words, conduct, or omission and has induced another person to act upon that representation cannot subsequently deny the truth of that representation if such denial would prejudice the other person. The doctrine prevents inconsistency and promotes honesty in legal dealings.</w:t>
      </w:r>
    </w:p>
    <w:p>
      <w:pPr>
        <w:spacing w:after="0" w:before="0" w:line="240"/>
      </w:pPr>
      <w: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principle of estoppel is embodied in Section 115 of the Indian Evidence Act, 1872 (now substantially reflected in the Bharatiya Sakshya Adhiniyam, 2023), which provides that when one person by his declaration, act, or omission intentionally causes or permits another person to believe a thing to be true and to act upon such belief, he shall not be allowed in any suit or proceeding between himself and such person or his representative to deny the truth of that thing. Estoppel is thus a rule of evidence as well as a principle of equity that prevents a party from adopting contradictory positions to the detriment of another who relied upon the earlier representation.</w:t>
      </w:r>
    </w:p>
    <w:p>
      <w:pPr>
        <w:spacing w:after="0" w:before="0" w:line="240"/>
      </w:pPr>
      <w: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essential elements for estoppel to apply are: a representation by words, conduct, or silence; reliance by another person on that representation; alteration of that person's legal or factual position as a result; potential detriment if the representation is denied; and good faith of the person relying on the representation. Estoppel is not a source of title — it merely prevents a person from denying a representation previously made.</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2. purpose behind estoppel</w:t>
      </w:r>
    </w:p>
    <w:p>
      <w:pPr>
        <w:spacing w:after="0" w:before="0" w:line="240"/>
        <w:ind w:left="567" w:right="567"/>
      </w:pPr>
      <w:r>
        <w:rPr>
          <w:rFonts w:ascii="Calibri" w:cs="Calibri" w:eastAsia="Calibri" w:hAnsi="Calibri"/>
          <w:b w:val="false"/>
          <w:bCs w:val="false"/>
          <w:i w:val="false"/>
          <w:iCs w:val="false"/>
          <w:color w:val="000000"/>
          <w:sz w:val="28"/>
          <w:szCs w:val="28"/>
        </w:rPr>
        <w:t xml:space="preserve">The doctrine of estoppel is founded on equity, fairness, justice, and good conscience. It ensures that no person derives an advantage from his own inconsistent conduct or misrepresentation. The principal purposes are as follows. First, to prevent fraud — the doctrine prevents individuals from making false representations and subsequently denying them to the detriment of innocent persons. Second, to protect bona fide parties — it safeguards persons who have acted honestly and changed their position relying upon another's representation. Third, to promote commercial certainty — property and commercial transactions require confidence and stability, and estoppel contributes to the security of transactions by preventing parties from retracting representations. Fourth, to prevent unjust enrichment — a transferor should not benefit from his own misrepresentation after subsequently acquiring the very property he had purported to transfer. Fifth, to uphold good faith — the doctrine encourages honesty and discourages inconsistent conduct.</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3. doctrine of feeding the grant by estoppel</w:t>
      </w:r>
    </w:p>
    <w:p>
      <w:pPr>
        <w:spacing w:after="0" w:before="0" w:line="240"/>
        <w:ind w:left="567" w:right="567"/>
      </w:pPr>
      <w:r>
        <w:rPr>
          <w:rFonts w:ascii="Calibri" w:cs="Calibri" w:eastAsia="Calibri" w:hAnsi="Calibri"/>
          <w:b w:val="false"/>
          <w:bCs w:val="false"/>
          <w:i w:val="false"/>
          <w:iCs w:val="false"/>
          <w:color w:val="000000"/>
          <w:sz w:val="28"/>
          <w:szCs w:val="28"/>
        </w:rPr>
        <w:t xml:space="preserve">The expression "Feeding the Grant by Estoppel" refers to a situation where a person transfers property without possessing title but subsequently acquires that title. The subsequently acquired title "feeds" or validates the earlier transfer at the option of the transferee. The doctrine recognises that although the transfer was ineffective at the time it was made, equity will treat it as effective once the transferor acquires the necessary interest. It originated in English equity to mitigate the harshness of the common law rule of nemo dat quod non habet and was codified in Indian law through Section 43 of the Transfer of Property Act, 1882.</w:t>
      </w:r>
    </w:p>
    <w:p>
      <w:pPr>
        <w:spacing w:after="0" w:before="0" w:line="240"/>
      </w:pPr>
      <w: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At the time of transfer, the grant is defective because the transferor lacks title. Later, the transferor acquires title. The newly acquired title nourishes or "feeds" the earlier defective grant, making it capable of enforcement. Hence the doctrine is known as "Feeding the Grant by Estoppel." The doctrine rests upon the equitable maxim: "A person shall not be allowed to approbate and reprobate." A transferor who represented that he possessed authority cannot later deny that representation after obtaining the very interest which he professed to transfer.</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4. essential conditions under section 43</w:t>
      </w:r>
    </w:p>
    <w:p>
      <w:pPr>
        <w:spacing w:after="0" w:before="0" w:line="240"/>
        <w:ind w:left="567" w:right="567"/>
      </w:pPr>
      <w:r>
        <w:rPr>
          <w:rFonts w:ascii="Calibri" w:cs="Calibri" w:eastAsia="Calibri" w:hAnsi="Calibri"/>
          <w:b w:val="false"/>
          <w:bCs w:val="false"/>
          <w:i w:val="false"/>
          <w:iCs w:val="false"/>
          <w:color w:val="000000"/>
          <w:sz w:val="28"/>
          <w:szCs w:val="28"/>
        </w:rPr>
        <w:t xml:space="preserve">For Section 43 to operate, every essential condition must be satisfied. First, the transferor must make a fraudulent or erroneous representation that he is competent to transfer the property. Both fraudulent misrepresentation and honest mistake are covered. Second, the representation must concern identifiable immovable property capable of being transferred. Third, the transfer must be for valuable consideration — gifts and gratuitous transfers are expressly excluded. Fourth, and most importantly, the transferor must subsequently acquire any interest in the property through inheritance, purchase, partition, court decree, family settlement, release by a co-owner, or any other lawful mode. This is the heart of Section 43. Fifth, the original contract must continue to subsist — if it has been lawfully rescinded, cancelled, or terminated, Section 43 cannot be invoked. Sixth, the transfer operates only at the option of the transferee, who alone decides whether to enforce it. Seventh, if before the original transferee exercises his option the transferor transfers the property to a subsequent purchaser who pays valuable consideration in good faith and without notice of the earlier transaction, that subsequent purchaser's rights are protected by the proviso to Section 43.</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5. spes successionis and section 43 – distinction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6(a) of the Transfer of Property Act declares that a mere chance of an heir-apparent succeeding to an estate — spes successionis — cannot be transferred. This prohibition prevents the transfer of a mere expectation of future succession. Section 43, by contrast, applies where a person represents that he has authority to transfer property and then actually acquires it. The decisive distinction is that under Section 6(a) the transfer involves only a bare expectancy without any representation of present authority, whereas under Section 43 the transferor makes a positive representation of present authority and subsequently acquires the title he professed to have.</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Distinction between spes successionis (Section 6(a)) and rule of estoppel (Section 43)</w:t>
      </w:r>
    </w:p>
    <w:p>
      <w:pPr>
        <w:spacing w:after="0" w:before="0" w:line="24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CellMar>
          <w:left w:type="dxa" w:w="900"/>
          <w:right w:type="dxa" w:w="900"/>
        </w:tblCellMar>
      </w:tblPr>
      <w:tblGrid>
        <w:gridCol w:w="3368"/>
        <w:gridCol w:w="3368"/>
        <w:gridCol w:w="3368"/>
      </w:tblGrid>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Basis</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Spes successionis – Section 6(a)</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Rule of estoppel – Section 43</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Meaning</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Mere expectation of succession</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Transfer by unauthorised person who later acquires title</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Nature of right</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No present proprietary interest</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Equitable right arising from representation</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Transferability</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Not transferable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May become enforceable upon subsequent acquisition</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Representation</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No representation required</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Representation by transferor is essential</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Consideration</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Not material</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Essential requirement</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Subsequent acquisition</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Not relevant</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Essential condition</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Legal principle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Protects against transfer of future expectancy</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Prevents transferor from denying his own representation</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Result</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Transfer void as to expectancy</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Transfer may operate on later-acquired interest at the transferee's option</w:t>
            </w:r>
          </w:p>
        </w:tc>
      </w:tr>
    </w:tbl>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6. applications of section 43</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43 applies in several practical situations. In the most common case, a person transfers property without possessing ownership and subsequently inherits that property. The original purchaser may then elect to enforce the transfer. It also applies where the transferor mistakenly believes himself to be the sole heir and sells property, which is later confirmed to be his through succession proceedings. The doctrine operates in family property disputes where a co-parcener who sold land believing it exclusively his obtains that land in a subsequent partition. It applies where a court decree later declares the transferor to be the rightful owner of the previously disputed property. It equally operates where the transferor subsequently purchases the property from the true owner. Property acquired through a release deed, family arrangement, compromise, or relinquishment by a co-owner also feeds the earlier transfer.</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7. relevant case laws</w:t>
      </w:r>
    </w:p>
    <w:p>
      <w:pPr>
        <w:spacing w:after="0" w:before="0" w:line="240"/>
        <w:ind w:left="567" w:right="567"/>
      </w:pPr>
      <w:r>
        <w:rPr>
          <w:rFonts w:ascii="Calibri" w:cs="Calibri" w:eastAsia="Calibri" w:hAnsi="Calibri"/>
          <w:b/>
          <w:bCs/>
          <w:color w:val="000000"/>
          <w:sz w:val="28"/>
          <w:szCs w:val="28"/>
        </w:rPr>
        <w:t xml:space="preserve">Jumma Masjid, Mercara v. Kodimaniandra Deviah</w:t>
      </w:r>
    </w:p>
    <w:p>
      <w:pPr>
        <w:spacing w:after="0" w:before="0" w:line="240"/>
        <w:ind w:left="567" w:right="567"/>
      </w:pPr>
      <w:r>
        <w:rPr>
          <w:rFonts w:ascii="Calibri" w:cs="Calibri" w:eastAsia="Calibri" w:hAnsi="Calibri"/>
          <w:b/>
          <w:bCs/>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1962 SC 847</w:t>
      </w:r>
    </w:p>
    <w:p>
      <w:pPr>
        <w:spacing w:after="0" w:before="0" w:line="240"/>
        <w:ind w:left="567" w:right="567"/>
      </w:pPr>
      <w:r>
        <w:rPr>
          <w:rFonts w:ascii="Calibri" w:cs="Calibri" w:eastAsia="Calibri" w:hAnsi="Calibri"/>
          <w:b/>
          <w:bCs/>
          <w:color w:val="000000"/>
          <w:sz w:val="28"/>
          <w:szCs w:val="28"/>
        </w:rPr>
        <w:t xml:space="preserve">Facts: </w:t>
      </w:r>
      <w:r>
        <w:rPr>
          <w:rFonts w:ascii="Calibri" w:cs="Calibri" w:eastAsia="Calibri" w:hAnsi="Calibri"/>
          <w:b w:val="false"/>
          <w:bCs w:val="false"/>
          <w:i w:val="false"/>
          <w:iCs w:val="false"/>
          <w:color w:val="000000"/>
          <w:sz w:val="28"/>
          <w:szCs w:val="28"/>
        </w:rPr>
        <w:t xml:space="preserve">The transferor purported to transfer immovable property although he had no title at the time. Subsequently, he acquired ownership of the same property. The transferee sought enforcement of the earlier transfer under Section 43.</w:t>
      </w:r>
    </w:p>
    <w:p>
      <w:pPr>
        <w:spacing w:after="0" w:before="0" w:line="240"/>
        <w:ind w:left="567" w:right="567"/>
      </w:pPr>
      <w:r>
        <w:rPr>
          <w:rFonts w:ascii="Calibri" w:cs="Calibri" w:eastAsia="Calibri" w:hAnsi="Calibri"/>
          <w:b/>
          <w:bCs/>
          <w:color w:val="000000"/>
          <w:sz w:val="28"/>
          <w:szCs w:val="28"/>
        </w:rPr>
        <w:t xml:space="preserve">Issue: </w:t>
      </w:r>
      <w:r>
        <w:rPr>
          <w:rFonts w:ascii="Calibri" w:cs="Calibri" w:eastAsia="Calibri" w:hAnsi="Calibri"/>
          <w:b w:val="false"/>
          <w:bCs w:val="false"/>
          <w:i w:val="false"/>
          <w:iCs w:val="false"/>
          <w:color w:val="000000"/>
          <w:sz w:val="28"/>
          <w:szCs w:val="28"/>
        </w:rPr>
        <w:t xml:space="preserve">Whether Section 43 applies where the transferor acquires title after making the transfer and whether the transferee can compel transfer of the subsequently acquired interest.</w:t>
      </w:r>
    </w:p>
    <w:p>
      <w:pPr>
        <w:spacing w:after="0" w:before="0" w:line="240"/>
        <w:ind w:left="567" w:right="567"/>
      </w:pPr>
      <w:r>
        <w:rPr>
          <w:rFonts w:ascii="Calibri" w:cs="Calibri" w:eastAsia="Calibri" w:hAnsi="Calibri"/>
          <w:b/>
          <w:bCs/>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Section 43 embodies the equitable doctrine of Feeding the Grant by Estoppel. Where a transferor falsely or mistakenly represents that he has authority to transfer property and later acquires title, the transferee may elect to enforce the earlier transfer. The transfer must be for consideration; the representation may be fraudulent or erroneous; the contract must continue to subsist; and the transferee alone has the option to enforce. The Court upheld the applicability of Section 43 and recognised the transferee's right to enforce the subsequently acquired interest. This remains the leading authority on Section 43.</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Hardev Singh v. Gurmail Singh</w:t>
      </w:r>
    </w:p>
    <w:p>
      <w:pPr>
        <w:spacing w:after="0" w:before="0" w:line="240"/>
        <w:ind w:left="567" w:right="567"/>
      </w:pPr>
      <w:r>
        <w:rPr>
          <w:rFonts w:ascii="Calibri" w:cs="Calibri" w:eastAsia="Calibri" w:hAnsi="Calibri"/>
          <w:b/>
          <w:bCs/>
          <w:color w:val="000000"/>
          <w:sz w:val="28"/>
          <w:szCs w:val="28"/>
        </w:rPr>
        <w:t xml:space="preserve">Citation: </w:t>
      </w:r>
      <w:r>
        <w:rPr>
          <w:rFonts w:ascii="Calibri" w:cs="Calibri" w:eastAsia="Calibri" w:hAnsi="Calibri"/>
          <w:b w:val="false"/>
          <w:bCs w:val="false"/>
          <w:i w:val="false"/>
          <w:iCs w:val="false"/>
          <w:color w:val="000000"/>
          <w:sz w:val="28"/>
          <w:szCs w:val="28"/>
        </w:rPr>
        <w:t xml:space="preserve">(2007) 2 SCC 404</w:t>
      </w:r>
    </w:p>
    <w:p>
      <w:pPr>
        <w:spacing w:after="0" w:before="0" w:line="240"/>
        <w:ind w:left="567" w:right="567"/>
      </w:pPr>
      <w:r>
        <w:rPr>
          <w:rFonts w:ascii="Calibri" w:cs="Calibri" w:eastAsia="Calibri" w:hAnsi="Calibri"/>
          <w:b/>
          <w:bCs/>
          <w:color w:val="000000"/>
          <w:sz w:val="28"/>
          <w:szCs w:val="28"/>
        </w:rPr>
        <w:t xml:space="preserve">Facts: </w:t>
      </w:r>
      <w:r>
        <w:rPr>
          <w:rFonts w:ascii="Calibri" w:cs="Calibri" w:eastAsia="Calibri" w:hAnsi="Calibri"/>
          <w:b w:val="false"/>
          <w:bCs w:val="false"/>
          <w:i w:val="false"/>
          <w:iCs w:val="false"/>
          <w:color w:val="000000"/>
          <w:sz w:val="28"/>
          <w:szCs w:val="28"/>
        </w:rPr>
        <w:t xml:space="preserve">The dispute involved competing claims over immovable property and the applicability of equitable principles under the Transfer of Property Act.</w:t>
      </w:r>
    </w:p>
    <w:p>
      <w:pPr>
        <w:spacing w:after="0" w:before="0" w:line="240"/>
        <w:ind w:left="567" w:right="567"/>
      </w:pPr>
      <w:r>
        <w:rPr>
          <w:rFonts w:ascii="Calibri" w:cs="Calibri" w:eastAsia="Calibri" w:hAnsi="Calibri"/>
          <w:b/>
          <w:bCs/>
          <w:color w:val="000000"/>
          <w:sz w:val="28"/>
          <w:szCs w:val="28"/>
        </w:rPr>
        <w:t xml:space="preserve">Issue: </w:t>
      </w:r>
      <w:r>
        <w:rPr>
          <w:rFonts w:ascii="Calibri" w:cs="Calibri" w:eastAsia="Calibri" w:hAnsi="Calibri"/>
          <w:b w:val="false"/>
          <w:bCs w:val="false"/>
          <w:i w:val="false"/>
          <w:iCs w:val="false"/>
          <w:color w:val="000000"/>
          <w:sz w:val="28"/>
          <w:szCs w:val="28"/>
        </w:rPr>
        <w:t xml:space="preserve">Whether statutory protection could be claimed without satisfying the conditions prescribed by the Transfer of Property Act.</w:t>
      </w:r>
    </w:p>
    <w:p>
      <w:pPr>
        <w:spacing w:after="0" w:before="0" w:line="240"/>
        <w:ind w:left="567" w:right="567"/>
      </w:pPr>
      <w:r>
        <w:rPr>
          <w:rFonts w:ascii="Calibri" w:cs="Calibri" w:eastAsia="Calibri" w:hAnsi="Calibri"/>
          <w:b/>
          <w:bCs/>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reiterated that equitable doctrines under the Transfer of Property Act cannot be invoked unless the statutory requirements are fulfilled. The Court emphasised bona fide conduct, valuable consideration, and compliance with the statutory conditions of the relevant provision. Equitable protection cannot be claimed by persons acting without good faith or contrary to statutory requirements.</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Delhi Development Authority v. Ravindra Mohan Aggarwal</w:t>
      </w:r>
    </w:p>
    <w:p>
      <w:pPr>
        <w:spacing w:after="0" w:before="0" w:line="240"/>
        <w:ind w:left="567" w:right="567"/>
      </w:pPr>
      <w:r>
        <w:rPr>
          <w:rFonts w:ascii="Calibri" w:cs="Calibri" w:eastAsia="Calibri" w:hAnsi="Calibri"/>
          <w:b/>
          <w:bCs/>
          <w:color w:val="000000"/>
          <w:sz w:val="28"/>
          <w:szCs w:val="28"/>
        </w:rPr>
        <w:t xml:space="preserve">Citation: </w:t>
      </w:r>
      <w:r>
        <w:rPr>
          <w:rFonts w:ascii="Calibri" w:cs="Calibri" w:eastAsia="Calibri" w:hAnsi="Calibri"/>
          <w:b w:val="false"/>
          <w:bCs w:val="false"/>
          <w:i w:val="false"/>
          <w:iCs w:val="false"/>
          <w:color w:val="000000"/>
          <w:sz w:val="28"/>
          <w:szCs w:val="28"/>
        </w:rPr>
        <w:t xml:space="preserve">(1999) 1 SCC 593</w:t>
      </w:r>
    </w:p>
    <w:p>
      <w:pPr>
        <w:spacing w:after="0" w:before="0" w:line="240"/>
        <w:ind w:left="567" w:right="567"/>
      </w:pPr>
      <w:r>
        <w:rPr>
          <w:rFonts w:ascii="Calibri" w:cs="Calibri" w:eastAsia="Calibri" w:hAnsi="Calibri"/>
          <w:b/>
          <w:bCs/>
          <w:color w:val="000000"/>
          <w:sz w:val="28"/>
          <w:szCs w:val="28"/>
        </w:rPr>
        <w:t xml:space="preserve">Facts: </w:t>
      </w:r>
      <w:r>
        <w:rPr>
          <w:rFonts w:ascii="Calibri" w:cs="Calibri" w:eastAsia="Calibri" w:hAnsi="Calibri"/>
          <w:b w:val="false"/>
          <w:bCs w:val="false"/>
          <w:i w:val="false"/>
          <w:iCs w:val="false"/>
          <w:color w:val="000000"/>
          <w:sz w:val="28"/>
          <w:szCs w:val="28"/>
        </w:rPr>
        <w:t xml:space="preserve">The dispute involved competing claims regarding ownership and transfer of immovable property.</w:t>
      </w:r>
    </w:p>
    <w:p>
      <w:pPr>
        <w:spacing w:after="0" w:before="0" w:line="240"/>
        <w:ind w:left="567" w:right="567"/>
      </w:pPr>
      <w:r>
        <w:rPr>
          <w:rFonts w:ascii="Calibri" w:cs="Calibri" w:eastAsia="Calibri" w:hAnsi="Calibri"/>
          <w:b/>
          <w:bCs/>
          <w:color w:val="000000"/>
          <w:sz w:val="28"/>
          <w:szCs w:val="28"/>
        </w:rPr>
        <w:t xml:space="preserve">Issue: </w:t>
      </w:r>
      <w:r>
        <w:rPr>
          <w:rFonts w:ascii="Calibri" w:cs="Calibri" w:eastAsia="Calibri" w:hAnsi="Calibri"/>
          <w:b w:val="false"/>
          <w:bCs w:val="false"/>
          <w:i w:val="false"/>
          <w:iCs w:val="false"/>
          <w:color w:val="000000"/>
          <w:sz w:val="28"/>
          <w:szCs w:val="28"/>
        </w:rPr>
        <w:t xml:space="preserve">Whether equitable doctrines could override statutory provisions governing transfer.</w:t>
      </w:r>
    </w:p>
    <w:p>
      <w:pPr>
        <w:spacing w:after="0" w:before="0" w:line="240"/>
        <w:ind w:left="567" w:right="567"/>
      </w:pPr>
      <w:r>
        <w:rPr>
          <w:rFonts w:ascii="Calibri" w:cs="Calibri" w:eastAsia="Calibri" w:hAnsi="Calibri"/>
          <w:b/>
          <w:bCs/>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equitable principles supplement the law but cannot override express statutory provisions. Statutory requirements governing the transfer of property must be strictly complied with before equitable relief can be granted. Section 43 operates within the framework of the Transfer of Property Act and does not supersede mandatory statutory provisions.</w:t>
      </w:r>
    </w:p>
    <w:p>
      <w:pPr>
        <w:spacing w:after="0" w:before="0" w:line="240"/>
      </w:pPr>
      <w:r>
        <w:t xml:space="preserve"/>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Chapter iii – doctrine of lis pendens (section 52)</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1. introduction and meaning</w:t>
      </w:r>
    </w:p>
    <w:p>
      <w:pPr>
        <w:spacing w:after="0" w:before="0" w:line="240"/>
        <w:ind w:left="567" w:right="567"/>
      </w:pPr>
      <w:r>
        <w:rPr>
          <w:rFonts w:ascii="Calibri" w:cs="Calibri" w:eastAsia="Calibri" w:hAnsi="Calibri"/>
          <w:b w:val="false"/>
          <w:bCs w:val="false"/>
          <w:i w:val="false"/>
          <w:iCs w:val="false"/>
          <w:color w:val="000000"/>
          <w:sz w:val="28"/>
          <w:szCs w:val="28"/>
        </w:rPr>
        <w:t xml:space="preserve">The Doctrine of Lis Pendens is embodied in Section 52 of the Transfer of Property Act, 1882. The expression "Lis Pendens" is derived from two Latin words: "Lis" meaning litigation or legal dispute, and "Pendens" meaning pending or continuing. Lis Pendens therefore means "a pending legal proceeding." The doctrine is designed to maintain the status quo of property during the pendency of litigation by preventing parties from transferring or otherwise dealing with the disputed property in a manner that may prejudice the rights of the other party or obstruct the effective execution of the court's decree.</w:t>
      </w:r>
    </w:p>
    <w:p>
      <w:pPr>
        <w:spacing w:after="0" w:before="0" w:line="240"/>
      </w:pPr>
      <w: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Ordinarily, an owner enjoys unrestricted powers to transfer or alienate his property. However, once litigation concerning rights in immovable property has commenced before a competent court, this freedom is curtailed. During the pendency of such litigation, neither party may transfer or otherwise deal with the property so as to affect the rights ultimately determined by the court, except with the court's permission. The doctrine does not invalidate the transfer made during litigation. Instead, it provides that any such transfer remains subordinate to the rights determined by the court in the pending suit. The object of Section 52 is to preserve the authority of the court, prevent multiplicity of proceedings, avoid conflicting decisions, and ensure that justice is not defeated by alienations made during litigation. The doctrine is founded upon public policy, necessity, and equity.</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2. section 52 – transfer of property pending suit relating thereto</w:t>
      </w:r>
    </w:p>
    <w:p>
      <w:pPr>
        <w:spacing w:after="0" w:before="0" w:line="240"/>
        <w:ind w:left="567" w:right="567"/>
      </w:pPr>
      <w:r>
        <w:rPr>
          <w:rFonts w:ascii="Calibri" w:cs="Calibri" w:eastAsia="Calibri" w:hAnsi="Calibri"/>
          <w:b/>
          <w:bCs/>
          <w:color w:val="000000"/>
          <w:sz w:val="28"/>
          <w:szCs w:val="28"/>
        </w:rPr>
        <w:t xml:space="preserve">Section 52 of the Transfer of Property Act, 1882 (Transfer of property pending suit relating thereto):</w:t>
      </w:r>
    </w:p>
    <w:p>
      <w:pPr>
        <w:spacing w:after="0" w:before="0" w:line="240"/>
        <w:ind w:left="567" w:right="567"/>
      </w:pPr>
      <w:r>
        <w:rPr>
          <w:rFonts w:ascii="Calibri" w:cs="Calibri" w:eastAsia="Calibri" w:hAnsi="Calibri"/>
          <w:b w:val="false"/>
          <w:bCs w:val="false"/>
          <w:i w:val="false"/>
          <w:iCs w:val="false"/>
          <w:color w:val="000000"/>
          <w:sz w:val="28"/>
          <w:szCs w:val="28"/>
        </w:rPr>
        <w:t xml:space="preserve">During the pendency in any Court having authority within the Territories of India, or established beyond the limits of India by the Central Government, of any suit or proceeding which is not collusive and in which any right to immovable property is directly and specifically in question, the property cannot be transferred or otherwise dealt with by any party to the suit or proceeding so as to affect the rights of any other party thereto under any decree or order which may be made therein, except under the authority of the Court and on such terms as it may impose.
Explanation: For the purposes of this section, the pendency of a suit or proceeding shall be deemed to commence from the date of the presentation of the plaint or the institution of the proceeding in a Court of competent jurisdiction, and to continue until the suit or proceeding has been disposed of by a final decree or order and complete satisfaction or discharge of such decree or order has been obtained, or has become unobtainable by reason of the expiration of any period of limitation prescribed for the execution thereof by any law for the time being in force.</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52 provides that during the pendency of any genuine (non-collusive) suit or proceeding in which any right to immovable property is directly and specifically in question, the property cannot be transferred or otherwise dealt with by any party to the suit so as to affect the rights of another party under the eventual decree, except with the permission of the court. The Explanation clarifies that pendency begins from the date of presentation of the plaint and continues until the suit is finally disposed of and the decree is fully satisfied, discharged, or executed, or until execution becomes impossible by limitation. The doctrine therefore extends not merely until judgment but throughout the execution period. A common misunderstanding is that a transfer during pendency is void — this is incorrect. The transfer is perfectly valid between the parties but the transferee acquires the property subject to the outcome of the pending litigation. The transferee steps into the shoes of the transferor and is bound by the decree as if he were a party. The doctrine operates irrespective of whether the transferee had actual notice of the pending suit — the very pendency is constructive notice to the world.</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3. essential elements under section 52</w:t>
      </w:r>
    </w:p>
    <w:p>
      <w:pPr>
        <w:spacing w:after="0" w:before="0" w:line="240"/>
        <w:ind w:left="567" w:right="567"/>
      </w:pPr>
      <w:r>
        <w:rPr>
          <w:rFonts w:ascii="Calibri" w:cs="Calibri" w:eastAsia="Calibri" w:hAnsi="Calibri"/>
          <w:b w:val="false"/>
          <w:bCs w:val="false"/>
          <w:i w:val="false"/>
          <w:iCs w:val="false"/>
          <w:color w:val="000000"/>
          <w:sz w:val="28"/>
          <w:szCs w:val="28"/>
        </w:rPr>
        <w:t xml:space="preserve">For the Doctrine of Lis Pendens to apply, all the statutory conditions must coexist. First, there must be a pendency of a suit or proceeding, which commences on the date the plaint is presented before a competent court. Second, the suit must not be collusive — a suit instituted by agreement between the parties to defraud third parties or to avoid creditors does not receive protection under Section 52. Third, the suit must relate to immovable property. Fourth, the right to immovable property must be directly and specifically in question — if the property is only incidentally involved, the section does not apply. A suit for ownership, title, possession, partition, specific performance, or mortgage rights directly involves property rights; a money suit where a party happens to own property does not. Fifth, the court before which the suit is pending must have competent jurisdiction. Sixth, the transfer or dealing must be by a party to the litigation. Seventh, the transfer must have the potential to prejudice or affect the rights ultimately declared by the court. Eighth, the transfer must occur without prior permission of the court.</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4. effect of a transfer pendente lite</w:t>
      </w:r>
    </w:p>
    <w:p>
      <w:pPr>
        <w:spacing w:after="0" w:before="0" w:line="240"/>
        <w:ind w:left="567" w:right="567"/>
      </w:pPr>
      <w:r>
        <w:rPr>
          <w:rFonts w:ascii="Calibri" w:cs="Calibri" w:eastAsia="Calibri" w:hAnsi="Calibri"/>
          <w:b w:val="false"/>
          <w:bCs w:val="false"/>
          <w:i w:val="false"/>
          <w:iCs w:val="false"/>
          <w:color w:val="000000"/>
          <w:sz w:val="28"/>
          <w:szCs w:val="28"/>
        </w:rPr>
        <w:t xml:space="preserve">A transfer made during the pendency of a suit concerning the transferred property is not void. It is valid between the transferor and the transferee but it is subordinate to the rights declared by the competent court. The transferee acquires only such rights as remain with the transferor after the final adjudication. He cannot claim rights superior to those of the successful litigant. The transferee is treated as representing the transferor, and the successful litigant may enforce the decree against the transferee as if he were a party to the proceedings. The doctrine prevents multiplicity of litigation because the transferee is bound by the decree without any need for separate proceedings against him.</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Distinction between Section 41 and Section 52</w:t>
      </w:r>
    </w:p>
    <w:p>
      <w:pPr>
        <w:spacing w:after="0" w:before="0" w:line="24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CellMar>
          <w:left w:type="dxa" w:w="900"/>
          <w:right w:type="dxa" w:w="900"/>
        </w:tblCellMar>
      </w:tblPr>
      <w:tblGrid>
        <w:gridCol w:w="3368"/>
        <w:gridCol w:w="3368"/>
        <w:gridCol w:w="3368"/>
      </w:tblGrid>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Basis</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Section 41 – Ostensible owner</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Section 52 – Lis pendens</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Doctrine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Ostensible ownership</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Lis pendens</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Object</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Protects bona fide purchasers</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Protects pending litigation</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Basis</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Estoppel</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Public policy</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Good faith</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Essential</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Not relevant</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Notice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Material</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Immaterial</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Transfer</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Protected if statutory conditions satisfied</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Transfer remains subject to the decree</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Consent of owner</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Necessary</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Not relevant</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Effect</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Purchaser acquires valid title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Purchaser acquires title subject to litigation outcome</w:t>
            </w:r>
          </w:p>
        </w:tc>
      </w:tr>
    </w:tbl>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5. jurisprudential basis</w:t>
      </w:r>
    </w:p>
    <w:p>
      <w:pPr>
        <w:spacing w:after="0" w:before="0" w:line="240"/>
        <w:ind w:left="567" w:right="567"/>
      </w:pPr>
      <w:r>
        <w:rPr>
          <w:rFonts w:ascii="Calibri" w:cs="Calibri" w:eastAsia="Calibri" w:hAnsi="Calibri"/>
          <w:b w:val="false"/>
          <w:bCs w:val="false"/>
          <w:i w:val="false"/>
          <w:iCs w:val="false"/>
          <w:color w:val="000000"/>
          <w:sz w:val="28"/>
          <w:szCs w:val="28"/>
        </w:rPr>
        <w:t xml:space="preserve">The doctrine primarily rests on public policy. Courts exist to determine disputes conclusively. If parties were free to alienate disputed property during litigation, judicial decisions would become ineffective. Without the doctrine, every transfer would require fresh litigation against each subsequent transferee, causing endless proceedings. The doctrine also rests on necessity — without it, decrees would become unenforceable and judicial proceedings would continue indefinitely. It also protects the equitable rights of litigants by preventing one party from defeating another's rights through a transfer during litigation. As Poonam Pradhan Saxena explains in Property Law (LexisNexis, 2017), the doctrine of Lis Pendens does not prohibit transfers during litigation; rather, it subordinates such transfers to the rights determined by the court, protecting the integrity of judicial proceedings and ensuring that litigation culminates in an effective and enforceable decree.</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6. relevant case laws</w:t>
      </w:r>
    </w:p>
    <w:p>
      <w:pPr>
        <w:spacing w:after="0" w:before="0" w:line="240"/>
        <w:ind w:left="567" w:right="567"/>
      </w:pPr>
      <w:r>
        <w:rPr>
          <w:rFonts w:ascii="Calibri" w:cs="Calibri" w:eastAsia="Calibri" w:hAnsi="Calibri"/>
          <w:b/>
          <w:bCs/>
          <w:color w:val="000000"/>
          <w:sz w:val="28"/>
          <w:szCs w:val="28"/>
        </w:rPr>
        <w:t xml:space="preserve">Bellamy v. Sabine</w:t>
      </w:r>
    </w:p>
    <w:p>
      <w:pPr>
        <w:spacing w:after="0" w:before="0" w:line="240"/>
        <w:ind w:left="567" w:right="567"/>
      </w:pPr>
      <w:r>
        <w:rPr>
          <w:rFonts w:ascii="Calibri" w:cs="Calibri" w:eastAsia="Calibri" w:hAnsi="Calibri"/>
          <w:b/>
          <w:bCs/>
          <w:color w:val="000000"/>
          <w:sz w:val="28"/>
          <w:szCs w:val="28"/>
        </w:rPr>
        <w:t xml:space="preserve">Citation: </w:t>
      </w:r>
      <w:r>
        <w:rPr>
          <w:rFonts w:ascii="Calibri" w:cs="Calibri" w:eastAsia="Calibri" w:hAnsi="Calibri"/>
          <w:b w:val="false"/>
          <w:bCs w:val="false"/>
          <w:i w:val="false"/>
          <w:iCs w:val="false"/>
          <w:color w:val="000000"/>
          <w:sz w:val="28"/>
          <w:szCs w:val="28"/>
        </w:rPr>
        <w:t xml:space="preserve">(1857) 1 De G and J 566; 44 ER 842 (Court of Appeal in Chancery)</w:t>
      </w:r>
    </w:p>
    <w:p>
      <w:pPr>
        <w:spacing w:after="0" w:before="0" w:line="240"/>
        <w:ind w:left="567" w:right="567"/>
      </w:pPr>
      <w:r>
        <w:rPr>
          <w:rFonts w:ascii="Calibri" w:cs="Calibri" w:eastAsia="Calibri" w:hAnsi="Calibri"/>
          <w:b/>
          <w:bCs/>
          <w:color w:val="000000"/>
          <w:sz w:val="28"/>
          <w:szCs w:val="28"/>
        </w:rPr>
        <w:t xml:space="preserve">Facts: </w:t>
      </w:r>
      <w:r>
        <w:rPr>
          <w:rFonts w:ascii="Calibri" w:cs="Calibri" w:eastAsia="Calibri" w:hAnsi="Calibri"/>
          <w:b w:val="false"/>
          <w:bCs w:val="false"/>
          <w:i w:val="false"/>
          <w:iCs w:val="false"/>
          <w:color w:val="000000"/>
          <w:sz w:val="28"/>
          <w:szCs w:val="28"/>
        </w:rPr>
        <w:t xml:space="preserve">During the pendency of litigation relating to immovable property, one of the parties transferred the disputed property to another person. The purchaser argued that he had purchased without knowledge of the pending litigation and should not be bound by the decree.</w:t>
      </w:r>
    </w:p>
    <w:p>
      <w:pPr>
        <w:spacing w:after="0" w:before="0" w:line="240"/>
        <w:ind w:left="567" w:right="567"/>
      </w:pPr>
      <w:r>
        <w:rPr>
          <w:rFonts w:ascii="Calibri" w:cs="Calibri" w:eastAsia="Calibri" w:hAnsi="Calibri"/>
          <w:b/>
          <w:bCs/>
          <w:color w:val="000000"/>
          <w:sz w:val="28"/>
          <w:szCs w:val="28"/>
        </w:rPr>
        <w:t xml:space="preserve">Issue: </w:t>
      </w:r>
      <w:r>
        <w:rPr>
          <w:rFonts w:ascii="Calibri" w:cs="Calibri" w:eastAsia="Calibri" w:hAnsi="Calibri"/>
          <w:b w:val="false"/>
          <w:bCs w:val="false"/>
          <w:i w:val="false"/>
          <w:iCs w:val="false"/>
          <w:color w:val="000000"/>
          <w:sz w:val="28"/>
          <w:szCs w:val="28"/>
        </w:rPr>
        <w:t xml:space="preserve">Whether a purchaser pendente lite is bound by the decree passed in the pending suit, and whether absence of notice protects such a purchaser.</w:t>
      </w:r>
    </w:p>
    <w:p>
      <w:pPr>
        <w:spacing w:after="0" w:before="0" w:line="240"/>
        <w:ind w:left="567" w:right="567"/>
      </w:pPr>
      <w:r>
        <w:rPr>
          <w:rFonts w:ascii="Calibri" w:cs="Calibri" w:eastAsia="Calibri" w:hAnsi="Calibri"/>
          <w:b/>
          <w:bCs/>
          <w:color w:val="000000"/>
          <w:sz w:val="28"/>
          <w:szCs w:val="28"/>
        </w:rPr>
        <w:t xml:space="preserve">Held: </w:t>
      </w:r>
      <w:r>
        <w:rPr>
          <w:rFonts w:ascii="Calibri" w:cs="Calibri" w:eastAsia="Calibri" w:hAnsi="Calibri"/>
          <w:b w:val="false"/>
          <w:bCs w:val="false"/>
          <w:i w:val="false"/>
          <w:iCs w:val="false"/>
          <w:color w:val="000000"/>
          <w:sz w:val="28"/>
          <w:szCs w:val="28"/>
        </w:rPr>
        <w:t xml:space="preserve">Lord Justice Turner held that the doctrine of Lis Pendens is founded upon public policy rather than notice. He observed that it would plainly be impossible for any action to be brought to a successful termination if alienations pendente lite were permitted to prevail. The purchaser was held bound by the decree irrespective of absence of notice. This case constitutes the historical foundation of the modern doctrine of Lis Pendens and directly influenced the drafting of Section 52.</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Jayaram Mudaliar v. Ayyaswami and Others</w:t>
      </w:r>
    </w:p>
    <w:p>
      <w:pPr>
        <w:spacing w:after="0" w:before="0" w:line="240"/>
        <w:ind w:left="567" w:right="567"/>
      </w:pPr>
      <w:r>
        <w:rPr>
          <w:rFonts w:ascii="Calibri" w:cs="Calibri" w:eastAsia="Calibri" w:hAnsi="Calibri"/>
          <w:b/>
          <w:bCs/>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1973 SC 569</w:t>
      </w:r>
    </w:p>
    <w:p>
      <w:pPr>
        <w:spacing w:after="0" w:before="0" w:line="240"/>
        <w:ind w:left="567" w:right="567"/>
      </w:pPr>
      <w:r>
        <w:rPr>
          <w:rFonts w:ascii="Calibri" w:cs="Calibri" w:eastAsia="Calibri" w:hAnsi="Calibri"/>
          <w:b/>
          <w:bCs/>
          <w:color w:val="000000"/>
          <w:sz w:val="28"/>
          <w:szCs w:val="28"/>
        </w:rPr>
        <w:t xml:space="preserve">Facts: </w:t>
      </w:r>
      <w:r>
        <w:rPr>
          <w:rFonts w:ascii="Calibri" w:cs="Calibri" w:eastAsia="Calibri" w:hAnsi="Calibri"/>
          <w:b w:val="false"/>
          <w:bCs w:val="false"/>
          <w:i w:val="false"/>
          <w:iCs w:val="false"/>
          <w:color w:val="000000"/>
          <w:sz w:val="28"/>
          <w:szCs w:val="28"/>
        </w:rPr>
        <w:t xml:space="preserve">During the pendency of litigation relating to immovable property, one of the parties transferred the disputed property to another person. The transferee claimed independent rights over the property.</w:t>
      </w:r>
    </w:p>
    <w:p>
      <w:pPr>
        <w:spacing w:after="0" w:before="0" w:line="240"/>
        <w:ind w:left="567" w:right="567"/>
      </w:pPr>
      <w:r>
        <w:rPr>
          <w:rFonts w:ascii="Calibri" w:cs="Calibri" w:eastAsia="Calibri" w:hAnsi="Calibri"/>
          <w:b/>
          <w:bCs/>
          <w:color w:val="000000"/>
          <w:sz w:val="28"/>
          <w:szCs w:val="28"/>
        </w:rPr>
        <w:t xml:space="preserve">Issue: </w:t>
      </w:r>
      <w:r>
        <w:rPr>
          <w:rFonts w:ascii="Calibri" w:cs="Calibri" w:eastAsia="Calibri" w:hAnsi="Calibri"/>
          <w:b w:val="false"/>
          <w:bCs w:val="false"/>
          <w:i w:val="false"/>
          <w:iCs w:val="false"/>
          <w:color w:val="000000"/>
          <w:sz w:val="28"/>
          <w:szCs w:val="28"/>
        </w:rPr>
        <w:t xml:space="preserve">Whether the transferee could claim rights superior to those of the transferor and whether Section 52 applies irrespective of notice.</w:t>
      </w:r>
    </w:p>
    <w:p>
      <w:pPr>
        <w:spacing w:after="0" w:before="0" w:line="240"/>
        <w:ind w:left="567" w:right="567"/>
      </w:pPr>
      <w:r>
        <w:rPr>
          <w:rFonts w:ascii="Calibri" w:cs="Calibri" w:eastAsia="Calibri" w:hAnsi="Calibri"/>
          <w:b/>
          <w:bCs/>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Section 52 does not annul the transfer; the transfer remains valid but is subordinate to the rights declared by the court. The doctrine is based upon public policy and necessity, not on the doctrine of notice. The transferee merely steps into the shoes of the transferor and is bound by the eventual decree. This is the leading Supreme Court decision explaining the true scope and object of Section 52.</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Rajender Singh v. Santa Singh</w:t>
      </w:r>
    </w:p>
    <w:p>
      <w:pPr>
        <w:spacing w:after="0" w:before="0" w:line="240"/>
        <w:ind w:left="567" w:right="567"/>
      </w:pPr>
      <w:r>
        <w:rPr>
          <w:rFonts w:ascii="Calibri" w:cs="Calibri" w:eastAsia="Calibri" w:hAnsi="Calibri"/>
          <w:b/>
          <w:bCs/>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1973 SC 2537</w:t>
      </w:r>
    </w:p>
    <w:p>
      <w:pPr>
        <w:spacing w:after="0" w:before="0" w:line="240"/>
        <w:ind w:left="567" w:right="567"/>
      </w:pPr>
      <w:r>
        <w:rPr>
          <w:rFonts w:ascii="Calibri" w:cs="Calibri" w:eastAsia="Calibri" w:hAnsi="Calibri"/>
          <w:b/>
          <w:bCs/>
          <w:color w:val="000000"/>
          <w:sz w:val="28"/>
          <w:szCs w:val="28"/>
        </w:rPr>
        <w:t xml:space="preserve">Facts: </w:t>
      </w:r>
      <w:r>
        <w:rPr>
          <w:rFonts w:ascii="Calibri" w:cs="Calibri" w:eastAsia="Calibri" w:hAnsi="Calibri"/>
          <w:b w:val="false"/>
          <w:bCs w:val="false"/>
          <w:i w:val="false"/>
          <w:iCs w:val="false"/>
          <w:color w:val="000000"/>
          <w:sz w:val="28"/>
          <w:szCs w:val="28"/>
        </w:rPr>
        <w:t xml:space="preserve">Property involved in pending litigation was transferred to a third party before the suit reached its conclusion.</w:t>
      </w:r>
    </w:p>
    <w:p>
      <w:pPr>
        <w:spacing w:after="0" w:before="0" w:line="240"/>
        <w:ind w:left="567" w:right="567"/>
      </w:pPr>
      <w:r>
        <w:rPr>
          <w:rFonts w:ascii="Calibri" w:cs="Calibri" w:eastAsia="Calibri" w:hAnsi="Calibri"/>
          <w:b/>
          <w:bCs/>
          <w:color w:val="000000"/>
          <w:sz w:val="28"/>
          <w:szCs w:val="28"/>
        </w:rPr>
        <w:t xml:space="preserve">Issue: </w:t>
      </w:r>
      <w:r>
        <w:rPr>
          <w:rFonts w:ascii="Calibri" w:cs="Calibri" w:eastAsia="Calibri" w:hAnsi="Calibri"/>
          <w:b w:val="false"/>
          <w:bCs w:val="false"/>
          <w:i w:val="false"/>
          <w:iCs w:val="false"/>
          <w:color w:val="000000"/>
          <w:sz w:val="28"/>
          <w:szCs w:val="28"/>
        </w:rPr>
        <w:t xml:space="preserve">Whether the transfer affected the rights of the successful litigant under the decree.</w:t>
      </w:r>
    </w:p>
    <w:p>
      <w:pPr>
        <w:spacing w:after="0" w:before="0" w:line="240"/>
        <w:ind w:left="567" w:right="567"/>
      </w:pPr>
      <w:r>
        <w:rPr>
          <w:rFonts w:ascii="Calibri" w:cs="Calibri" w:eastAsia="Calibri" w:hAnsi="Calibri"/>
          <w:b/>
          <w:bCs/>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reiterated that Section 52 is founded upon public policy, that the doctrine prevents parties from defeating the rights of others by transferring property during litigation, and that the purchaser acquires only such rights as remain with the transferor after the decree. The transfer could not prejudice the rights determined by the decree.</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Amit Kumar Shaw v. Farida Khatoon</w:t>
      </w:r>
    </w:p>
    <w:p>
      <w:pPr>
        <w:spacing w:after="0" w:before="0" w:line="240"/>
        <w:ind w:left="567" w:right="567"/>
      </w:pPr>
      <w:r>
        <w:rPr>
          <w:rFonts w:ascii="Calibri" w:cs="Calibri" w:eastAsia="Calibri" w:hAnsi="Calibri"/>
          <w:b/>
          <w:bCs/>
          <w:color w:val="000000"/>
          <w:sz w:val="28"/>
          <w:szCs w:val="28"/>
        </w:rPr>
        <w:t xml:space="preserve">Citation: </w:t>
      </w:r>
      <w:r>
        <w:rPr>
          <w:rFonts w:ascii="Calibri" w:cs="Calibri" w:eastAsia="Calibri" w:hAnsi="Calibri"/>
          <w:b w:val="false"/>
          <w:bCs w:val="false"/>
          <w:i w:val="false"/>
          <w:iCs w:val="false"/>
          <w:color w:val="000000"/>
          <w:sz w:val="28"/>
          <w:szCs w:val="28"/>
        </w:rPr>
        <w:t xml:space="preserve">(2005) 11 SCC 403</w:t>
      </w:r>
    </w:p>
    <w:p>
      <w:pPr>
        <w:spacing w:after="0" w:before="0" w:line="240"/>
        <w:ind w:left="567" w:right="567"/>
      </w:pPr>
      <w:r>
        <w:rPr>
          <w:rFonts w:ascii="Calibri" w:cs="Calibri" w:eastAsia="Calibri" w:hAnsi="Calibri"/>
          <w:b/>
          <w:bCs/>
          <w:color w:val="000000"/>
          <w:sz w:val="28"/>
          <w:szCs w:val="28"/>
        </w:rPr>
        <w:t xml:space="preserve">Facts: </w:t>
      </w:r>
      <w:r>
        <w:rPr>
          <w:rFonts w:ascii="Calibri" w:cs="Calibri" w:eastAsia="Calibri" w:hAnsi="Calibri"/>
          <w:b w:val="false"/>
          <w:bCs w:val="false"/>
          <w:i w:val="false"/>
          <w:iCs w:val="false"/>
          <w:color w:val="000000"/>
          <w:sz w:val="28"/>
          <w:szCs w:val="28"/>
        </w:rPr>
        <w:t xml:space="preserve">Property involved in pending litigation was transferred to a third party during the pendency of the suit. The transferee sought to participate in the proceedings.</w:t>
      </w:r>
    </w:p>
    <w:p>
      <w:pPr>
        <w:spacing w:after="0" w:before="0" w:line="240"/>
        <w:ind w:left="567" w:right="567"/>
      </w:pPr>
      <w:r>
        <w:rPr>
          <w:rFonts w:ascii="Calibri" w:cs="Calibri" w:eastAsia="Calibri" w:hAnsi="Calibri"/>
          <w:b/>
          <w:bCs/>
          <w:color w:val="000000"/>
          <w:sz w:val="28"/>
          <w:szCs w:val="28"/>
        </w:rPr>
        <w:t xml:space="preserve">Issue: </w:t>
      </w:r>
      <w:r>
        <w:rPr>
          <w:rFonts w:ascii="Calibri" w:cs="Calibri" w:eastAsia="Calibri" w:hAnsi="Calibri"/>
          <w:b w:val="false"/>
          <w:bCs w:val="false"/>
          <w:i w:val="false"/>
          <w:iCs w:val="false"/>
          <w:color w:val="000000"/>
          <w:sz w:val="28"/>
          <w:szCs w:val="28"/>
        </w:rPr>
        <w:t xml:space="preserve">Whether a transferee pendente lite may be impleaded as a party and whether such impleadment affects the operation of Section 52.</w:t>
      </w:r>
    </w:p>
    <w:p>
      <w:pPr>
        <w:spacing w:after="0" w:before="0" w:line="240"/>
        <w:ind w:left="567" w:right="567"/>
      </w:pPr>
      <w:r>
        <w:rPr>
          <w:rFonts w:ascii="Calibri" w:cs="Calibri" w:eastAsia="Calibri" w:hAnsi="Calibri"/>
          <w:b/>
          <w:bCs/>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a transferee pendente lite is bound by the decree under Section 52. Such a transferee may in appropriate circumstances be added as a party if his presence is necessary for complete and effective adjudication, but impleadment does not confer rights superior to those of the transferor. The transferee remains bound by the final decree.</w:t>
      </w:r>
    </w:p>
    <w:p>
      <w:pPr>
        <w:spacing w:after="0" w:before="0" w:line="240"/>
      </w:pPr>
      <w:r>
        <w:t xml:space="preserve"/>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Chapter iv – fraudulent transfer (section 53)</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1. introduction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While the Transfer of Property Act recognises the right of every owner to freely transfer his property, that right is not absolute. It cannot be exercised in a manner that defeats the lawful rights of creditors or is intended to perpetrate fraud. Section 53 of the Act embodies the equitable principle that a debtor should not be permitted to place his property beyond the reach of his creditors through dishonest transfers. It seeks to balance the freedom of disposition with the protection of creditors against fraudulent alienations. Importantly, Section 53 does not declare every transfer made by an indebted person to be fraudulent. The decisive factor is the intention behind the transfer — if the dominant intention is to defeat or delay creditors, the transfer becomes voidable at their option, while transfers made honestly for valuable consideration and without fraudulent intent remain fully valid.</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2. section 53 – fraudulent transfer</w:t>
      </w:r>
    </w:p>
    <w:p>
      <w:pPr>
        <w:spacing w:after="0" w:before="0" w:line="240"/>
        <w:ind w:left="567" w:right="567"/>
      </w:pPr>
      <w:r>
        <w:rPr>
          <w:rFonts w:ascii="Calibri" w:cs="Calibri" w:eastAsia="Calibri" w:hAnsi="Calibri"/>
          <w:b/>
          <w:bCs/>
          <w:color w:val="000000"/>
          <w:sz w:val="28"/>
          <w:szCs w:val="28"/>
        </w:rPr>
        <w:t xml:space="preserve">Section 53 of the Transfer of Property Act, 1882 (Fraudulent transfer):</w:t>
      </w:r>
    </w:p>
    <w:p>
      <w:pPr>
        <w:spacing w:after="0" w:before="0" w:line="240"/>
        <w:ind w:left="567" w:right="567"/>
      </w:pPr>
      <w:r>
        <w:rPr>
          <w:rFonts w:ascii="Calibri" w:cs="Calibri" w:eastAsia="Calibri" w:hAnsi="Calibri"/>
          <w:b w:val="false"/>
          <w:bCs w:val="false"/>
          <w:i w:val="false"/>
          <w:iCs w:val="false"/>
          <w:color w:val="000000"/>
          <w:sz w:val="28"/>
          <w:szCs w:val="28"/>
        </w:rPr>
        <w:t xml:space="preserve">(1) Every transfer of immovable property made with intent to defeat or delay the creditors of the transferor shall be voidable at the option of any creditor so defeated or delayed.
Nothing in this sub-section shall impair the rights of a transferee in good faith and for consideration.
Nothing in this sub-section shall affect any law for the time being in force relating to insolvency.
A suit instituted by a creditor (which term includes a decree-holder whether he holds a decree for money or any other decree) or on behalf of himself and all other creditors, to avoid a transfer on the ground that it has been made with intent to defeat or delay the creditors of the transferor, shall be instituted on behalf of, or for the benefit of, all the creditors.
(2) Every transfer of immovable property made without consideration with intent to defraud a subsequent transferee shall be voidable at the option of such transferee.</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53 provides that a transfer of immovable property made with the intent to defeat or delay creditors is voidable at the option of any creditor so defeated or delayed. The section is not confined to sales alone but extends to mortgages, exchanges, gifts, settlements, leases, and any other transfer of immovable property. Three aspects of the section are particularly significant. First, the transfer is voidable, not void — it remains valid until set aside by a court at the instance of creditors. This is a crucial distinction because a void transfer has no legal effect from inception, whereas a voidable transfer subsists until successfully challenged. Second, bona fide purchasers for valuable consideration acting in good faith are expressly protected — the law balances the protection of creditors with the rights of innocent purchasers. Third, a suit challenging the transfer must be brought on behalf of or for the benefit of all creditors, not just for the individual benefit of one creditor, reflecting the legislature's intention to ensure equitable distribution of the debtor's assets. Subsection (2) separately addresses gratuitous transfers made without consideration with intent to defraud a subsequent transferee, which are similarly voidable.</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3. essential elements of section 53</w:t>
      </w:r>
    </w:p>
    <w:p>
      <w:pPr>
        <w:spacing w:after="0" w:before="0" w:line="240"/>
        <w:ind w:left="567" w:right="567"/>
      </w:pPr>
      <w:r>
        <w:rPr>
          <w:rFonts w:ascii="Calibri" w:cs="Calibri" w:eastAsia="Calibri" w:hAnsi="Calibri"/>
          <w:b w:val="false"/>
          <w:bCs w:val="false"/>
          <w:i w:val="false"/>
          <w:iCs w:val="false"/>
          <w:color w:val="000000"/>
          <w:sz w:val="28"/>
          <w:szCs w:val="28"/>
        </w:rPr>
        <w:t xml:space="preserve">For Section 53 to apply, four essential elements must coexist. First, there must be a transfer of immovable property, which includes any mode of transfer such as sale, mortgage, exchange, gift, or settlement. Second, the transferor must have creditors at the relevant time whose claims are lawful and enforceable. Third, and most importantly, the transfer must be motivated by the intention to defeat or delay those creditors. This intention may be express, implied, or inferred from surrounding circumstances because direct evidence of fraudulent intention is rarely available. Fourth, as a consequence, the transfer must defeat or delay the creditors — even temporary delay is sufficient. Once these elements are established, the creditors may avoid the transfer by instituting proceedings on behalf of all creditors.</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4. how courts determine fraudulent intention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Since fraudulent intention is a state of mind, courts infer it from surrounding circumstances. The recognised indicators — often called "badges of fraud" — include: transfer to close relatives such as spouse, children, or siblings; transfers made immediately before or during execution or recovery proceedings; transfer of the entire estate leaving nothing for creditors; nominal or no consideration; continued possession of the property by the transferor after the purported transfer; secrecy surrounding the transaction; financial insolvency or near-insolvency of the transferor at the time of transfer; absence of genuine commercial purpose; and conduct before and after the transfer suggesting a sham arrangement. No single circumstance is decisive — courts evaluate the totality of facts and circumstances. As Poonam Pradhan Saxena explains, the dominant intention of the transferor is the decisive consideration, not mere indebtedness.</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Distinction between fraudulent transfer and bona fide transfer</w:t>
      </w:r>
    </w:p>
    <w:p>
      <w:pPr>
        <w:spacing w:after="0" w:before="0" w:line="24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CellMar>
          <w:left w:type="dxa" w:w="900"/>
          <w:right w:type="dxa" w:w="900"/>
        </w:tblCellMar>
      </w:tblPr>
      <w:tblGrid>
        <w:gridCol w:w="3368"/>
        <w:gridCol w:w="3368"/>
        <w:gridCol w:w="3368"/>
      </w:tblGrid>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Basis</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Fraudulent transfer</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Bona fide transfer</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Intention</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To defeat or delay creditors</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Genuine commercial or personal purpose</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Consideration</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May be absent or inadequate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Usually adequate and fair</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Good faith</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Absent</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Present throughout</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Effect on creditors</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Prejudicial</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No dishonest intention toward creditors</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Validity</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Voidable at the option of creditors</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Fully valid</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Remedy</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May be set aside by court at creditors' instance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Fully protected by law</w:t>
            </w:r>
          </w:p>
        </w:tc>
      </w:tr>
    </w:tbl>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Distinction between Section 52 (lis pendens) and Section 53 (fraudulent transfer)</w:t>
      </w:r>
    </w:p>
    <w:p>
      <w:pPr>
        <w:spacing w:after="0" w:before="0" w:line="24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CellMar>
          <w:left w:type="dxa" w:w="900"/>
          <w:right w:type="dxa" w:w="900"/>
        </w:tblCellMar>
      </w:tblPr>
      <w:tblGrid>
        <w:gridCol w:w="3368"/>
        <w:gridCol w:w="3368"/>
        <w:gridCol w:w="3368"/>
      </w:tblGrid>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Basis</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Section 52 – Lis pendens</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Section 53 – Fraudulent transfer</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Object</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Protect pending litigation</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Protect creditors</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Principle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Public policy</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Equity and commercial morality</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Pending suit</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Essential</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Not necessary</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Fraud</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Not required</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Essential element</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Effect of transfer</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Transfer subject to the decree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Transfer voidable at the option of creditors</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Beneficiary</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Parties to litigation</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Creditors</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Good faith of purchaser</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Generally immaterial</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Bona fide purchaser expressly protected</w:t>
            </w:r>
          </w:p>
        </w:tc>
      </w:tr>
    </w:tbl>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5. relevant case laws</w:t>
      </w:r>
    </w:p>
    <w:p>
      <w:pPr>
        <w:spacing w:after="0" w:before="0" w:line="240"/>
        <w:ind w:left="567" w:right="567"/>
      </w:pPr>
      <w:r>
        <w:rPr>
          <w:rFonts w:ascii="Calibri" w:cs="Calibri" w:eastAsia="Calibri" w:hAnsi="Calibri"/>
          <w:b/>
          <w:bCs/>
          <w:color w:val="000000"/>
          <w:sz w:val="28"/>
          <w:szCs w:val="28"/>
        </w:rPr>
        <w:t xml:space="preserve">Abdul Shukoor Sahib v. Arji Papa Rao</w:t>
      </w:r>
    </w:p>
    <w:p>
      <w:pPr>
        <w:spacing w:after="0" w:before="0" w:line="240"/>
        <w:ind w:left="567" w:right="567"/>
      </w:pPr>
      <w:r>
        <w:rPr>
          <w:rFonts w:ascii="Calibri" w:cs="Calibri" w:eastAsia="Calibri" w:hAnsi="Calibri"/>
          <w:b/>
          <w:bCs/>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1963 SC 1150</w:t>
      </w:r>
    </w:p>
    <w:p>
      <w:pPr>
        <w:spacing w:after="0" w:before="0" w:line="240"/>
        <w:ind w:left="567" w:right="567"/>
      </w:pPr>
      <w:r>
        <w:rPr>
          <w:rFonts w:ascii="Calibri" w:cs="Calibri" w:eastAsia="Calibri" w:hAnsi="Calibri"/>
          <w:b/>
          <w:bCs/>
          <w:color w:val="000000"/>
          <w:sz w:val="28"/>
          <w:szCs w:val="28"/>
        </w:rPr>
        <w:t xml:space="preserve">Facts: </w:t>
      </w:r>
      <w:r>
        <w:rPr>
          <w:rFonts w:ascii="Calibri" w:cs="Calibri" w:eastAsia="Calibri" w:hAnsi="Calibri"/>
          <w:b w:val="false"/>
          <w:bCs w:val="false"/>
          <w:i w:val="false"/>
          <w:iCs w:val="false"/>
          <w:color w:val="000000"/>
          <w:sz w:val="28"/>
          <w:szCs w:val="28"/>
        </w:rPr>
        <w:t xml:space="preserve">The dispute concerned the validity of a transfer challenged on the ground that it had been executed to defeat the claims of creditors. The creditors alleged that the transferor had alienated the property to place it beyond their reach.</w:t>
      </w:r>
    </w:p>
    <w:p>
      <w:pPr>
        <w:spacing w:after="0" w:before="0" w:line="240"/>
        <w:ind w:left="567" w:right="567"/>
      </w:pPr>
      <w:r>
        <w:rPr>
          <w:rFonts w:ascii="Calibri" w:cs="Calibri" w:eastAsia="Calibri" w:hAnsi="Calibri"/>
          <w:b/>
          <w:bCs/>
          <w:color w:val="000000"/>
          <w:sz w:val="28"/>
          <w:szCs w:val="28"/>
        </w:rPr>
        <w:t xml:space="preserve">Issue: </w:t>
      </w:r>
      <w:r>
        <w:rPr>
          <w:rFonts w:ascii="Calibri" w:cs="Calibri" w:eastAsia="Calibri" w:hAnsi="Calibri"/>
          <w:b w:val="false"/>
          <w:bCs w:val="false"/>
          <w:i w:val="false"/>
          <w:iCs w:val="false"/>
          <w:color w:val="000000"/>
          <w:sz w:val="28"/>
          <w:szCs w:val="28"/>
        </w:rPr>
        <w:t xml:space="preserve">Whether the transfer was made with the intention of defeating or delaying creditors, and whether the surrounding circumstances justified the application of Section 53.</w:t>
      </w:r>
    </w:p>
    <w:p>
      <w:pPr>
        <w:spacing w:after="0" w:before="0" w:line="240"/>
        <w:ind w:left="567" w:right="567"/>
      </w:pPr>
      <w:r>
        <w:rPr>
          <w:rFonts w:ascii="Calibri" w:cs="Calibri" w:eastAsia="Calibri" w:hAnsi="Calibri"/>
          <w:b/>
          <w:bCs/>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mere existence of debts is not sufficient. Fraudulent intention must be established from the surrounding circumstances. Courts must examine the real object of the transaction rather than merely its form. Whether a transfer is fraudulent is essentially a question of fact to be determined on the evidence in each case. This judgment remains one of the leading authorities establishing that intention is the foundation of Section 53.</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Twyne's Case</w:t>
      </w:r>
    </w:p>
    <w:p>
      <w:pPr>
        <w:spacing w:after="0" w:before="0" w:line="240"/>
        <w:ind w:left="567" w:right="567"/>
      </w:pPr>
      <w:r>
        <w:rPr>
          <w:rFonts w:ascii="Calibri" w:cs="Calibri" w:eastAsia="Calibri" w:hAnsi="Calibri"/>
          <w:b/>
          <w:bCs/>
          <w:color w:val="000000"/>
          <w:sz w:val="28"/>
          <w:szCs w:val="28"/>
        </w:rPr>
        <w:t xml:space="preserve">Citation: </w:t>
      </w:r>
      <w:r>
        <w:rPr>
          <w:rFonts w:ascii="Calibri" w:cs="Calibri" w:eastAsia="Calibri" w:hAnsi="Calibri"/>
          <w:b w:val="false"/>
          <w:bCs w:val="false"/>
          <w:i w:val="false"/>
          <w:iCs w:val="false"/>
          <w:color w:val="000000"/>
          <w:sz w:val="28"/>
          <w:szCs w:val="28"/>
        </w:rPr>
        <w:t xml:space="preserve">(1601) 3 Co Rep 80b</w:t>
      </w:r>
    </w:p>
    <w:p>
      <w:pPr>
        <w:spacing w:after="0" w:before="0" w:line="240"/>
        <w:ind w:left="567" w:right="567"/>
      </w:pPr>
      <w:r>
        <w:rPr>
          <w:rFonts w:ascii="Calibri" w:cs="Calibri" w:eastAsia="Calibri" w:hAnsi="Calibri"/>
          <w:b/>
          <w:bCs/>
          <w:color w:val="000000"/>
          <w:sz w:val="28"/>
          <w:szCs w:val="28"/>
        </w:rPr>
        <w:t xml:space="preserve">Facts: </w:t>
      </w:r>
      <w:r>
        <w:rPr>
          <w:rFonts w:ascii="Calibri" w:cs="Calibri" w:eastAsia="Calibri" w:hAnsi="Calibri"/>
          <w:b w:val="false"/>
          <w:bCs w:val="false"/>
          <w:i w:val="false"/>
          <w:iCs w:val="false"/>
          <w:color w:val="000000"/>
          <w:sz w:val="28"/>
          <w:szCs w:val="28"/>
        </w:rPr>
        <w:t xml:space="preserve">A debtor transferred all his goods to another person while continuing to remain in possession himself. The transfer was intended to defeat creditors.</w:t>
      </w:r>
    </w:p>
    <w:p>
      <w:pPr>
        <w:spacing w:after="0" w:before="0" w:line="240"/>
        <w:ind w:left="567" w:right="567"/>
      </w:pPr>
      <w:r>
        <w:rPr>
          <w:rFonts w:ascii="Calibri" w:cs="Calibri" w:eastAsia="Calibri" w:hAnsi="Calibri"/>
          <w:b/>
          <w:bCs/>
          <w:color w:val="000000"/>
          <w:sz w:val="28"/>
          <w:szCs w:val="28"/>
        </w:rPr>
        <w:t xml:space="preserve">Issue: </w:t>
      </w:r>
      <w:r>
        <w:rPr>
          <w:rFonts w:ascii="Calibri" w:cs="Calibri" w:eastAsia="Calibri" w:hAnsi="Calibri"/>
          <w:b w:val="false"/>
          <w:bCs w:val="false"/>
          <w:i w:val="false"/>
          <w:iCs w:val="false"/>
          <w:color w:val="000000"/>
          <w:sz w:val="28"/>
          <w:szCs w:val="28"/>
        </w:rPr>
        <w:t xml:space="preserve">Whether the transfer was fraudulent.</w:t>
      </w:r>
    </w:p>
    <w:p>
      <w:pPr>
        <w:spacing w:after="0" w:before="0" w:line="240"/>
        <w:ind w:left="567" w:right="567"/>
      </w:pPr>
      <w:r>
        <w:rPr>
          <w:rFonts w:ascii="Calibri" w:cs="Calibri" w:eastAsia="Calibri" w:hAnsi="Calibri"/>
          <w:b/>
          <w:bCs/>
          <w:color w:val="000000"/>
          <w:sz w:val="28"/>
          <w:szCs w:val="28"/>
        </w:rPr>
        <w:t xml:space="preserve">Held: </w:t>
      </w:r>
      <w:r>
        <w:rPr>
          <w:rFonts w:ascii="Calibri" w:cs="Calibri" w:eastAsia="Calibri" w:hAnsi="Calibri"/>
          <w:b w:val="false"/>
          <w:bCs w:val="false"/>
          <w:i w:val="false"/>
          <w:iCs w:val="false"/>
          <w:color w:val="000000"/>
          <w:sz w:val="28"/>
          <w:szCs w:val="28"/>
        </w:rPr>
        <w:t xml:space="preserve">The Court identified several classic "badges of fraud": transfer to a trusted person, continued possession by the debtor, secrecy, transfer of all property, and pending legal proceedings. The transfer was declared fraudulent. This historic English decision forms the foundation of modern fraudulent transfer jurisprudence and has greatly influenced Indian courts in interpreting Section 53.</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Krishnan Singh v. Mathura Ahir</w:t>
      </w:r>
    </w:p>
    <w:p>
      <w:pPr>
        <w:spacing w:after="0" w:before="0" w:line="240"/>
        <w:ind w:left="567" w:right="567"/>
      </w:pPr>
      <w:r>
        <w:rPr>
          <w:rFonts w:ascii="Calibri" w:cs="Calibri" w:eastAsia="Calibri" w:hAnsi="Calibri"/>
          <w:b/>
          <w:bCs/>
          <w:color w:val="000000"/>
          <w:sz w:val="28"/>
          <w:szCs w:val="28"/>
        </w:rPr>
        <w:t xml:space="preserve">Citation: </w:t>
      </w:r>
      <w:r>
        <w:rPr>
          <w:rFonts w:ascii="Calibri" w:cs="Calibri" w:eastAsia="Calibri" w:hAnsi="Calibri"/>
          <w:b w:val="false"/>
          <w:bCs w:val="false"/>
          <w:i w:val="false"/>
          <w:iCs w:val="false"/>
          <w:color w:val="000000"/>
          <w:sz w:val="28"/>
          <w:szCs w:val="28"/>
        </w:rPr>
        <w:t xml:space="preserve">(1980) 3 SCC 689</w:t>
      </w:r>
    </w:p>
    <w:p>
      <w:pPr>
        <w:spacing w:after="0" w:before="0" w:line="240"/>
        <w:ind w:left="567" w:right="567"/>
      </w:pPr>
      <w:r>
        <w:rPr>
          <w:rFonts w:ascii="Calibri" w:cs="Calibri" w:eastAsia="Calibri" w:hAnsi="Calibri"/>
          <w:b/>
          <w:bCs/>
          <w:color w:val="000000"/>
          <w:sz w:val="28"/>
          <w:szCs w:val="28"/>
        </w:rPr>
        <w:t xml:space="preserve">Facts: </w:t>
      </w:r>
      <w:r>
        <w:rPr>
          <w:rFonts w:ascii="Calibri" w:cs="Calibri" w:eastAsia="Calibri" w:hAnsi="Calibri"/>
          <w:b w:val="false"/>
          <w:bCs w:val="false"/>
          <w:i w:val="false"/>
          <w:iCs w:val="false"/>
          <w:color w:val="000000"/>
          <w:sz w:val="28"/>
          <w:szCs w:val="28"/>
        </w:rPr>
        <w:t xml:space="preserve">The dispute involved competing claims over immovable property and allegations that the transfer was not genuine.</w:t>
      </w:r>
    </w:p>
    <w:p>
      <w:pPr>
        <w:spacing w:after="0" w:before="0" w:line="240"/>
        <w:ind w:left="567" w:right="567"/>
      </w:pPr>
      <w:r>
        <w:rPr>
          <w:rFonts w:ascii="Calibri" w:cs="Calibri" w:eastAsia="Calibri" w:hAnsi="Calibri"/>
          <w:b/>
          <w:bCs/>
          <w:color w:val="000000"/>
          <w:sz w:val="28"/>
          <w:szCs w:val="28"/>
        </w:rPr>
        <w:t xml:space="preserve">Issue: </w:t>
      </w:r>
      <w:r>
        <w:rPr>
          <w:rFonts w:ascii="Calibri" w:cs="Calibri" w:eastAsia="Calibri" w:hAnsi="Calibri"/>
          <w:b w:val="false"/>
          <w:bCs w:val="false"/>
          <w:i w:val="false"/>
          <w:iCs w:val="false"/>
          <w:color w:val="000000"/>
          <w:sz w:val="28"/>
          <w:szCs w:val="28"/>
        </w:rPr>
        <w:t xml:space="preserve">Whether the impugned transaction represented a bona fide transfer or a sham transaction.</w:t>
      </w:r>
    </w:p>
    <w:p>
      <w:pPr>
        <w:spacing w:after="0" w:before="0" w:line="240"/>
        <w:ind w:left="567" w:right="567"/>
      </w:pPr>
      <w:r>
        <w:rPr>
          <w:rFonts w:ascii="Calibri" w:cs="Calibri" w:eastAsia="Calibri" w:hAnsi="Calibri"/>
          <w:b/>
          <w:bCs/>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reiterated that the substance of the transaction prevails over its form and courts must examine surrounding circumstances to determine genuineness. The Court emphasised that fraudulent intention cannot be presumed merely because parties are related; convincing evidence is required. Relationship alone is insufficient to establish fraud.</w:t>
      </w:r>
    </w:p>
    <w:p>
      <w:pPr>
        <w:spacing w:after="0" w:before="0" w:line="240"/>
      </w:pPr>
      <w:r>
        <w:t xml:space="preserve"/>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Chapter v – doctrine of part performance (section 53a)</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1. introduction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Ordinarily, a transfer of immovable property is completed only when the legal formalities prescribed by law — such as execution and registration of the transfer document — have been duly complied with. Failure to observe these requirements generally prevents the transferee from acquiring legal title. However, rigid adherence to these formal requirements may sometimes result in grave injustice. A situation frequently arises where the transferee has entered into a valid written contract for transfer, paid the consideration wholly or partly, taken possession of the property, and acted upon the contract, but the transfer remains legally incomplete because the formal conveyance has not been executed or registered. If the transferor is then permitted to recover possession merely on the ground that legal formalities were not completed, it would amount to allowing him to benefit from his own default.</w:t>
      </w:r>
    </w:p>
    <w:p>
      <w:pPr>
        <w:spacing w:after="0" w:before="0" w:line="240"/>
      </w:pPr>
      <w: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To prevent such injustice, equity developed the Doctrine of Part Performance, which was codified in Indian law through Section 53A of the Transfer of Property Act, 1882 by the Transfer of Property (Amendment) Act, 1929. Section 53A creates a statutory defence enabling the transferee in possession to protect such possession against the transferor and persons claiming under him, provided all statutory requirements are fulfilled. It is important to understand from the outset that Section 53A does not confer ownership upon the transferee. It merely prevents the transferor from enforcing his legal title in derogation of the contract. The doctrine embodies the equitable maxim: "Equity regards as done that which ought to be done." It is founded upon equity, justice, good conscience, and prevention of fraud.</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2. section 53a – part performance</w:t>
      </w:r>
    </w:p>
    <w:p>
      <w:pPr>
        <w:spacing w:after="0" w:before="0" w:line="240"/>
        <w:ind w:left="567" w:right="567"/>
      </w:pPr>
      <w:r>
        <w:rPr>
          <w:rFonts w:ascii="Calibri" w:cs="Calibri" w:eastAsia="Calibri" w:hAnsi="Calibri"/>
          <w:b/>
          <w:bCs/>
          <w:color w:val="000000"/>
          <w:sz w:val="28"/>
          <w:szCs w:val="28"/>
        </w:rPr>
        <w:t xml:space="preserve">Section 53A of the Transfer of Property Act, 1882 (Part performance):</w:t>
      </w:r>
    </w:p>
    <w:p>
      <w:pPr>
        <w:spacing w:after="0" w:before="0" w:line="240"/>
        <w:ind w:left="567" w:right="567"/>
      </w:pPr>
      <w:r>
        <w:rPr>
          <w:rFonts w:ascii="Calibri" w:cs="Calibri" w:eastAsia="Calibri" w:hAnsi="Calibri"/>
          <w:b w:val="false"/>
          <w:bCs w:val="false"/>
          <w:i w:val="false"/>
          <w:iCs w:val="false"/>
          <w:color w:val="000000"/>
          <w:sz w:val="28"/>
          <w:szCs w:val="28"/>
        </w:rPr>
        <w:t xml:space="preserve">Where any person contracts to transfer for consideration any immovable property by writing signed by him or on his behalf from which the terms necessary to constitute the transfer can be ascertained with reasonable certainty, and the transferee has, in part performance of the contract, taken possession of the property or any part thereof, or the transferee, being already in possession, continues in possession in part performance of the contract and has done some act in furtherance of the contract, and the transferee has performed or is willing to perform his part of the contract, then, notwithstanding that where there is an instrument of transfer, that the transfer has not been completed in the manner prescribed therefor by the law for the time being in force, the transferor or any person claiming under him shall be debarred from enforcing against the transferee and persons claiming under him any right in respect of the property of which the transferee has taken or continued in possession, other than a right expressly provided by the terms of the contract:
Provided that nothing in this section shall affect the rights of a transferee for consideration who has no notice of the contract or of the part performance thereof.</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53A provides a statutory equitable defence for a transferee who has acted upon a written contract for the transfer of immovable property. The key requirements are: a written contract for transfer of immovable property for consideration, signed by the transferor, with terms ascertainable with reasonable certainty; the transferee must have taken possession or continued in possession in part performance of the contract; the transferee must have done some act in furtherance of the contract; and the transferee must have performed or be willing to perform his contractual obligations. When all these conditions are met, the transferor is barred from enforcing any right against the transferee other than rights expressly reserved by the contract. The proviso protects a subsequent transferee for consideration who has no notice of the earlier contract or part performance. The section is described as "a shield and not a sword" — it may only be raised as a defence against the transferor and cannot be used as the basis of an independent claim to ownership. Following the Registration and Other Related Laws (Amendment) Act, 2001, contracts required to be registered must be registered to attract the protection of Section 53A.</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3. essential elements of section 53a</w:t>
      </w:r>
    </w:p>
    <w:p>
      <w:pPr>
        <w:spacing w:after="0" w:before="0" w:line="240"/>
        <w:ind w:left="567" w:right="567"/>
      </w:pPr>
      <w:r>
        <w:rPr>
          <w:rFonts w:ascii="Calibri" w:cs="Calibri" w:eastAsia="Calibri" w:hAnsi="Calibri"/>
          <w:b w:val="false"/>
          <w:bCs w:val="false"/>
          <w:i w:val="false"/>
          <w:iCs w:val="false"/>
          <w:color w:val="000000"/>
          <w:sz w:val="28"/>
          <w:szCs w:val="28"/>
        </w:rPr>
        <w:t xml:space="preserve">Every statutory condition under Section 53A must be satisfied before protection can be claimed. The contract must be in writing — oral agreements receive no protection. The contract must be for valuable consideration, excluding gratuitous transfers. It must be signed by the transferor or a person lawfully authorised on his behalf. The essential terms — parties, property, consideration, and key obligations — must be identifiable from the document with reasonable certainty. The transferee must have taken possession in pursuance of the contract or, if already in possession, continued in possession in part performance of it. The transferee must have done some act in furtherance of the contract, such as paying consideration, constructing buildings, making improvements, or paying taxes. Crucially, the transferee must have performed or be continuously ready and willing to perform his contractual obligations — a defaulting transferee cannot invoke the doctrine. Protection is available only against the transferor and persons claiming under him, not against strangers with a superior legal title.</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4. the 2001 amendment</w:t>
      </w:r>
    </w:p>
    <w:p>
      <w:pPr>
        <w:spacing w:after="0" w:before="0" w:line="240"/>
        <w:ind w:left="567" w:right="567"/>
      </w:pPr>
      <w:r>
        <w:rPr>
          <w:rFonts w:ascii="Calibri" w:cs="Calibri" w:eastAsia="Calibri" w:hAnsi="Calibri"/>
          <w:b w:val="false"/>
          <w:bCs w:val="false"/>
          <w:i w:val="false"/>
          <w:iCs w:val="false"/>
          <w:color w:val="000000"/>
          <w:sz w:val="28"/>
          <w:szCs w:val="28"/>
        </w:rPr>
        <w:t xml:space="preserve">The Registration and Other Related Laws (Amendment) Act, 2001 introduced a significant change. Before this amendment, an unregistered written agreement could in certain circumstances attract the protection of Section 53A. The amendment introduced Section 17(1A) into the Registration Act, 1908, requiring that documents containing contracts to transfer immovable property for the purpose of Section 53A shall be compulsorily registered. Section 49 of the Registration Act was also amended so that an unregistered document required to be registered cannot be received as evidence or relied upon to claim protection under Section 53A. The effect is that today an unregistered agreement that is compulsorily registrable cannot ordinarily be relied upon to claim protection under the doctrine. The amendment was intended to reduce fraudulent claims, ensure certainty, encourage proper registration, and prevent misuse of unregistered agreements.</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Difference between Indian law (Section 53A) and English law on part performance</w:t>
      </w:r>
    </w:p>
    <w:p>
      <w:pPr>
        <w:spacing w:after="0" w:before="0" w:line="24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CellMar>
          <w:left w:type="dxa" w:w="900"/>
          <w:right w:type="dxa" w:w="900"/>
        </w:tblCellMar>
      </w:tblPr>
      <w:tblGrid>
        <w:gridCol w:w="3368"/>
        <w:gridCol w:w="3368"/>
        <w:gridCol w:w="3368"/>
      </w:tblGrid>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Basis</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English law</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Indian law – Section 53A</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Origin</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Judge-made equitable doctrine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Statutory provision (Amendment Act, 1929)</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Contract</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Oral contracts may sometimes receive protection</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Written contract is mandatory</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Registration</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Not historically essential</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Mandatory where required after 2001 Amendment</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Signature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Not always rigidly prescribed</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Must be signed by the transferor</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Certainty</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Determined by equitable principles</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Terms must be ascertainable with reasonable certainty</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Nature of right</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Broader equitable remedies</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Purely defensive statutory protection</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Scope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Broader judicial discretion</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Limited by statutory requirements</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Readiness and willingness</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Relevant equitable consideration</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Express statutory requirement</w:t>
            </w:r>
          </w:p>
        </w:tc>
      </w:tr>
    </w:tbl>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Comparative analysis of Sections 41, 43, 52, 53, and 53A</w:t>
      </w:r>
    </w:p>
    <w:p>
      <w:pPr>
        <w:spacing w:after="0" w:before="0" w:line="24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CellMar>
          <w:left w:type="dxa" w:w="900"/>
          <w:right w:type="dxa" w:w="900"/>
        </w:tblCellMar>
      </w:tblPr>
      <w:tblGrid>
        <w:gridCol w:w="3368"/>
        <w:gridCol w:w="3368"/>
        <w:gridCol w:w="3368"/>
      </w:tblGrid>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Section</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Doctrine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Purpose</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41</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Ostensible ownership</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Protects bona fide purchasers dealing with an ostensible owner</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43</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Feeding the grant by estoppel</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Protects transferees where the transferor subsequently acquires title</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52</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Lis pendens</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Preserves the subject matter of pending litigation</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53</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Fraudulent transfer</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Protects creditors against transfers intended to defeat or delay their claims</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53A</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Part performance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Protects the possession of a transferee who has acted upon a written contract</w:t>
            </w:r>
          </w:p>
        </w:tc>
      </w:tr>
    </w:tbl>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5. relevant case laws</w:t>
      </w:r>
    </w:p>
    <w:p>
      <w:pPr>
        <w:spacing w:after="0" w:before="0" w:line="240"/>
        <w:ind w:left="567" w:right="567"/>
      </w:pPr>
      <w:r>
        <w:rPr>
          <w:rFonts w:ascii="Calibri" w:cs="Calibri" w:eastAsia="Calibri" w:hAnsi="Calibri"/>
          <w:b/>
          <w:bCs/>
          <w:color w:val="000000"/>
          <w:sz w:val="28"/>
          <w:szCs w:val="28"/>
        </w:rPr>
        <w:t xml:space="preserve">Maddison v. Alderson</w:t>
      </w:r>
    </w:p>
    <w:p>
      <w:pPr>
        <w:spacing w:after="0" w:before="0" w:line="240"/>
        <w:ind w:left="567" w:right="567"/>
      </w:pPr>
      <w:r>
        <w:rPr>
          <w:rFonts w:ascii="Calibri" w:cs="Calibri" w:eastAsia="Calibri" w:hAnsi="Calibri"/>
          <w:b/>
          <w:bCs/>
          <w:color w:val="000000"/>
          <w:sz w:val="28"/>
          <w:szCs w:val="28"/>
        </w:rPr>
        <w:t xml:space="preserve">Citation: </w:t>
      </w:r>
      <w:r>
        <w:rPr>
          <w:rFonts w:ascii="Calibri" w:cs="Calibri" w:eastAsia="Calibri" w:hAnsi="Calibri"/>
          <w:b w:val="false"/>
          <w:bCs w:val="false"/>
          <w:i w:val="false"/>
          <w:iCs w:val="false"/>
          <w:color w:val="000000"/>
          <w:sz w:val="28"/>
          <w:szCs w:val="28"/>
        </w:rPr>
        <w:t xml:space="preserve">(1883) 8 App Cas 467 (House of Lords)</w:t>
      </w:r>
    </w:p>
    <w:p>
      <w:pPr>
        <w:spacing w:after="0" w:before="0" w:line="240"/>
        <w:ind w:left="567" w:right="567"/>
      </w:pPr>
      <w:r>
        <w:rPr>
          <w:rFonts w:ascii="Calibri" w:cs="Calibri" w:eastAsia="Calibri" w:hAnsi="Calibri"/>
          <w:b/>
          <w:bCs/>
          <w:color w:val="000000"/>
          <w:sz w:val="28"/>
          <w:szCs w:val="28"/>
        </w:rPr>
        <w:t xml:space="preserve">Facts: </w:t>
      </w:r>
      <w:r>
        <w:rPr>
          <w:rFonts w:ascii="Calibri" w:cs="Calibri" w:eastAsia="Calibri" w:hAnsi="Calibri"/>
          <w:b w:val="false"/>
          <w:bCs w:val="false"/>
          <w:i w:val="false"/>
          <w:iCs w:val="false"/>
          <w:color w:val="000000"/>
          <w:sz w:val="28"/>
          <w:szCs w:val="28"/>
        </w:rPr>
        <w:t xml:space="preserve">A woman claimed rights over immovable property on the basis of an oral agreement and relied upon acts allegedly performed in pursuance of the agreement.</w:t>
      </w:r>
    </w:p>
    <w:p>
      <w:pPr>
        <w:spacing w:after="0" w:before="0" w:line="240"/>
        <w:ind w:left="567" w:right="567"/>
      </w:pPr>
      <w:r>
        <w:rPr>
          <w:rFonts w:ascii="Calibri" w:cs="Calibri" w:eastAsia="Calibri" w:hAnsi="Calibri"/>
          <w:b/>
          <w:bCs/>
          <w:color w:val="000000"/>
          <w:sz w:val="28"/>
          <w:szCs w:val="28"/>
        </w:rPr>
        <w:t xml:space="preserve">Issue: </w:t>
      </w:r>
      <w:r>
        <w:rPr>
          <w:rFonts w:ascii="Calibri" w:cs="Calibri" w:eastAsia="Calibri" w:hAnsi="Calibri"/>
          <w:b w:val="false"/>
          <w:bCs w:val="false"/>
          <w:i w:val="false"/>
          <w:iCs w:val="false"/>
          <w:color w:val="000000"/>
          <w:sz w:val="28"/>
          <w:szCs w:val="28"/>
        </w:rPr>
        <w:t xml:space="preserve">Whether acts of part performance could justify enforcement of an otherwise unenforceable agreement.</w:t>
      </w:r>
    </w:p>
    <w:p>
      <w:pPr>
        <w:spacing w:after="0" w:before="0" w:line="240"/>
        <w:ind w:left="567" w:right="567"/>
      </w:pPr>
      <w:r>
        <w:rPr>
          <w:rFonts w:ascii="Calibri" w:cs="Calibri" w:eastAsia="Calibri" w:hAnsi="Calibri"/>
          <w:b/>
          <w:bCs/>
          <w:color w:val="000000"/>
          <w:sz w:val="28"/>
          <w:szCs w:val="28"/>
        </w:rPr>
        <w:t xml:space="preserve">Held: </w:t>
      </w:r>
      <w:r>
        <w:rPr>
          <w:rFonts w:ascii="Calibri" w:cs="Calibri" w:eastAsia="Calibri" w:hAnsi="Calibri"/>
          <w:b w:val="false"/>
          <w:bCs w:val="false"/>
          <w:i w:val="false"/>
          <w:iCs w:val="false"/>
          <w:color w:val="000000"/>
          <w:sz w:val="28"/>
          <w:szCs w:val="28"/>
        </w:rPr>
        <w:t xml:space="preserve">The House of Lords held that the acts relied upon must be unequivocally referable to the alleged contract; mere possession or payment alone is insufficient unless directly connected with the agreement. The Court laid down the fundamental principles governing the Doctrine of Part Performance. This decision became the foundation of the equitable doctrine later incorporated into Indian law through Section 53A.</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Nathulal v. Phoolchand</w:t>
      </w:r>
    </w:p>
    <w:p>
      <w:pPr>
        <w:spacing w:after="0" w:before="0" w:line="240"/>
        <w:ind w:left="567" w:right="567"/>
      </w:pPr>
      <w:r>
        <w:rPr>
          <w:rFonts w:ascii="Calibri" w:cs="Calibri" w:eastAsia="Calibri" w:hAnsi="Calibri"/>
          <w:b/>
          <w:bCs/>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1970 SC 546</w:t>
      </w:r>
    </w:p>
    <w:p>
      <w:pPr>
        <w:spacing w:after="0" w:before="0" w:line="240"/>
        <w:ind w:left="567" w:right="567"/>
      </w:pPr>
      <w:r>
        <w:rPr>
          <w:rFonts w:ascii="Calibri" w:cs="Calibri" w:eastAsia="Calibri" w:hAnsi="Calibri"/>
          <w:b/>
          <w:bCs/>
          <w:color w:val="000000"/>
          <w:sz w:val="28"/>
          <w:szCs w:val="28"/>
        </w:rPr>
        <w:t xml:space="preserve">Facts: </w:t>
      </w:r>
      <w:r>
        <w:rPr>
          <w:rFonts w:ascii="Calibri" w:cs="Calibri" w:eastAsia="Calibri" w:hAnsi="Calibri"/>
          <w:b w:val="false"/>
          <w:bCs w:val="false"/>
          <w:i w:val="false"/>
          <w:iCs w:val="false"/>
          <w:color w:val="000000"/>
          <w:sz w:val="28"/>
          <w:szCs w:val="28"/>
        </w:rPr>
        <w:t xml:space="preserve">The purchaser entered into possession under an agreement to sell and sought protection under Section 53A. The transferor argued that the purchaser had failed to fulfil his contractual obligations.</w:t>
      </w:r>
    </w:p>
    <w:p>
      <w:pPr>
        <w:spacing w:after="0" w:before="0" w:line="240"/>
        <w:ind w:left="567" w:right="567"/>
      </w:pPr>
      <w:r>
        <w:rPr>
          <w:rFonts w:ascii="Calibri" w:cs="Calibri" w:eastAsia="Calibri" w:hAnsi="Calibri"/>
          <w:b/>
          <w:bCs/>
          <w:color w:val="000000"/>
          <w:sz w:val="28"/>
          <w:szCs w:val="28"/>
        </w:rPr>
        <w:t xml:space="preserve">Issue: </w:t>
      </w:r>
      <w:r>
        <w:rPr>
          <w:rFonts w:ascii="Calibri" w:cs="Calibri" w:eastAsia="Calibri" w:hAnsi="Calibri"/>
          <w:b w:val="false"/>
          <w:bCs w:val="false"/>
          <w:i w:val="false"/>
          <w:iCs w:val="false"/>
          <w:color w:val="000000"/>
          <w:sz w:val="28"/>
          <w:szCs w:val="28"/>
        </w:rPr>
        <w:t xml:space="preserve">Whether the transferee was "ready and willing" to perform his part of the contract within the meaning of Section 53A.</w:t>
      </w:r>
    </w:p>
    <w:p>
      <w:pPr>
        <w:spacing w:after="0" w:before="0" w:line="240"/>
        <w:ind w:left="567" w:right="567"/>
      </w:pPr>
      <w:r>
        <w:rPr>
          <w:rFonts w:ascii="Calibri" w:cs="Calibri" w:eastAsia="Calibri" w:hAnsi="Calibri"/>
          <w:b/>
          <w:bCs/>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readiness and willingness are mandatory requirements and that the transferee must continuously remain prepared to perform his contractual obligations. Section 53A protects only an honest and willing transferee. The Court granted protection because the purchaser had demonstrated continuous readiness and willingness to perform. This is the leading Supreme Court authority explaining the meaning of "willingness to perform" under Section 53A.</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Shrimant Shamrao Suryavanshi v. Pralhad Bhairoba Suryavanshi</w:t>
      </w:r>
    </w:p>
    <w:p>
      <w:pPr>
        <w:spacing w:after="0" w:before="0" w:line="240"/>
        <w:ind w:left="567" w:right="567"/>
      </w:pPr>
      <w:r>
        <w:rPr>
          <w:rFonts w:ascii="Calibri" w:cs="Calibri" w:eastAsia="Calibri" w:hAnsi="Calibri"/>
          <w:b/>
          <w:bCs/>
          <w:color w:val="000000"/>
          <w:sz w:val="28"/>
          <w:szCs w:val="28"/>
        </w:rPr>
        <w:t xml:space="preserve">Citation: </w:t>
      </w:r>
      <w:r>
        <w:rPr>
          <w:rFonts w:ascii="Calibri" w:cs="Calibri" w:eastAsia="Calibri" w:hAnsi="Calibri"/>
          <w:b w:val="false"/>
          <w:bCs w:val="false"/>
          <w:i w:val="false"/>
          <w:iCs w:val="false"/>
          <w:color w:val="000000"/>
          <w:sz w:val="28"/>
          <w:szCs w:val="28"/>
        </w:rPr>
        <w:t xml:space="preserve">(2002) 3 SCC 676</w:t>
      </w:r>
    </w:p>
    <w:p>
      <w:pPr>
        <w:spacing w:after="0" w:before="0" w:line="240"/>
        <w:ind w:left="567" w:right="567"/>
      </w:pPr>
      <w:r>
        <w:rPr>
          <w:rFonts w:ascii="Calibri" w:cs="Calibri" w:eastAsia="Calibri" w:hAnsi="Calibri"/>
          <w:b/>
          <w:bCs/>
          <w:color w:val="000000"/>
          <w:sz w:val="28"/>
          <w:szCs w:val="28"/>
        </w:rPr>
        <w:t xml:space="preserve">Facts: </w:t>
      </w:r>
      <w:r>
        <w:rPr>
          <w:rFonts w:ascii="Calibri" w:cs="Calibri" w:eastAsia="Calibri" w:hAnsi="Calibri"/>
          <w:b w:val="false"/>
          <w:bCs w:val="false"/>
          <w:i w:val="false"/>
          <w:iCs w:val="false"/>
          <w:color w:val="000000"/>
          <w:sz w:val="28"/>
          <w:szCs w:val="28"/>
        </w:rPr>
        <w:t xml:space="preserve">The transferee claimed protection under Section 53A after taking possession under an agreement to sell. The dispute centred on the scope of the doctrine and the nature of the rights created.</w:t>
      </w:r>
    </w:p>
    <w:p>
      <w:pPr>
        <w:spacing w:after="0" w:before="0" w:line="240"/>
        <w:ind w:left="567" w:right="567"/>
      </w:pPr>
      <w:r>
        <w:rPr>
          <w:rFonts w:ascii="Calibri" w:cs="Calibri" w:eastAsia="Calibri" w:hAnsi="Calibri"/>
          <w:b/>
          <w:bCs/>
          <w:color w:val="000000"/>
          <w:sz w:val="28"/>
          <w:szCs w:val="28"/>
        </w:rPr>
        <w:t xml:space="preserve">Issue: </w:t>
      </w:r>
      <w:r>
        <w:rPr>
          <w:rFonts w:ascii="Calibri" w:cs="Calibri" w:eastAsia="Calibri" w:hAnsi="Calibri"/>
          <w:b w:val="false"/>
          <w:bCs w:val="false"/>
          <w:i w:val="false"/>
          <w:iCs w:val="false"/>
          <w:color w:val="000000"/>
          <w:sz w:val="28"/>
          <w:szCs w:val="28"/>
        </w:rPr>
        <w:t xml:space="preserve">Whether Section 53A confers title, and whether the provision merely protects possession.</w:t>
      </w:r>
    </w:p>
    <w:p>
      <w:pPr>
        <w:spacing w:after="0" w:before="0" w:line="240"/>
        <w:ind w:left="567" w:right="567"/>
      </w:pPr>
      <w:r>
        <w:rPr>
          <w:rFonts w:ascii="Calibri" w:cs="Calibri" w:eastAsia="Calibri" w:hAnsi="Calibri"/>
          <w:b/>
          <w:bCs/>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Section 53A creates no title and merely prevents the transferor from disturbing the possession of the transferee. The doctrine is available only as a defence. This judgment is regarded as one of the most authoritative interpretations of Section 53A and firmly established that it is a shield and not a sword.</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Suraj Lamp and Industries (P) Ltd. v. State of Haryana</w:t>
      </w:r>
    </w:p>
    <w:p>
      <w:pPr>
        <w:spacing w:after="0" w:before="0" w:line="240"/>
        <w:ind w:left="567" w:right="567"/>
      </w:pPr>
      <w:r>
        <w:rPr>
          <w:rFonts w:ascii="Calibri" w:cs="Calibri" w:eastAsia="Calibri" w:hAnsi="Calibri"/>
          <w:b/>
          <w:bCs/>
          <w:color w:val="000000"/>
          <w:sz w:val="28"/>
          <w:szCs w:val="28"/>
        </w:rPr>
        <w:t xml:space="preserve">Citation: </w:t>
      </w:r>
      <w:r>
        <w:rPr>
          <w:rFonts w:ascii="Calibri" w:cs="Calibri" w:eastAsia="Calibri" w:hAnsi="Calibri"/>
          <w:b w:val="false"/>
          <w:bCs w:val="false"/>
          <w:i w:val="false"/>
          <w:iCs w:val="false"/>
          <w:color w:val="000000"/>
          <w:sz w:val="28"/>
          <w:szCs w:val="28"/>
        </w:rPr>
        <w:t xml:space="preserve">(2012) 1 SCC 656</w:t>
      </w:r>
    </w:p>
    <w:p>
      <w:pPr>
        <w:spacing w:after="0" w:before="0" w:line="240"/>
        <w:ind w:left="567" w:right="567"/>
      </w:pPr>
      <w:r>
        <w:rPr>
          <w:rFonts w:ascii="Calibri" w:cs="Calibri" w:eastAsia="Calibri" w:hAnsi="Calibri"/>
          <w:b/>
          <w:bCs/>
          <w:color w:val="000000"/>
          <w:sz w:val="28"/>
          <w:szCs w:val="28"/>
        </w:rPr>
        <w:t xml:space="preserve">Facts: </w:t>
      </w:r>
      <w:r>
        <w:rPr>
          <w:rFonts w:ascii="Calibri" w:cs="Calibri" w:eastAsia="Calibri" w:hAnsi="Calibri"/>
          <w:b w:val="false"/>
          <w:bCs w:val="false"/>
          <w:i w:val="false"/>
          <w:iCs w:val="false"/>
          <w:color w:val="000000"/>
          <w:sz w:val="28"/>
          <w:szCs w:val="28"/>
        </w:rPr>
        <w:t xml:space="preserve">The Supreme Court examined transactions involving General Power of Attorney sales, agreements to sell, and wills that were being used as substitutes for registered conveyances.</w:t>
      </w:r>
    </w:p>
    <w:p>
      <w:pPr>
        <w:spacing w:after="0" w:before="0" w:line="240"/>
        <w:ind w:left="567" w:right="567"/>
      </w:pPr>
      <w:r>
        <w:rPr>
          <w:rFonts w:ascii="Calibri" w:cs="Calibri" w:eastAsia="Calibri" w:hAnsi="Calibri"/>
          <w:b/>
          <w:bCs/>
          <w:color w:val="000000"/>
          <w:sz w:val="28"/>
          <w:szCs w:val="28"/>
        </w:rPr>
        <w:t xml:space="preserve">Issue: </w:t>
      </w:r>
      <w:r>
        <w:rPr>
          <w:rFonts w:ascii="Calibri" w:cs="Calibri" w:eastAsia="Calibri" w:hAnsi="Calibri"/>
          <w:b w:val="false"/>
          <w:bCs w:val="false"/>
          <w:i w:val="false"/>
          <w:iCs w:val="false"/>
          <w:color w:val="000000"/>
          <w:sz w:val="28"/>
          <w:szCs w:val="28"/>
        </w:rPr>
        <w:t xml:space="preserve">Whether an agreement to sell accompanied by possession conveys ownership, and what is the scope of Section 53A after the 2001 Amendment.</w:t>
      </w:r>
    </w:p>
    <w:p>
      <w:pPr>
        <w:spacing w:after="0" w:before="0" w:line="240"/>
        <w:ind w:left="567" w:right="567"/>
      </w:pPr>
      <w:r>
        <w:rPr>
          <w:rFonts w:ascii="Calibri" w:cs="Calibri" w:eastAsia="Calibri" w:hAnsi="Calibri"/>
          <w:b/>
          <w:bCs/>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an agreement to sell, even when accompanied by possession, does not convey ownership. Section 53A merely protects possession if its statutory conditions are satisfied. After the 2001 Amendment, an unregistered agreement that is compulsorily registrable cannot ordinarily be relied upon for protection under Section 53A. Property can ordinarily be legally transferred only through a duly executed and registered conveyance deed. This is the most important modern judgment on the scope of Section 53A.</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Sardar Govindrao Mahadik v. Devi Sahai</w:t>
      </w:r>
    </w:p>
    <w:p>
      <w:pPr>
        <w:spacing w:after="0" w:before="0" w:line="240"/>
        <w:ind w:left="567" w:right="567"/>
      </w:pPr>
      <w:r>
        <w:rPr>
          <w:rFonts w:ascii="Calibri" w:cs="Calibri" w:eastAsia="Calibri" w:hAnsi="Calibri"/>
          <w:b/>
          <w:bCs/>
          <w:color w:val="000000"/>
          <w:sz w:val="28"/>
          <w:szCs w:val="28"/>
        </w:rPr>
        <w:t xml:space="preserve">Citation: </w:t>
      </w:r>
      <w:r>
        <w:rPr>
          <w:rFonts w:ascii="Calibri" w:cs="Calibri" w:eastAsia="Calibri" w:hAnsi="Calibri"/>
          <w:b w:val="false"/>
          <w:bCs w:val="false"/>
          <w:i w:val="false"/>
          <w:iCs w:val="false"/>
          <w:color w:val="000000"/>
          <w:sz w:val="28"/>
          <w:szCs w:val="28"/>
        </w:rPr>
        <w:t xml:space="preserve">(1982) 1 SCC 237</w:t>
      </w:r>
    </w:p>
    <w:p>
      <w:pPr>
        <w:spacing w:after="0" w:before="0" w:line="240"/>
        <w:ind w:left="567" w:right="567"/>
      </w:pPr>
      <w:r>
        <w:rPr>
          <w:rFonts w:ascii="Calibri" w:cs="Calibri" w:eastAsia="Calibri" w:hAnsi="Calibri"/>
          <w:b/>
          <w:bCs/>
          <w:color w:val="000000"/>
          <w:sz w:val="28"/>
          <w:szCs w:val="28"/>
        </w:rPr>
        <w:t xml:space="preserve">Facts: </w:t>
      </w:r>
      <w:r>
        <w:rPr>
          <w:rFonts w:ascii="Calibri" w:cs="Calibri" w:eastAsia="Calibri" w:hAnsi="Calibri"/>
          <w:b w:val="false"/>
          <w:bCs w:val="false"/>
          <w:i w:val="false"/>
          <w:iCs w:val="false"/>
          <w:color w:val="000000"/>
          <w:sz w:val="28"/>
          <w:szCs w:val="28"/>
        </w:rPr>
        <w:t xml:space="preserve">The dispute concerned the applicability of Section 53A where possession had been delivered pursuant to a written contract.</w:t>
      </w:r>
    </w:p>
    <w:p>
      <w:pPr>
        <w:spacing w:after="0" w:before="0" w:line="240"/>
        <w:ind w:left="567" w:right="567"/>
      </w:pPr>
      <w:r>
        <w:rPr>
          <w:rFonts w:ascii="Calibri" w:cs="Calibri" w:eastAsia="Calibri" w:hAnsi="Calibri"/>
          <w:b/>
          <w:bCs/>
          <w:color w:val="000000"/>
          <w:sz w:val="28"/>
          <w:szCs w:val="28"/>
        </w:rPr>
        <w:t xml:space="preserve">Issue: </w:t>
      </w:r>
      <w:r>
        <w:rPr>
          <w:rFonts w:ascii="Calibri" w:cs="Calibri" w:eastAsia="Calibri" w:hAnsi="Calibri"/>
          <w:b w:val="false"/>
          <w:bCs w:val="false"/>
          <w:i w:val="false"/>
          <w:iCs w:val="false"/>
          <w:color w:val="000000"/>
          <w:sz w:val="28"/>
          <w:szCs w:val="28"/>
        </w:rPr>
        <w:t xml:space="preserve">Whether the statutory conditions of Section 53A had been satisfied.</w:t>
      </w:r>
    </w:p>
    <w:p>
      <w:pPr>
        <w:spacing w:after="0" w:before="0" w:line="240"/>
        <w:ind w:left="567" w:right="567"/>
      </w:pPr>
      <w:r>
        <w:rPr>
          <w:rFonts w:ascii="Calibri" w:cs="Calibri" w:eastAsia="Calibri" w:hAnsi="Calibri"/>
          <w:b/>
          <w:bCs/>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every statutory requirement must be fulfilled before protection can be claimed. The Court emphasised the requirements of a written agreement, possession, acts in furtherance, and readiness and willingness. The Court applied Section 53A only after strict compliance with every statutory condition. This judgment remains a leading authority on the essential ingredients of Section 53A.</w:t>
      </w:r>
    </w:p>
    <w:p>
      <w:pPr>
        <w:spacing w:after="0" w:before="0" w:line="240"/>
      </w:pPr>
      <w:r>
        <w:t xml:space="preserve"/>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6. conclusion</w:t>
      </w:r>
    </w:p>
    <w:p>
      <w:pPr>
        <w:spacing w:after="0" w:before="0" w:line="240"/>
        <w:ind w:left="567" w:right="567"/>
      </w:pPr>
      <w:r>
        <w:rPr>
          <w:rFonts w:ascii="Calibri" w:cs="Calibri" w:eastAsia="Calibri" w:hAnsi="Calibri"/>
          <w:b w:val="false"/>
          <w:bCs w:val="false"/>
          <w:i w:val="false"/>
          <w:iCs w:val="false"/>
          <w:color w:val="000000"/>
          <w:sz w:val="28"/>
          <w:szCs w:val="28"/>
        </w:rPr>
        <w:t xml:space="preserve">The equitable doctrines embodied in Sections 41, 43, 52, 53, and 53A of the Transfer of Property Act, 1882 collectively demonstrate the Indian law's commitment to harmonising strict legal rules with the demands of fairness, commercial certainty, and the protection of innocent parties. Section 41 protects bona fide purchasers who rely in good faith upon an ostensible owner acting with the real owner's consent; Section 43 prevents transferors from benefiting from their own misrepresentations by allowing later-acquired title to feed the earlier defective grant; Section 52 safeguards the integrity of judicial proceedings by ensuring that transfers pendente lite remain subordinate to the court's decree; Section 53 protects creditors from dishonest alienations intended to place assets beyond their reach; and Section 53A gives equitable protection to transferees who have acted upon valid written contracts and taken possession, preventing their dispossession through technical non-compliance with registration requirements.</w:t>
      </w:r>
    </w:p>
    <w:p>
      <w:pPr>
        <w:spacing w:after="0" w:before="0" w:line="240"/>
      </w:pPr>
      <w: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Together, these provisions reflect the overarching principle of the Transfer of Property Act, 1882, that proprietary rights must be exercised consistently with good faith, honesty, and fairness. They strike a careful balance between freedom of disposition, protection of bona fide purchasers, safeguarding of creditors, preservation of judicial authority, and prevention of fraud. As Poonam Pradhan Saxena observes, the statutory embodiment of these equitable doctrines represents the legislature's recognition that rigid legal rules require equitable mitigation to produce just outcomes in the complex arena of property transactions.</w:t>
      </w:r>
    </w:p>
    <w:p>
      <w:pPr>
        <w:spacing w:after="0" w:before="0" w:line="240"/>
      </w:pPr>
      <w:r>
        <w:t xml:space="preserv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2026-06-27T07:10:01.477Z</dcterms:created>
  <dcterms:modified xsi:type="dcterms:W3CDTF">2026-06-27T07:10:01.491Z</dcterms:modified>
</cp:coreProperties>
</file>

<file path=docProps/custom.xml><?xml version="1.0" encoding="utf-8"?>
<Properties xmlns="http://schemas.openxmlformats.org/officeDocument/2006/custom-properties" xmlns:vt="http://schemas.openxmlformats.org/officeDocument/2006/docPropsVTypes"/>
</file>