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Chapter IV – Public nuisance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Concept of public nuisance</w:t>
      </w:r>
    </w:p>
    <w:p>
      <w:pPr>
        <w:jc w:val="both"/>
        <w:spacing w:line="240" w:before="0" w:after="0"/>
        <w:ind w:left="767" w:right="567"/>
      </w:pPr>
      <w:r>
        <w:rPr>
          <w:rFonts w:ascii="Calibri" w:hAnsi="Calibri"/>
          <w:b w:val="0"/>
          <w:i w:val="0"/>
          <w:color w:val="000000"/>
          <w:sz w:val="28"/>
        </w:rPr>
        <w:t>–  Sections 152 to 163 BNSS, 2023 – detailed explanation</w:t>
      </w:r>
    </w:p>
    <w:p>
      <w:pPr>
        <w:jc w:val="both"/>
        <w:spacing w:line="240" w:before="0" w:after="0"/>
        <w:ind w:left="767" w:right="567"/>
      </w:pPr>
      <w:r>
        <w:rPr>
          <w:rFonts w:ascii="Calibri" w:hAnsi="Calibri"/>
          <w:b w:val="0"/>
          <w:i w:val="0"/>
          <w:color w:val="000000"/>
          <w:sz w:val="28"/>
        </w:rPr>
        <w:t>–  Essentials of public nuisance</w:t>
      </w:r>
    </w:p>
    <w:p>
      <w:pPr>
        <w:jc w:val="both"/>
        <w:spacing w:line="240" w:before="0" w:after="0"/>
        <w:ind w:left="767" w:right="567"/>
      </w:pPr>
      <w:r>
        <w:rPr>
          <w:rFonts w:ascii="Calibri" w:hAnsi="Calibri"/>
          <w:b w:val="0"/>
          <w:i w:val="0"/>
          <w:color w:val="000000"/>
          <w:sz w:val="28"/>
        </w:rPr>
        <w:t>–  Forms of public nuisance</w:t>
      </w:r>
    </w:p>
    <w:p>
      <w:pPr>
        <w:jc w:val="both"/>
        <w:spacing w:line="240" w:before="0" w:after="0"/>
        <w:ind w:left="767" w:right="567"/>
      </w:pPr>
      <w:r>
        <w:rPr>
          <w:rFonts w:ascii="Calibri" w:hAnsi="Calibri"/>
          <w:b w:val="0"/>
          <w:i w:val="0"/>
          <w:color w:val="000000"/>
          <w:sz w:val="28"/>
        </w:rPr>
        <w:t>–  Remedies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Every person living in society has a right to use public places and enjoy a healthy environment without harm from others. When the conduct of a person or the condition of property causes injury, danger, or annoyance to the general public, the law treats this as a public nuisance — a collective wrong requiring State intervention. Public nuisance differs from a private wrong in that its impact falls on the community at large rather than any single person.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(BNSS) deals with public nuisance under Chapter XI, Sections 152 to 163. These provisions empower Executive Magistrates to issue conditional orders for removal of nuisances, conduct inquiries, obtain expert assistance, issue interim injunctions, and act immediately in cases of urgent danger. The proceedings are preventive and remedial in character — their object is removal of the danger or inconvenience, not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Concept of public nuisance</w:t>
      </w:r>
    </w:p>
    <w:p>
      <w:pPr>
        <w:jc w:val="both"/>
        <w:spacing w:line="240" w:before="0" w:after="0"/>
      </w:pPr>
      <w:r>
        <w:rPr>
          <w:rFonts w:ascii="Calibri" w:hAnsi="Calibri"/>
          <w:b w:val="0"/>
          <w:i w:val="0"/>
          <w:color w:val="000000"/>
          <w:sz w:val="28"/>
        </w:rPr>
        <w:t>Public nuisance means an act or omission that causes common injury, danger, or annoyance to the public or to a substantial number of persons. It is treated as a criminal matter because it impairs collectively held rights that no individual can protect through private civil remedies alone.</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Public nuisance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Private nuisance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Affects the public or community at large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Affects a specific individual or their property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Criminal in nature; State takes action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Civil wrong; the affected individual brings suit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Remedied through Magistrate orders under BNSS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Remedied through injunction or damages in civil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 blocking a public highway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 excessive noise directed at one neighbour</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Sections 152 to 163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152 BNSS, 2023 – Conditional order for removal of nuisance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152. Conditional order for removal of nuisance.—(1) Whenever a District Magistrate or a Sub-divisional Magistrate or any other Executive Magistrate specially empowered in this behalf by the State Government, on receiving the report of a police officer or other information and on taking such evidence (if any) as he thinks fit, considers—</w:t>
        <w:br/>
        <w:t>(a) that any unlawful obstruction or nuisance should be removed from any public place or from any way, river or channel which is or may be lawfully used by the public; or</w:t>
        <w:br/>
        <w:t>(b) that the conduct of any trade or occupation, or the keeping of any goods or merchandise, is injurious to the health or physical comfort of the community, and that in consequence such trade or occupation should be prohibited or regulated or such goods or merchandise should be removed or the keeping thereof regulated; or</w:t>
        <w:br/>
        <w:t>(c) that the construction of any building, or the disposal of any substance, as is likely to occasion conflagration or explosion, should be prevented or stopped; or</w:t>
        <w:br/>
        <w:t>(d) that any building, tent or structure, or any tree is in such a condition that it is likely to fall and thereby cause injury to persons living or carrying on business in the neighbourhood or passing by, and that in consequence the removal, repair or support of such building, tent or structure, or the removal or support of such tree, is necessary; or</w:t>
        <w:br/>
        <w:t>(e) that any tank, well or excavation adjacent to any such way or public place should be fenced in such manner as to prevent danger arising to the public; or</w:t>
        <w:br/>
        <w:t>(f) that any dangerous animal should be destroyed, confined or otherwise disposed of,</w:t>
        <w:br/>
        <w:t>such Magistrate may make a conditional order requiring the person causing such obstruction or nuisance, or carrying on such trade or occupation, or owning, possessing or controlling such building, tent, structure, substance, tank, well or excavation, or owning or possessing such animal or tree, within a time to be fixed in the order to remove such obstruction or nuisance, or take the steps specified, or, if he objects so to do, to appear before the Magistrate and show cause why the order should not be made absolute.</w:t>
        <w:br/>
        <w:t>(2) No order duly made by a Magistrate under this section shall be called in question in any Civil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152 enumerates six actionable categories of public nuisance: unlawful obstructions in public places or waterways; trades or occupations injurious to public health or comfort; buildings or activities likely to cause fire or explosion; structures or trees in dangerous condition; unfenced tanks, wells, or excavations near public ways; and dangerous animals. The Magistrate acts on a police report or any credible information. The order is "conditional" because it gives the person a choice — comply with the direction or appear to contest it before the order becomes final. Sub-section (2) bars civil court interference with properly made orders, ensuring preventive action is not frustrated by collateral litigation.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153 to 155 BNSS, 2023 – Service, compliance and penalty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153 requires the conditional order to be served on the person personally in the manner of summons service, or by public proclamation and affixation where personal service is not practicable. Section 154 gives the person two options: comply with the direction within the time specified, or appear before the Magistrate and show cause against the order. Appearance and hearing may be through audio-video conferencing, reflecting the BNSS's technological modernisation. Section 155 provides that if the person neither complies nor appears, he becomes liable to the penalty under section 223 of the BNS, 2023 and the conditional order is made absolute automatically. The three-section mechanism ensures that the person has been informed, given a choice, and warned of consequences before the order becomes final.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156 to 160 BNSS, 2023 – Inquiry and enforcement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156 deals with the situation where the person denies the existence of a public right over the place in question. If supported by reliable evidence, the Magistrate must stay proceedings and refer the public right question to a civil court; otherwise the inquiry under section 157 proceeds. Section 157 governs contested proceedings: the Magistrate takes evidence as in a summons-case and either makes the order absolute (with or without modification) if satisfied, or drops proceedings if not. The inquiry must be completed within ninety days, extendable to one hundred and twenty days for recorded reasons. Section 158 empowers the Magistrate to direct a local investigation or summon an expert for technical matters such as structural safety, pollution, or health hazards. Section 159 allows written instructions to investigators, makes their report admissible as evidence, and addresses cost allocation. Section 160 provides enforcement of absolute orders: if the person still fails to act after notice, the Magistrate may cause the act to be done and recover costs through sale of the defaulter's property.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161 BNSS, 2023 – Injunction pending inquiry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161. Injunction pending inquiry.—(1) If a Magistrate making an order under section 152 considers that immediate measures should be taken to prevent imminent danger or injury of a serious kind to the public, he may issue such an injunction to the person against whom the order was made, as is required to obviate or prevent such danger or injury pending the determination of the matter.</w:t>
        <w:br/>
        <w:t>(2) In default of such person forthwith obeying such injunction, the Magistrate may himself use, or cause to be used, such means as he thinks fit to obviate such danger or to prevent such injury.</w:t>
        <w:br/>
        <w:t>(3) No suit shall lie in respect of anything done in good faith by a Magistrate under this section.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161 is the emergency arm of the nuisance framework. Where a nuisance poses imminent serious danger that cannot wait for the full inquiry process — a collapsing building, an uncontrolled toxic substance, a dangerous animal at large — the Magistrate may issue an immediate interim injunction. If ignored, the Magistrate may directly cause the protective action to be taken. Good faith immunity in sub-section (3) protects officials from vexatious litigation arising from genuine emergency actions taken to protect the public.</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162 and 163 BNSS, 2023 – Prohibition and urgent orders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162. Magistrate may prohibit repetition or continuance of public nuisance.—A District Magistrate or Sub-divisional Magistrate, or any other Executive Magistrate or Deputy Commissioner of Police empowered by the State Government or the District Magistrate in this behalf, may order any person not to repeat or continue a public nuisance, as defined in the Bharatiya Nyaya Sanhita, 2023, or any special or local law.</w:t>
        <w:br/>
        <w:t>163. Power to issue order in urgent cases of nuisance or apprehended danger.—(1) In cases where, in the opinion of a District Magistrate, a Sub-divisional Magistrate or any other Executive Magistrate specially empowered by the State Government in this behalf, there is sufficient ground for proceeding under this section and immediate prevention or speedy remedy is desirable, such Magistrate may, by a written order stating the material facts of the case and served in the manner provided by section 153, direct any person to abstain from a certain act or to take certain order with respect to certain property in his possession or under his management, if such Magistrate considers that such direction is likely to prevent, or tends to prevent, obstruction, annoyance or injury to any person lawfully employed, or danger to human life, health or safety or a disturbance of the public tranquillity, or a riot, or an affray.</w:t>
        <w:br/>
        <w:t>(2) An order under this section may, in cases of emergency or in cases where the circumstances do not admit of the serving in due time of a notice upon the person against whom the order is directed, be passed ex parte.</w:t>
        <w:br/>
        <w:t>(3) An order under this section may be directed to a particular individual, or to persons residing in a particular place or area, or to the public generally when frequenting or visiting a particular place or area.</w:t>
        <w:br/>
        <w:t>(4) No order under this section shall remain in force for more than two months from the making thereof: Provided that if the State Government considers it necessary so to do for preventing danger to human life, health or safety or for preventing a riot or any affray, it may, by notification, direct that an order made by a Magistrate under this section shall remain in force for such further period not exceeding six months.</w:t>
        <w:br/>
        <w:t>(5) Any Magistrate may, either on his own motion or on the application of any person aggrieved, rescind or alter any order made under this section.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162 provides a direct prohibitory power for established nuisances — where the factual position is clear, authorities can simply order cessation without a fresh conditional-order inquiry. Section 163 is the broadest and most flexible urgent-order provision: it covers not just existing nuisances but also apprehended dangers before they materialise. The Magistrate must record material facts in writing. Ex parte orders are permissible in genuine emergencies. Orders can target individuals, groups, or the public in a defined area. The two-month limit (extendable to six months by State Government notification) prevents indefinite emergency measures while allowing adequate time to address serious ongoing threats. Any Magistrate may rescind or alter the order on good grounds.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Essentials of public nuisance</w:t>
      </w:r>
    </w:p>
    <w:p>
      <w:pPr>
        <w:jc w:val="both"/>
        <w:spacing w:line="240" w:before="0" w:after="0"/>
      </w:pPr>
      <w:r>
        <w:rPr>
          <w:rFonts w:ascii="Calibri" w:hAnsi="Calibri"/>
          <w:b w:val="0"/>
          <w:i w:val="0"/>
          <w:color w:val="000000"/>
          <w:sz w:val="28"/>
        </w:rPr>
        <w:t>For an act to constitute a public nuisance requiring Magistrate action, the following must be present: an unlawful act or failure to perform a legal duty; impact on the public generally or a community of persons rather than a single individual; common injury, danger, or annoyance caused or likely to be caused; interference with collectively held public rights; and necessity of immediate prevention or remedy to protect public welfare.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Forms of public nuisance</w:t>
      </w:r>
    </w:p>
    <w:p>
      <w:pPr>
        <w:jc w:val="both"/>
        <w:spacing w:line="240" w:before="0" w:after="0"/>
      </w:pPr>
      <w:r>
        <w:rPr>
          <w:rFonts w:ascii="Calibri" w:hAnsi="Calibri"/>
          <w:b w:val="0"/>
          <w:i w:val="0"/>
          <w:color w:val="000000"/>
          <w:sz w:val="28"/>
        </w:rPr>
        <w:t>Public nuisance may take many forms: environmental nuisances such as air or water pollution and excessive noise; public health nuisances such as unsafe waste disposal and spread of disease; obstruction nuisances such as illegal encroachments on public roads; structural nuisances involving dangerous buildings or unsafe trees; nuisances involving hazardous substances such as explosives or toxic materials; and animal-related nuisances involving dangerous animals without proper restraint.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Remedies against public nuisance</w:t>
      </w:r>
    </w:p>
    <w:p>
      <w:pPr>
        <w:jc w:val="both"/>
        <w:spacing w:line="240" w:before="0" w:after="0"/>
      </w:pPr>
      <w:r>
        <w:rPr>
          <w:rFonts w:ascii="Calibri" w:hAnsi="Calibri"/>
          <w:b w:val="0"/>
          <w:i w:val="0"/>
          <w:color w:val="000000"/>
          <w:sz w:val="28"/>
        </w:rPr>
        <w:t>The BNSS provides multiple remedies: the conditional order under section 152 for removal; the interim injunction under section 161 for imminent dangers; the direct prohibition under section 162 for established nuisances; and the urgent order under section 163 for emergencies. Beyond the BNSS, criminal proceedings may be initiated under the BNS, 2023 against those causing public nuisances. Civil remedies including injunctions and damages remain available to those individually affected. Environmental and regulatory laws provide additional remedies in specific contexts.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Conditional order in six categories; conditional on compliance or showing cause; civil court bar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Service by personal summons or public proclamation where personal service fails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Comply or appear to show cause; audio-video conferencing permitted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Failure to comply makes order absolute; penalty under BNS, 2023</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If public right denied: stay for civil court if reliable evidence; otherwise inquiry proceeds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Contested inquiry; 90 days (extendable to 120); order absolute or proceedings dropped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Local investigation or expert summoned for technical matters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Instructions to investigator; report admissible as evidence; costs allocated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Enforcement; Magistrate may act directly if order disobeyed; cost recovery by property sale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Interim injunction for imminent danger; Magistrate may act directly; good faith immunity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Direct prohibition against repetition or continuance of established nuisance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Urgent order for apprehended danger; ex parte in emergency; two-month limit (up to six months)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Municipal Council, Ratlam v. Vardichand</w:t>
      </w:r>
    </w:p>
    <w:p>
      <w:pPr>
        <w:jc w:val="both"/>
        <w:spacing w:line="240" w:before="0" w:after="0"/>
      </w:pPr>
      <w:r>
        <w:rPr>
          <w:rFonts w:ascii="Calibri" w:hAnsi="Calibri"/>
          <w:b w:val="0"/>
          <w:i w:val="0"/>
          <w:color w:val="000000"/>
          <w:sz w:val="28"/>
        </w:rPr>
        <w:t>Citation: AIR 1980 SC 1622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Residents of Ratlam petitioned that the municipality had failed to provide proper drainage, maintained open drains, and allowed slum areas to develop without sanitation, creating serious public health hazards.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public authorities can be compelled to remove public nuisances and what obligations do municipal bodies have towards public health?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public authorities have a statutory duty to maintain proper sanitation and remove public nuisances, and courts may compel them to do so. The Court directed the municipality to prepare and implement a scheme for removal of the nuisances within a fixed period. Poverty or lack of funds was held not to be a complete defence to inaction on statutory duties. The judgment established that socio-economic rights of communities to a clean environment are judicially enforceable.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M.C. Mehta v. Union of India (Oleum Gas Leak case)</w:t>
      </w:r>
    </w:p>
    <w:p>
      <w:pPr>
        <w:jc w:val="both"/>
        <w:spacing w:line="240" w:before="0" w:after="0"/>
      </w:pPr>
      <w:r>
        <w:rPr>
          <w:rFonts w:ascii="Calibri" w:hAnsi="Calibri"/>
          <w:b w:val="0"/>
          <w:i w:val="0"/>
          <w:color w:val="000000"/>
          <w:sz w:val="28"/>
        </w:rPr>
        <w:t>Citation: AIR 1987 SC 1086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massive leakage of oleum gas from the Shriram Food and Fertilisers plant in Delhi caused harm to workers and surrounding residents, raising fundamental questions about the liability of hazardous industries for harm to the public.</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extent of liability of enterprises engaged in inherently dangerous activities for public harm, and whether strict liability or absolute liability applies?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developed the principle of absolute liability for enterprises engaging in hazardous activities in populated areas. Unlike the traditional Rylands v. Fletcher rule which permitted exceptions, the Court held that no exceptions apply when hazardous enterprises operate near communities. Compensation must be proportionate to the enterprise's capacity and must function as a genuine deterrent.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Noise Pollution (V), In Re</w:t>
      </w:r>
    </w:p>
    <w:p>
      <w:pPr>
        <w:jc w:val="both"/>
        <w:spacing w:line="240" w:before="0" w:after="0"/>
      </w:pPr>
      <w:r>
        <w:rPr>
          <w:rFonts w:ascii="Calibri" w:hAnsi="Calibri"/>
          <w:b w:val="0"/>
          <w:i w:val="0"/>
          <w:color w:val="000000"/>
          <w:sz w:val="28"/>
        </w:rPr>
        <w:t>Citation: (2005) 5 SCC 733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Petitions challenged excessive use of loudspeakers and firecrackers causing noise pollution that affected the health, sleep, and well-being of residents, patients in hospitals, and students.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noise pollution constitutes a public nuisance affecting fundamental rights, and what restrictions may be imposed on activities generating excessive noise?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to live in a peaceful environment free from excessive noise is part of the right to life under Article 21. Noise pollution is a form of public nuisance violating both health and the right to a peaceful environment. The Court issued detailed guidelines on permissible noise levels, restricted the hours and conditions for use of loudspeakers, and held that the right to use noise-generating instruments must yield to the public right to peace and quiet.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Amit Sahni v. Commissioner of Police</w:t>
      </w:r>
    </w:p>
    <w:p>
      <w:pPr>
        <w:jc w:val="both"/>
        <w:spacing w:line="240" w:before="0" w:after="0"/>
      </w:pPr>
      <w:r>
        <w:rPr>
          <w:rFonts w:ascii="Calibri" w:hAnsi="Calibri"/>
          <w:b w:val="0"/>
          <w:i w:val="0"/>
          <w:color w:val="000000"/>
          <w:sz w:val="28"/>
        </w:rPr>
        <w:t>Citation: (2020) 10 SCC 439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Public roads in Delhi were blocked for several months by protesters. Commuters, emergency services, and residents were significantly affected. The question arose whether indefinite occupation of public roads could be permitted as a protest venue.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indefinite occupation of public roads constitutes a public nuisance, and whether the right to protest includes the right to obstruct public ways indefinitely?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to peaceful protest does not include the right to indefinitely occupy public roads and create obstruction. Public spaces exist for use by all citizens and cannot be exclusively occupied by protesters for indefinite periods. Authorities have a duty to ensure that public thoroughfares remain accessible, and prolonged obstruction constituting public nuisance must be cleared through appropriate legal 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Ramlila Maidan Incident v. Home Secretary, Union of India</w:t>
      </w:r>
    </w:p>
    <w:p>
      <w:pPr>
        <w:jc w:val="both"/>
        <w:spacing w:line="240" w:before="0" w:after="0"/>
      </w:pPr>
      <w:r>
        <w:rPr>
          <w:rFonts w:ascii="Calibri" w:hAnsi="Calibri"/>
          <w:b w:val="0"/>
          <w:i w:val="0"/>
          <w:color w:val="000000"/>
          <w:sz w:val="28"/>
        </w:rPr>
        <w:t>Citation: (2012)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Police action was taken in the early morning hours against a large gathering at Ramlila Maidan. The constitutional validity and proportionality of the State action in the name of maintaining order was challenged.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State action in dispersing a public gathering was justified and proportionate, and how the courts balance assembly rights against public order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while the State has power to maintain public order and address genuine nuisances, such power must be exercised proportionately and within constitutional requirements. Excessive action against peaceful gatherings violates fundamental rights. The Court reiterated that public order powers exist to protect rights, not suppress them, and any restriction must be the minimum necessary to address the genuine threat.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public nuisance provisions under Sections 152 to 163 of the Bharatiya Nagarik Suraksha Sanhita, 2023 provide a calibrated set of tools — from the conditional order and inquiry process, to the interim injunction, to the urgent emergency order — allowing Magistrates to respond proportionately to the nature and urgency of each nuisance situation. Designed to be both fair to the individual (notice, hearing, inquiry) and effective for the public (time limits, self-help enforcement, cost recovery), these sections embody the principle that no person may use their property or rights in a manner that unreasonably harms the collective well-being of the community.</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 – Disputes as to immovable property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breach of peace</w:t>
      </w:r>
    </w:p>
    <w:p>
      <w:pPr>
        <w:jc w:val="both"/>
        <w:spacing w:line="240" w:before="0" w:after="0"/>
        <w:ind w:left="767" w:right="567"/>
      </w:pPr>
      <w:r>
        <w:rPr>
          <w:rFonts w:ascii="Calibri" w:hAnsi="Calibri"/>
          <w:b w:val="0"/>
          <w:i w:val="0"/>
          <w:color w:val="000000"/>
          <w:sz w:val="28"/>
        </w:rPr>
        <w:t>–  How breach of peace can be prevented</w:t>
      </w:r>
    </w:p>
    <w:p>
      <w:pPr>
        <w:jc w:val="both"/>
        <w:spacing w:line="240" w:before="0" w:after="0"/>
        <w:ind w:left="767" w:right="567"/>
      </w:pPr>
      <w:r>
        <w:rPr>
          <w:rFonts w:ascii="Calibri" w:hAnsi="Calibri"/>
          <w:b w:val="0"/>
          <w:i w:val="0"/>
          <w:color w:val="000000"/>
          <w:sz w:val="28"/>
        </w:rPr>
        <w:t>–  Powers of the Magistrate</w:t>
      </w:r>
    </w:p>
    <w:p>
      <w:pPr>
        <w:jc w:val="both"/>
        <w:spacing w:line="240" w:before="0" w:after="0"/>
        <w:ind w:left="767" w:right="567"/>
      </w:pPr>
      <w:r>
        <w:rPr>
          <w:rFonts w:ascii="Calibri" w:hAnsi="Calibri"/>
          <w:b w:val="0"/>
          <w:i w:val="0"/>
          <w:color w:val="000000"/>
          <w:sz w:val="28"/>
        </w:rPr>
        <w:t>–  Sections 164 to 167 BNSS, 2023 – detailed explanation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Land and immovable property disputes are among the most common sources of violence and public disorder in India. Two parties claiming the same land, or one attempting forcible possession, can rapidly escalate a civil dispute into a threat to life and peace. Criminal procedural law recognises this reality and provides preventive mechanisms to maintain order when property disputes threaten to become violent — without displacing the jurisdiction of civil courts to determine title and legal rights.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Sections 164 to 167 of the BNSS empower Executive Magistrates to intervene in such disputes. The Magistrate's role is purely preventive: to preserve existing possession and prevent violence until a competent civil court determines the parties' legal rights. These proceedings do not decide ownership, title, or legal rights — they maintain peace while the proper legal process proceeds.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breach of peace</w:t>
      </w:r>
    </w:p>
    <w:p>
      <w:pPr>
        <w:jc w:val="both"/>
        <w:spacing w:line="240" w:before="0" w:after="0"/>
      </w:pPr>
      <w:r>
        <w:rPr>
          <w:rFonts w:ascii="Calibri" w:hAnsi="Calibri"/>
          <w:b w:val="0"/>
          <w:i w:val="0"/>
          <w:color w:val="000000"/>
          <w:sz w:val="28"/>
        </w:rPr>
        <w:t>A breach of peace is any conduct that disturbs or is likely to disturb the peaceful conditions of society. In property disputes, it may arise when two parties claim the same property and one threatens forcible possession; when boundary conflicts mobilise opposing groups threatening violence; when a party has already been forcibly dispossessed and threatens retaliation; or when the disputed property is of such importance to the parties that the threat of violence makes peaceful resolution without official intervention impossible.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How breach of peace can be prevented</w:t>
      </w:r>
    </w:p>
    <w:p>
      <w:pPr>
        <w:jc w:val="both"/>
        <w:spacing w:line="240" w:before="0" w:after="0"/>
      </w:pPr>
      <w:r>
        <w:rPr>
          <w:rFonts w:ascii="Calibri" w:hAnsi="Calibri"/>
          <w:b w:val="0"/>
          <w:i w:val="0"/>
          <w:color w:val="000000"/>
          <w:sz w:val="28"/>
        </w:rPr>
        <w:t>The law provides multiple preventive tools. The Executive Magistrate may intervene under section 164 by calling both parties, examining their possession claims, and declaring who should remain in possession pending civil court determination. In urgent situations, the disputed property may be attached under section 165 and a receiver appointed. Where the dispute concerns rights of use rather than possession, section 166 applies. Section 167 provides for local inquiry to obtain accurate factual information. Civil court proceedings for title and possession remain available throughout.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Powers of the Magistrate</w:t>
      </w:r>
    </w:p>
    <w:p>
      <w:pPr>
        <w:jc w:val="both"/>
        <w:spacing w:line="240" w:before="0" w:after="0"/>
      </w:pPr>
      <w:r>
        <w:rPr>
          <w:rFonts w:ascii="Calibri" w:hAnsi="Calibri"/>
          <w:b w:val="0"/>
          <w:i w:val="0"/>
          <w:color w:val="000000"/>
          <w:sz w:val="28"/>
        </w:rPr>
        <w:t>The Executive Magistrate under sections 164 to 167 may: make a written preliminary order requiring parties to submit possession claims; examine documents, evidence, and statements to determine who was in actual possession at the relevant time; protect a party wrongfully dispossessed within the preceding two months; attach the disputed property in emergencies; appoint a receiver to manage attached property; and direct a local inquiry through a subordinate Magistrate. The Magistrate determines possession, not title. The decision does not preclude parties from pursuing their civil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Sections 164 to 167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164 BNSS, 2023 – Procedure where dispute concerning land or water is likely to cause breach of peace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164. Procedure where dispute concerning land or water is likely to cause breach of peace.—(1) Whenever an Executive Magistrate is satisfied from a report of a police officer or upon other information that a dispute likely to cause a breach of the peace exists concerning any land or water or the boundaries thereof, within his local jurisdiction, he shall make an order in writing, stating the grounds of his being so satisfied, and requiring the parties concerned in such dispute to attend his Court in person or by an advocate on a specified date and time, and to put in written statements of their respective claims as respects the fact of actual possession of the subject of dispute.</w:t>
        <w:br/>
        <w:t>(2) For the purposes of this section, the expression "land or water" includes buildings, markets, fisheries, crops or other produce of land, and the rents or profits of any such property.</w:t>
        <w:br/>
        <w:t>(3) A copy of the order shall be served in the manner provided by this Sanhita for the service of summons upon such person or persons as the Magistrate may direct, and at least one copy shall be published by being affixed to some conspicuous place at or near the subject of dispute.</w:t>
        <w:br/>
        <w:t>(4) The Magistrate shall, without reference to the merits or the claims of any of the parties to a right to possess the subject of dispute, peruse the statements so put in, hear the parties, receive all such evidence as may be produced by them, take such further evidence, if any, as he thinks necessary, and, if possible, decide whether any and which of the parties was, at the date of the order made by him under sub-section (1), in possession of the subject of dispute:</w:t>
        <w:br/>
        <w:t>Provided that if it appears to the Magistrate that any party has been forcibly and wrongfully dispossessed within two months next before the date on which the report of a police officer or other information was received by the Magistrate, or after that date and before the date of his order under sub-section (1), he may treat the party so dispossessed as if that party had been in possession on the date of his order under sub-section (1).</w:t>
        <w:br/>
        <w:t>(5) Nothing in this section shall preclude any party from showing that no such dispute as aforesaid exists; and in such case the Magistrate shall cancel his said order.</w:t>
        <w:br/>
        <w:t>(6)(a) If the Magistrate decides that one of the parties was in such possession of the subject of dispute, he shall issue an order declaring such party to be entitled to possession thereof until evicted therefrom in due course of law, and forbidding all disturbance of such possession until such eviction; and when he proceeds under the proviso to sub-section (4), may restore to possession the party forcibly and wrongfully dispossessed.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164 is the principal provision. The Magistrate must first be satisfied — from credible information — that the dispute is genuinely likely to cause a breach of peace. The inquiry is exclusively about actual possession at the relevant time: title, ownership, and legal right are entirely outside the Magistrate's jurisdiction here. The definition of "land or water" in sub-section (2) is wide, including buildings, markets, fisheries, crops, and income from such property. The proviso protecting parties wrongfully dispossessed within two months prevents section 164 from legalising recent forcible dispossession. The final order declares who is entitled to remain in possession pending civil court determination and prohibits disturbance of that possession.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165 BNSS, 2023 – Power to attach subject of dispute and to appoint receiver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165. Power to attach subject of dispute and to appoint receiver.—(1) If the Magistrate at any time after making the order under sub-section (1) of section 164 considers the case to be one of emergency, or if he decides that none of the parties was then in such possession as is referred to in section 164, or if he is unable to satisfy himself as to which of them was then in such possession of the subject of dispute, he may attach the subject of dispute until a competent Court has determined the rights of the parties thereto with regard to the person entitled to the possession thereof:</w:t>
        <w:br/>
        <w:t>Provided that such Magistrate may withdraw the attachment at any time if he is satisfied that there is no longer any likelihood of breach of the peace with regard to the subject of dispute.</w:t>
        <w:br/>
        <w:t>(2) When the Magistrate attaches the subject of dispute, he may, if no receiver in relation to such subject of dispute has been appointed by any Civil Court, make such arrangements as he considers proper for looking after the property or if he thinks fit, appoint a receiver thereof, who shall have, subject to the control of the Magistrate, all the powers of a receiver appointed under the Code of Civil Procedure, 1908:</w:t>
        <w:br/>
        <w:t>Provided that in the event of a receiver being subsequently appointed in relation to the subject of dispute by any Civil Court, the Magistrate shall order the receiver appointed by him to hand over possession to the Civil Court receiver.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165 addresses situations where the section 164 inquiry fails to establish clear possession, or where emergency requires immediate action. Attachment places the disputed property under court control — neither party may claim or use it — until civil rights are determined. A receiver may be appointed to manage the property during this period, preventing deterioration or waste. The Magistrate must defer to any receiver appointed by a civil court, maintaining judicial hierarchy. Attachment may be withdrawn at any time once the risk of breach of peace no longer exists.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166 BNSS, 2023 – Dispute concerning right of use of land or water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166. Dispute concerning right of use of land or water.—(1) Whenever an Executive Magistrate is satisfied from the report of a police officer or upon other information, that a dispute likely to cause a breach of the peace exists regarding any alleged right of user of any land or water within his local jurisdiction, whether such right be claimed as an easement or otherwise, he shall make an order in writing, stating the grounds of his being so satisfied and requiring the parties concerned in such dispute to attend his Court and to put in written statements of their respective claims.</w:t>
        <w:br/>
        <w:t>(2) The Magistrate shall peruse the statements, hear the parties, receive all such evidence as may be produced by them, consider the effect of such evidence, take such further evidence as he thinks necessary and, if possible, decide whether such right exists.</w:t>
        <w:br/>
        <w:t>(3) If it appears to such Magistrate that such rights exist, he may make an order prohibiting any interference with the exercise of such right, including, in a proper case, an order for the removal of any obstruction in the exercise of any such right.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166 addresses disputes over rights of use — such as rights of way, rights to draw water, or easements — rather than possession of land itself. These are equally common sources of rural and peri-urban conflict. The Magistrate examines whether the claimed right of use exists and, if satisfied, may prohibit interference with its exercise and order removal of any obstruction. The proviso limits the power to situations where the right has been recently exercised, preventing claims in respect of long-abandoned rights. Even here, the Magistrate's determination is provisional — it does not finally bind civil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167 BNSS, 2023 – Local inquiry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167. Local inquiry.—(1) Whenever a local inquiry is necessary for the purposes of section 164, section 165 or section 166, a District Magistrate or Sub-divisional Magistrate may depute any Magistrate subordinate to him to make the inquiry, and may furnish him with such written instructions as may seem necessary for his guidance, and may declare by whom the whole or any part of the necessary expenses of the inquiry shall be paid.</w:t>
        <w:br/>
        <w:t>(2) The report of the person making such local inquiry may be read as evidence in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167 provides the practical mechanism for physical site inspection when an in-person assessment of the disputed land, its boundaries, or surrounding features is essential for a fair decision. A subordinate Magistrate is deputed to visit the site and report back. The report may be read as evidence in the main proceedings. Written instructions direct the inquiry to the relevant questions. The ability to allocate costs of the local inquiry ensures that expenses do not fall arbitrarily on parties who may not have caused the dispute.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Principal provision; based on likelihood of breach of peace; actual possession only — not title; two-month wrongful-dispossession protection; final order declares entitled party and forbids disturbance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Attachment and receiver when possession unclear or emergency; yields to civil court receiver; withdrawal when peace restored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Disputes over rights of use (easements, rights of way, water rights); Magistrate decides if right exists; prohibits interference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Local inquiry by subordinate Magistrate; site inspection; report admissible as evidence; costs allocated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R.H. Bhutani v. Miss Mani J. Desai</w:t>
      </w:r>
    </w:p>
    <w:p>
      <w:pPr>
        <w:jc w:val="both"/>
        <w:spacing w:line="240" w:before="0" w:after="0"/>
      </w:pPr>
      <w:r>
        <w:rPr>
          <w:rFonts w:ascii="Calibri" w:hAnsi="Calibri"/>
          <w:b w:val="0"/>
          <w:i w:val="0"/>
          <w:color w:val="000000"/>
          <w:sz w:val="28"/>
        </w:rPr>
        <w:t>Citation: AIR 1968 SC 1444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dispute arose regarding possession of immovable property. Preventive proceedings were initiated under section 145 CrPC (corresponding to section 164 BNSS). The question arose whether the Magistrate was determining ownership or only actual possession.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in immovable property dispute proceedings the Magistrate determines ownership of the property or only actual possession at the relevant time.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Magistrate's jurisdiction under these preventive provisions is strictly limited to determining actual possession. Questions of title, ownership, and legal right are entirely outside the Magistrate's purview. The proceeding is preventive — its object is to preserve the peace by maintaining existing possession pending civil court determination of legal rights. Any order passed is provisional and does not affect the parties' rights to pursue civil remedies.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Mathuralal v. Bhanwarlal</w:t>
      </w:r>
    </w:p>
    <w:p>
      <w:pPr>
        <w:jc w:val="both"/>
        <w:spacing w:line="240" w:before="0" w:after="0"/>
      </w:pPr>
      <w:r>
        <w:rPr>
          <w:rFonts w:ascii="Calibri" w:hAnsi="Calibri"/>
          <w:b w:val="0"/>
          <w:i w:val="0"/>
          <w:color w:val="000000"/>
          <w:sz w:val="28"/>
        </w:rPr>
        <w:t>Citation: AIR 1980 SC 242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Proceedings were initiated under section 145 CrPC regarding disputed property. The question arose whether the Magistrate had jurisdiction when no genuine likelihood of breach of peace had been established.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jurisdictional foundation of the immovable property dispute provisions, and must a genuine likelihood of breach of peace be demonstrated?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likelihood of breach of peace is the essential jurisdictional foundation without which the Magistrate cannot proceed. This must be based on credible material — not inference or assumption. A purely civil dispute without a credible threat of violence does not attract the preventive jurisdiction. Once genuine breach of peace is established, the Magistrate has full authority to act regardless of the civil nature of the underlying dispute.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Amresh Tiwari v. Lalta Prasad Dubey</w:t>
      </w:r>
    </w:p>
    <w:p>
      <w:pPr>
        <w:jc w:val="both"/>
        <w:spacing w:line="240" w:before="0" w:after="0"/>
      </w:pPr>
      <w:r>
        <w:rPr>
          <w:rFonts w:ascii="Calibri" w:hAnsi="Calibri"/>
          <w:b w:val="0"/>
          <w:i w:val="0"/>
          <w:color w:val="000000"/>
          <w:sz w:val="28"/>
        </w:rPr>
        <w:t>Citation: (2000) 4 SCC 440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Parties were involved in both civil court proceedings and criminal preventive proceedings regarding the same property. The civil court had already given findings on possession.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criminal preventive proceedings can continue when a civil court has already decided the question of possession between the same parties?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a competent civil court has already determined possession, parallel preventive proceedings before the Magistrate should generally not continue. Multiplicity of proceedings on the same question creates confusion and risk of contradictory orders. The Magistrate's role is to maintain peace until civil rights are determined — once civil court has made a determination, that determination should guide the position and parallel proceedings lose their justification.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Ashok Kumar v. State of Uttarakhand</w:t>
      </w:r>
    </w:p>
    <w:p>
      <w:pPr>
        <w:jc w:val="both"/>
        <w:spacing w:line="240" w:before="0" w:after="0"/>
      </w:pPr>
      <w:r>
        <w:rPr>
          <w:rFonts w:ascii="Calibri" w:hAnsi="Calibri"/>
          <w:b w:val="0"/>
          <w:i w:val="0"/>
          <w:color w:val="000000"/>
          <w:sz w:val="28"/>
        </w:rPr>
        <w:t>Citation: (2013) 3 SCC 366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property dispute resulted in preventive proceedings under section 145 CrPC. The Magistrate took action without clearly recording his satisfaction that a breach of peace was genuinely likely.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Magistrate must record his satisfaction of the likelihood of breach of peace before exercising jurisdiction under the immovable property dispute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recording satisfaction of the likelihood of breach of peace in the preliminary order is a jurisdictional requirement, not a formality. Without this recorded satisfaction based on credible material, the Magistrate has no jurisdiction. An order passed without this satisfaction is liable to be set aside as exceeding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 Sumer Puri Mahant v. State of U.P.</w:t>
      </w:r>
    </w:p>
    <w:p>
      <w:pPr>
        <w:jc w:val="both"/>
        <w:spacing w:line="240" w:before="0" w:after="0"/>
      </w:pPr>
      <w:r>
        <w:rPr>
          <w:rFonts w:ascii="Calibri" w:hAnsi="Calibri"/>
          <w:b w:val="0"/>
          <w:i w:val="0"/>
          <w:color w:val="000000"/>
          <w:sz w:val="28"/>
        </w:rPr>
        <w:t>Citation: (1985) 1 SCC 427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Civil litigation regarding property was already pending when criminal preventive proceedings under section 145 CrPC were initiated by the same parties regarding the same property.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criminal preventive proceedings regarding property disputes should yield to civil court proceedings already pending between the same parties?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multiplicity of proceedings should be avoided. When civil court proceedings are already pending between parties, the Magistrate should generally stay preventive proceedings and confine his role to maintaining peace during the pendency of the civil matter rather than conducting a parallel inquiry into possession.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provisions relating to disputes concerning immovable property under Sections 164 to 167 of the BNSS perform a vital peace-keeping function. By empowering the Executive Magistrate to freeze the status quo, protect actual possession, and prevent violent dispossession while civil courts determine legal rights, these provisions enable orderly administration of justice in a country where land disputes are a significant source of conflict. Their preventive character — focused on peace not on title — ensures that they complement rather than compete with the civil law system.</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 – Maintenance of wives, children and parents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maintenance</w:t>
      </w:r>
    </w:p>
    <w:p>
      <w:pPr>
        <w:jc w:val="both"/>
        <w:spacing w:line="240" w:before="0" w:after="0"/>
        <w:ind w:left="767" w:right="567"/>
      </w:pPr>
      <w:r>
        <w:rPr>
          <w:rFonts w:ascii="Calibri" w:hAnsi="Calibri"/>
          <w:b w:val="0"/>
          <w:i w:val="0"/>
          <w:color w:val="000000"/>
          <w:sz w:val="28"/>
        </w:rPr>
        <w:t>–  Sections 144 to 147 BNSS, 2023 – detailed explanation</w:t>
      </w:r>
    </w:p>
    <w:p>
      <w:pPr>
        <w:jc w:val="both"/>
        <w:spacing w:line="240" w:before="0" w:after="0"/>
        <w:ind w:left="767" w:right="567"/>
      </w:pPr>
      <w:r>
        <w:rPr>
          <w:rFonts w:ascii="Calibri" w:hAnsi="Calibri"/>
          <w:b w:val="0"/>
          <w:i w:val="0"/>
          <w:color w:val="000000"/>
          <w:sz w:val="28"/>
        </w:rPr>
        <w:t>–  Essential conditions</w:t>
      </w:r>
    </w:p>
    <w:p>
      <w:pPr>
        <w:jc w:val="both"/>
        <w:spacing w:line="240" w:before="0" w:after="0"/>
        <w:ind w:left="767" w:right="567"/>
      </w:pPr>
      <w:r>
        <w:rPr>
          <w:rFonts w:ascii="Calibri" w:hAnsi="Calibri"/>
          <w:b w:val="0"/>
          <w:i w:val="0"/>
          <w:color w:val="000000"/>
          <w:sz w:val="28"/>
        </w:rPr>
        <w:t>–  Alteration of maintenance</w:t>
      </w:r>
    </w:p>
    <w:p>
      <w:pPr>
        <w:jc w:val="both"/>
        <w:spacing w:line="240" w:before="0" w:after="0"/>
        <w:ind w:left="767" w:right="567"/>
      </w:pPr>
      <w:r>
        <w:rPr>
          <w:rFonts w:ascii="Calibri" w:hAnsi="Calibri"/>
          <w:b w:val="0"/>
          <w:i w:val="0"/>
          <w:color w:val="000000"/>
          <w:sz w:val="28"/>
        </w:rPr>
        <w:t>–  Enforcement of maintenance orders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family is the basic unit of society and within it certain relationships give rise to enforceable obligations of financial support. A person who has sufficient means cannot simply abandon dependent family members who are unable to maintain themselves. The law treats maintenance as both a moral and legal duty — enforced through criminal procedure to ensure swift relief to those in need.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Chapter X of the Bharatiya Nagarik Suraksha Sanhita, 2023 — Sections 144 to 147 — provides a summary and speedy mechanism for claiming maintenance. These provisions apply uniformly to all persons regardless of religion, caste, or personal law. The proceedings before the Magistrate are summary in nature, intended to give immediate relief to neglected dependants. The Supreme Court has consistently interpreted these provisions liberally as beneficial social welfare legislation.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maintenance</w:t>
      </w:r>
    </w:p>
    <w:p>
      <w:pPr>
        <w:jc w:val="both"/>
        <w:spacing w:line="240" w:before="0" w:after="0"/>
      </w:pPr>
      <w:r>
        <w:rPr>
          <w:rFonts w:ascii="Calibri" w:hAnsi="Calibri"/>
          <w:b w:val="0"/>
          <w:i w:val="0"/>
          <w:color w:val="000000"/>
          <w:sz w:val="28"/>
        </w:rPr>
        <w:t>Maintenance means the financial support that a person with sufficient means is obligated to provide to a dependent family member unable to maintain themselves. It includes not merely bare subsistence but a reasonable standard of living consistent with the capacity of the payer and the status of the parties — covering food, clothing, shelter, medical care, education, and other necessary expenses. An interim maintenance application during the pendency of proceedings must be decided within sixty days of service of notice on the opposite party.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Sections 144 to 147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144 BNSS, 2023 – Order for maintenance of wives, children and parents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144. Order for maintenance of wives, children and parents.—(1) If any person having sufficient means neglects or refuses to maintain—</w:t>
        <w:br/>
        <w:t>(a) his wife, unable to maintain herself; or</w:t>
        <w:br/>
        <w:t>(b) his legitimate or illegitimate child, whether married or not, unable to maintain itself; or</w:t>
        <w:br/>
        <w:t>(c) his legitimate or illegitimate child (not being a married daughter) who has attained majority, where such child is, by reason of any physical or mental abnormality or injury unable to maintain itself; or</w:t>
        <w:br/>
        <w:t>(d) his father or mother, unable to maintain himself or herself,</w:t>
        <w:br/>
        <w:t>a Magistrate of the first class may, upon proof of such neglect or refusal, order such person to make a monthly allowance for the maintenance of his wife or such child, father or mother, at such monthly rate as such Magistrate thinks fit and to pay the same to such person as the Magistrate may from time to time direct:</w:t>
        <w:br/>
        <w:t>Provided that the Magistrate may order the father of a female child referred to in clause (b) to make such allowance, until she attains her majority, if the Magistrate is satisfied that the husband of such female child, if married, is not possessed of sufficient means:</w:t>
        <w:br/>
        <w:t>Provided further that the Magistrate may, during the pendency of the proceeding, order such person to make a monthly allowance for the interim maintenance of his wife or such child, father or mother, and the expenses of such proceeding which the Magistrate considers reasonable; and an application for interim maintenance shall, as far as possible, be disposed of within sixty days from the date of the service of notice.</w:t>
        <w:br/>
        <w:t>Explanation.—For the purposes of this Chapter, "wife" includes a woman who has been divorced by, or has obtained a divorce from, her husband and has not remarried.</w:t>
        <w:br/>
        <w:t>(2) Any such allowance shall be payable from the date of the order, or, if so ordered, from the date of the application.</w:t>
        <w:br/>
        <w:t>(3) If any person so ordered fails without sufficient cause to comply with the order, any such Magistrate may, for every breach of the order, issue a warrant for levying the amount due and may sentence such person to imprisonment for a term which may extend to one month or until payment if sooner made.</w:t>
        <w:br/>
        <w:t>(4) No wife shall be entitled to receive an allowance from her husband under this section if she is living in adultery, or if, without any sufficient reason, she refuses to live with her husband, or if they are living separately by mutual consent.</w:t>
        <w:br/>
        <w:t>(5) On proof that any wife in whose favour an order has been made under this section is living in adultery, or that without sufficient reason she refuses to live with her husband, or that they are living separately by mutual consent, the Magistrate shall cancel the order.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144 is the central maintenance provision. Four categories of dependants are entitled to claim: a wife unable to maintain herself; legitimate or illegitimate children unable to maintain themselves; major children with physical or mental disabilities; and parents unable to maintain themselves. The Explanation extending "wife" to divorced women who have not remarried is significant — it ensures that divorced women retain the remedy under this secular provision. The sixty-day deadline for interim maintenance applications reflects Parliament's recognition that maintenance claimants cannot always wait for the main proceedings to conclude. Sub-section (4) provides limited exceptions to a wife's entitlement — adultery, unreasonable refusal to cohabit, and mutual separation — but these must be proved; they cannot be used as pretexts to evade maintenance.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145 BNSS, 2023 – Procedure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145. Procedure.—(1) Proceedings under section 144 may be taken against any person in any district—</w:t>
        <w:br/>
        <w:t>(a) where he is; or</w:t>
        <w:br/>
        <w:t>(b) where he or his wife resides; or</w:t>
        <w:br/>
        <w:t>(c) where he last resided with his wife, or as the case may be, with the mother of the illegitimate child; or</w:t>
        <w:br/>
        <w:t>(d) where his father or mother resides.</w:t>
        <w:br/>
        <w:t>(2) All evidence in such proceedings shall be taken in the presence of the person against whom an order for payment of maintenance is proposed to be made, or, when his personal attendance is dispensed with, in the presence of his advocate, and shall be recorded in the manner prescribed for summons-cases:</w:t>
        <w:br/>
        <w:t>Provided that if the Magistrate is satisfied that the person against whom an order for payment of maintenance is proposed to be made is wilfully avoiding service, or wilfully neglecting to attend the Court, the Magistrate may proceed to hear and determine the case ex parte and any order so made may be set aside for good cause shown on an application made within three months from the date thereof.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145 provides flexible jurisdiction: proceedings may be taken in any of four possible districts — where the respondent is, where either party resides, where they last lived together, or where the parent claimant resides. This flexibility reflects the reality that maintenance claimants are often vulnerable persons who cannot travel to a distant forum. The ex parte procedure prevents a respondent from defeating a maintenance application simply by evading service or deliberately failing to appear. The three-month window to set aside an ex parte order protects genuinely absent parties while preventing indefinite re-litigation.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146 BNSS, 2023 – Alteration in allowance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146. Alteration in allowance.—(1) On proof of a change in the circumstances of any person, receiving, under section 144 a monthly allowance for the maintenance or interim maintenance, or ordered under the same section to pay a monthly allowance for the maintenance, or interim maintenance, to his wife, child, father or mother, as the case may be, the Magistrate may make such alteration, as he thinks fit, in the allowance for the maintenance or the interim maintenance, as the case may be.</w:t>
        <w:br/>
        <w:t>(2) Where it appears to the Magistrate that in consequence of any decision of a competent Civil Court, any order made under section 144 should be cancelled or varied, he shall cancel the order or, as the case may be, vary the same accordingly.</w:t>
        <w:br/>
        <w:t>(3) Where any order has been made under section 144 in favour of a woman who has been divorced by, or has obtained a divorce from, her husband, the Magistrate shall, if he is satisfied that—</w:t>
        <w:br/>
        <w:t>(a) the woman has, after the date of such divorce, remarried, cancel such order as from the date of her remarriage;</w:t>
        <w:br/>
        <w:t>(b) the woman has been divorced by her husband and that she has received, whether before or after the date of the said order, the whole of the sum which, under any customary or personal law applicable to the parties, was payable on such divorce, cancel such order.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146 recognises that circumstances change and maintenance orders must be capable of adjustment. Any material change — in the payer's income or circumstances, or in the recipient's needs or status — can be grounds for modification. Sub-section (2) requires the Magistrate to follow a competent civil court decision that affects the foundation of the maintenance order. Sub-section (3) provides specific grounds for cancellation in the case of divorced women: remarriage automatically terminates entitlement, and receipt of the full divorce settlement under personal law also extinguishes the claim.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147 BNSS, 2023 – Enforcement of order of maintenance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147. Enforcement of order of maintenance.—A copy of the order of maintenance or interim maintenance and expenses of proceedings, as the case may be, shall be given without payment to the person in whose favour it is made, or to his guardian, if any, or to the person to whom the allowance for the maintenance or the allowance for the interim maintenance and expenses of proceeding, as the case may be, is to be paid; and such order may be enforced by any Magistrate in any place where the person against whom it is made may be, on such Magistrate being satisfied as to the identity of the parties and the non-payment of the allowance, or as the case may be, expenses, due.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147 makes maintenance orders practically enforceable. The recipient receives a free copy of the order for use in enforcement. Crucially, enforcement is not confined to the court that made the order — any Magistrate anywhere in India where the defaulter is found may enforce it. This portability is vital in India where defaulting parties may relocate to evade obligations. Enforcement includes warrant for levy of amounts due and ultimately imprisonment for wilful default under section 144(3).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Essential conditions for maintenance</w:t>
      </w:r>
    </w:p>
    <w:p>
      <w:pPr>
        <w:jc w:val="both"/>
        <w:spacing w:line="240" w:before="0" w:after="0"/>
      </w:pPr>
      <w:r>
        <w:rPr>
          <w:rFonts w:ascii="Calibri" w:hAnsi="Calibri"/>
          <w:b w:val="0"/>
          <w:i w:val="0"/>
          <w:color w:val="000000"/>
          <w:sz w:val="28"/>
        </w:rPr>
        <w:t>The following must be established: a legally recognised relationship; sufficient means on the part of the respondent; neglect or refusal to provide maintenance despite having the means; inability of the claimant to maintain themselves from their own resources; and proof before the Magistrate. The claimant need not demonstrate complete poverty — inability to maintain themselves at a reasonable standard relative to the parties' circumstances and the payer's means is sufficient.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Alteration of maintenance</w:t>
      </w:r>
    </w:p>
    <w:p>
      <w:pPr>
        <w:jc w:val="both"/>
        <w:spacing w:line="240" w:before="0" w:after="0"/>
      </w:pPr>
      <w:r>
        <w:rPr>
          <w:rFonts w:ascii="Calibri" w:hAnsi="Calibri"/>
          <w:b w:val="0"/>
          <w:i w:val="0"/>
          <w:color w:val="000000"/>
          <w:sz w:val="28"/>
        </w:rPr>
        <w:t>Maintenance orders are not immutable. Grounds for increasing maintenance include substantial increase in the payer's income, inflation reducing the real value of the existing amount, or increased needs of the recipient. Grounds for reduction or cancellation include genuine reduction in the payer's means, the recipient becoming financially self-sufficient, remarriage of a divorced wife, or the child becoming independent. Either party may apply for alteration at any time.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Enforcement of maintenance orders</w:t>
      </w:r>
    </w:p>
    <w:p>
      <w:pPr>
        <w:jc w:val="both"/>
        <w:spacing w:line="240" w:before="0" w:after="0"/>
      </w:pPr>
      <w:r>
        <w:rPr>
          <w:rFonts w:ascii="Calibri" w:hAnsi="Calibri"/>
          <w:b w:val="0"/>
          <w:i w:val="0"/>
          <w:color w:val="000000"/>
          <w:sz w:val="28"/>
        </w:rPr>
        <w:t>Effective enforcement makes the difference between a paper right and a real one. Where the respondent defaults, the recipient may apply for enforcement before any Magistrate in any district where the defaulter is found. The Magistrate may issue a warrant for attachment and sale of movable property. For wilful and continuing default, imprisonment of up to one month per breach may be ordered. These mechanisms ensure that maintenance obligations cannot be evaded simply by relocating.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Order for maintenance; four categories of dependants; sufficient means + neglect required; interim maintenance within 60 days; divorced women included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jurisdiction in four possible districts; ex parte on wilful evasion; set aside within three months on good cause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Alteration on changed circumstances; cancellation on remarriage or receipt of full divorce settlement; civil court decisions followed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Enforcement; free copy to recipient; any Magistrate anywhere may enforce; warrant and imprisonment for default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Mohd. Ahmed Khan v. Shah Bano Begum</w:t>
      </w:r>
    </w:p>
    <w:p>
      <w:pPr>
        <w:jc w:val="both"/>
        <w:spacing w:line="240" w:before="0" w:after="0"/>
      </w:pPr>
      <w:r>
        <w:rPr>
          <w:rFonts w:ascii="Calibri" w:hAnsi="Calibri"/>
          <w:b w:val="0"/>
          <w:i w:val="0"/>
          <w:color w:val="000000"/>
          <w:sz w:val="28"/>
        </w:rPr>
        <w:t>Citation: AIR 1985 SC 945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Shah Bano Begum, aged 62, was divorced by her husband after 43 years of marriage. Her husband paid the mahr and contended his obligations were fully discharged. She sought maintenance under section 125 CrPC as she was unable to maintain herself. The husband argued Muslim personal law barred any further claim after iddat.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divorced Muslim woman unable to maintain herself can claim maintenance under section 125 CrPC (now section 144 BNSS) from her former husband notwithstanding Muslim personal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five-judge Constitution Bench held unanimously that section 125 CrPC applies to all citizens regardless of religion. A divorced Muslim woman unable to maintain herself is entitled to maintenance from her former husband. The obligation does not automatically cease after iddat where the wife remains unable to maintain herself. The Court held that payment of inadequate mahr does not extinguish the maintenance right. The judgment established the secular and universal character of the maintenance remedy and directly led to the enactment of the Muslim Women (Protection of Rights on Divorce) Act, 1986.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Rajnesh v. Neha</w:t>
      </w:r>
    </w:p>
    <w:p>
      <w:pPr>
        <w:jc w:val="both"/>
        <w:spacing w:line="240" w:before="0" w:after="0"/>
      </w:pPr>
      <w:r>
        <w:rPr>
          <w:rFonts w:ascii="Calibri" w:hAnsi="Calibri"/>
          <w:b w:val="0"/>
          <w:i w:val="0"/>
          <w:color w:val="000000"/>
          <w:sz w:val="28"/>
        </w:rPr>
        <w:t>Citation: (2021) 2 SCC 324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Multiple maintenance proceedings were pending in different courts between the same parties following different procedures and arriving at inconsistent maintenance amounts. The Supreme Court took up the case to establish uniform guidelines.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guidelines should govern maintenance proceedings under section 125 CrPC (now section 144 BNSS) to ensure consistency, transparency, and speedy disposal?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issued comprehensive guidelines: financial disclosure affidavits must be filed by both parties at the outset; maintenance must be calculated with reference to actual income and expenses; multiplicity of proceedings on the same issue must be avoided; interim maintenance applications must be decided within sixty days; and maintenance orders should be given effect from the date of application. The judgment significantly improved transparency and effectiveness of the maintenance system.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Chaturbhuj v. Sita Bai</w:t>
      </w:r>
    </w:p>
    <w:p>
      <w:pPr>
        <w:jc w:val="both"/>
        <w:spacing w:line="240" w:before="0" w:after="0"/>
      </w:pPr>
      <w:r>
        <w:rPr>
          <w:rFonts w:ascii="Calibri" w:hAnsi="Calibri"/>
          <w:b w:val="0"/>
          <w:i w:val="0"/>
          <w:color w:val="000000"/>
          <w:sz w:val="28"/>
        </w:rPr>
        <w:t>Citation: (2008) 2 SCC 316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wife claimed maintenance from her husband who contended she had independent income and was not completely destitute. The question was whether a wife must demonstrate complete destitution to claim maintenance.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meaning of "unable to maintain herself" and must a wife be completely destitute to be entitled to maintenance?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wife need not be completely destitute to claim maintenance. "Unable to maintain herself" means unable to maintain herself at a reasonable standard consistent with the parties' status and the husband's means. The purpose is to prevent poverty and hardship — not to wait for destitution to set in. If the wife's independent income is insufficient to maintain her at a reasonable standard, she is entitled to claim the shortfall as maintenance.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Bhuwan Mohan Singh v. Meena</w:t>
      </w:r>
    </w:p>
    <w:p>
      <w:pPr>
        <w:jc w:val="both"/>
        <w:spacing w:line="240" w:before="0" w:after="0"/>
      </w:pPr>
      <w:r>
        <w:rPr>
          <w:rFonts w:ascii="Calibri" w:hAnsi="Calibri"/>
          <w:b w:val="0"/>
          <w:i w:val="0"/>
          <w:color w:val="000000"/>
          <w:sz w:val="28"/>
        </w:rPr>
        <w:t>Citation: (2015) 6 SCC 353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Maintenance proceedings were significantly delayed by the husband through adjournments. The wife argued that delay in maintenance proceedings — particularly given their link to survival and dignity — was itself a rights violation.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obligation do courts have to decide maintenance applications speedily, and what are the consequences of prolonged delay in maintenance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maintenance is directly connected to the dignity, survival, and well-being of the dependent spouse or family member. Courts have an obligation to decide maintenance applications — especially interim maintenance — with expedition. Adjournments should not be allowed to defeat the protective purpose of the provision. The sixty-day timeline for interim maintenance must be adhered to as far as possible.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Abhilasha v. Parkash</w:t>
      </w:r>
    </w:p>
    <w:p>
      <w:pPr>
        <w:jc w:val="both"/>
        <w:spacing w:line="240" w:before="0" w:after="0"/>
      </w:pPr>
      <w:r>
        <w:rPr>
          <w:rFonts w:ascii="Calibri" w:hAnsi="Calibri"/>
          <w:b w:val="0"/>
          <w:i w:val="0"/>
          <w:color w:val="000000"/>
          <w:sz w:val="28"/>
        </w:rPr>
        <w:t>Citation: (2020) 2 SCC 498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unmarried major daughter sought maintenance from her father. The father argued that only physically or mentally disabled major children could claim maintenance under section 125 CrPC and that a healthy adult daughter had no claim.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an unmarried major daughter who is physically and mentally able can claim maintenance from her father under section 125 CrPC (now section 144 BNSS)?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under section 125 CrPC, an unmarried major daughter who does not suffer from physical or mental abnormality cannot claim maintenance from her father. The provision for major children is specifically limited to those unable to maintain themselves due to disability. However, such a daughter may have remedies under personal laws or other specific legislation applicable to her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maintenance provisions under Sections 144 to 147 of the BNSS represent the criminal law's expression of family welfare obligations. By providing a speedy, accessible, and practically enforceable remedy before a Magistrate — applicable uniformly to all persons regardless of religion — these provisions ensure that vulnerable family members are not left in destitution merely because the person obligated to support them chooses to neglect that duty. The flexibility of sections 146 and 147 — allowing alteration as circumstances change and enforcement anywhere in India — ensures the remedy remains effective and just over time.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 – Maintenance of wives under the Muslim Women (Protection of Rights on Divorce) Act, 1986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Historical development</w:t>
      </w:r>
    </w:p>
    <w:p>
      <w:pPr>
        <w:jc w:val="both"/>
        <w:spacing w:line="240" w:before="0" w:after="0"/>
        <w:ind w:left="767" w:right="567"/>
      </w:pPr>
      <w:r>
        <w:rPr>
          <w:rFonts w:ascii="Calibri" w:hAnsi="Calibri"/>
          <w:b w:val="0"/>
          <w:i w:val="0"/>
          <w:color w:val="000000"/>
          <w:sz w:val="28"/>
        </w:rPr>
        <w:t>–  Conditions for claiming maintenance</w:t>
      </w:r>
    </w:p>
    <w:p>
      <w:pPr>
        <w:jc w:val="both"/>
        <w:spacing w:line="240" w:before="0" w:after="0"/>
        <w:ind w:left="767" w:right="567"/>
      </w:pPr>
      <w:r>
        <w:rPr>
          <w:rFonts w:ascii="Calibri" w:hAnsi="Calibri"/>
          <w:b w:val="0"/>
          <w:i w:val="0"/>
          <w:color w:val="000000"/>
          <w:sz w:val="28"/>
        </w:rPr>
        <w:t>–  Quantum of maintenance</w:t>
      </w:r>
    </w:p>
    <w:p>
      <w:pPr>
        <w:jc w:val="both"/>
        <w:spacing w:line="240" w:before="0" w:after="0"/>
        <w:ind w:left="767" w:right="567"/>
      </w:pPr>
      <w:r>
        <w:rPr>
          <w:rFonts w:ascii="Calibri" w:hAnsi="Calibri"/>
          <w:b w:val="0"/>
          <w:i w:val="0"/>
          <w:color w:val="000000"/>
          <w:sz w:val="28"/>
        </w:rPr>
        <w:t>–  Beneficiaries under the Act</w:t>
      </w:r>
    </w:p>
    <w:p>
      <w:pPr>
        <w:jc w:val="both"/>
        <w:spacing w:line="240" w:before="0" w:after="0"/>
        <w:ind w:left="767" w:right="567"/>
      </w:pPr>
      <w:r>
        <w:rPr>
          <w:rFonts w:ascii="Calibri" w:hAnsi="Calibri"/>
          <w:b w:val="0"/>
          <w:i w:val="0"/>
          <w:color w:val="000000"/>
          <w:sz w:val="28"/>
        </w:rPr>
        <w:t>–  Provisions under the Act – all relevant sections explained</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Muslim Women (Protection of Rights on Divorce) Act, 1986 occupies a unique place in Indian family law. Enacted in direct response to the Supreme Court's landmark decision in Mohd. Ahmed Khan v. Shah Bano Begum (AIR 1985 SC 945), the Act created a distinct statutory framework governing the economic rights of Muslim women who have been divorced by or have obtained a divorce from their husbands. Through progressive judicial interpretation spanning four decades, it has been transformed into a robust instrument of gender justice.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Act's objectives are: to protect divorced Muslim women from economic destitution; to ensure reasonable and fair financial provision by the former husband during and beyond the iddat period; to secure payment of mahr and return of the wife's properties; to provide alternative support through relatives and the State Wakf Board; and to balance Muslim personal law principles with constitutional guarantees of equality and dignity under Articles 14, 15, and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Historical development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Position before 1985</w:t>
      </w:r>
    </w:p>
    <w:p>
      <w:pPr>
        <w:jc w:val="both"/>
        <w:spacing w:line="240" w:before="0" w:after="0"/>
      </w:pPr>
      <w:r>
        <w:rPr>
          <w:rFonts w:ascii="Calibri" w:hAnsi="Calibri"/>
          <w:b w:val="0"/>
          <w:i w:val="0"/>
          <w:color w:val="000000"/>
          <w:sz w:val="28"/>
        </w:rPr>
        <w:t>Under traditional understandings of Muslim personal law, a husband's maintenance obligation was generally considered to extend only through the iddat period. After iddat, the divorced woman was expected to rely on her own resources or relatives. Section 125 CrPC provided a secular remedy, but its application to divorced Muslim women was contested, with personal law texts cited to argue the husband's obligation ceased with iddat.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Shah Bano case (1985)</w:t>
      </w:r>
    </w:p>
    <w:p>
      <w:pPr>
        <w:jc w:val="both"/>
        <w:spacing w:line="240" w:before="0" w:after="0"/>
      </w:pPr>
      <w:r>
        <w:rPr>
          <w:rFonts w:ascii="Calibri" w:hAnsi="Calibri"/>
          <w:b w:val="0"/>
          <w:i w:val="0"/>
          <w:color w:val="000000"/>
          <w:sz w:val="28"/>
        </w:rPr>
        <w:t>The decisive turning point was Mohd. Ahmed Khan v. Shah Bano Begum (AIR 1985 SC 945). A five-judge Constitution Bench held that section 125 CrPC applies to all citizens regardless of religion and that a divorced Muslim woman unable to maintain herself is entitled to claim maintenance beyond iddat. The judgment drew on constitutional values of social justice and gender equality and generated significant political and social debate.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Enactment of the 1986 Act</w:t>
      </w:r>
    </w:p>
    <w:p>
      <w:pPr>
        <w:jc w:val="both"/>
        <w:spacing w:line="240" w:before="0" w:after="0"/>
      </w:pPr>
      <w:r>
        <w:rPr>
          <w:rFonts w:ascii="Calibri" w:hAnsi="Calibri"/>
          <w:b w:val="0"/>
          <w:i w:val="0"/>
          <w:color w:val="000000"/>
          <w:sz w:val="28"/>
        </w:rPr>
        <w:t>Parliament enacted the Muslim Women (Protection of Rights on Divorce) Act, 1986 in response to this debate. Initially understood as restricting the husband's obligation to the iddat period, the Act's true scope remained contested on constitutional grounds.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Danial Latifi (2001) – transformative interpretation</w:t>
      </w:r>
    </w:p>
    <w:p>
      <w:pPr>
        <w:jc w:val="both"/>
        <w:spacing w:line="240" w:before="0" w:after="0"/>
      </w:pPr>
      <w:r>
        <w:rPr>
          <w:rFonts w:ascii="Calibri" w:hAnsi="Calibri"/>
          <w:b w:val="0"/>
          <w:i w:val="0"/>
          <w:color w:val="000000"/>
          <w:sz w:val="28"/>
        </w:rPr>
        <w:t>The landmark judgment in Danial Latifi v. Union of India (2001) 7 SCC 740 by a five-judge Constitution Bench upheld the Act as constitutionally valid but interpreted section 3(1)(a) expansively: the husband must make provision sufficient to cover the divorced woman's entire future needs — not merely the iddat period. Payment must be initiated within iddat, but the quantum must address the future. This interpretation reconciled the Act with the Constitution and restored substantive protection. The 2024 Supreme Court decision in Mohd. Abdul Samad v. State of Telangana further confirmed that divorced Muslim women may also access section 144 BNSS as an alternative remedy.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Conditions for claiming maintenance</w:t>
      </w:r>
    </w:p>
    <w:p>
      <w:pPr>
        <w:jc w:val="both"/>
        <w:spacing w:line="240" w:before="0" w:after="0"/>
      </w:pPr>
      <w:r>
        <w:rPr>
          <w:rFonts w:ascii="Calibri" w:hAnsi="Calibri"/>
          <w:b w:val="0"/>
          <w:i w:val="0"/>
          <w:color w:val="000000"/>
          <w:sz w:val="28"/>
        </w:rPr>
        <w:t>For a woman to seek relief under the Act: the applicant must be a Muslim woman who was married according to Muslim law; a valid nikah must have existed; divorce must have taken place; the husband must have failed to make reasonable and fair provision, or to pay mahr, or to deliver the wife's properties; and an application must be filed before a First Class Magistrate in the area where the divorced woman resides.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Quantum of maintenance</w:t>
      </w:r>
    </w:p>
    <w:p>
      <w:pPr>
        <w:jc w:val="both"/>
        <w:spacing w:line="240" w:before="0" w:after="0"/>
      </w:pPr>
      <w:r>
        <w:rPr>
          <w:rFonts w:ascii="Calibri" w:hAnsi="Calibri"/>
          <w:b w:val="0"/>
          <w:i w:val="0"/>
          <w:color w:val="000000"/>
          <w:sz w:val="28"/>
        </w:rPr>
        <w:t>No fixed amount is prescribed. The Magistrate exercises discretion guided by the divorced woman's needs, the standard of living during the marriage, the former husband's financial capacity, and — after Danial Latifi — the woman's entire future requirements. The quantum must be sufficient to meet her long-term needs, not merely her iddat expenses.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Beneficiaries under the Act</w:t>
      </w:r>
    </w:p>
    <w:p>
      <w:pPr>
        <w:jc w:val="both"/>
        <w:spacing w:line="240" w:before="0" w:after="0"/>
      </w:pPr>
      <w:r>
        <w:rPr>
          <w:rFonts w:ascii="Calibri" w:hAnsi="Calibri"/>
          <w:b w:val="0"/>
          <w:i w:val="0"/>
          <w:color w:val="000000"/>
          <w:sz w:val="28"/>
        </w:rPr>
        <w:t>The divorced woman is the primary beneficiary. Children born before or after divorce are indirect beneficiaries under section 3(1)(b): if the mother maintains them, the husband must provide for their support for two years from their respective dates of birth. Under section 4, a divorced woman unable to maintain herself after iddat who has not remarried has claims against relatives in proportion to their inheritance shares, and ultimately against the State Wakf Board. This cascade ensures no divorced Muslim woman is left entirely without support.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Provisions under the Muslim Women (Protection of Rights on Divorce) Act, 1986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 – Short title and extent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 Short title and extent.—(1) This Act may be called the Muslim Women (Protection of Rights on Divorce) Act, 1986.</w:t>
        <w:br/>
        <w:t>(2) It extends to the whole of India.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 gives the Act its official title and establishes its territorial scope. Following the Jammu and Kashmir Reorganisation Act, 2019, the earlier exclusion of Jammu and Kashmir was removed and the Act now applies throughout India. The title — "Protection of Rights on Divorce" — signals the Act's purpose: not to restrict rights but to specify and protect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 – Definitions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 Definitions.—In this Act, unless the context otherwise requires,—</w:t>
        <w:br/>
        <w:t>(a) "divorced woman" means a Muslim woman who was married according to Muslim law, and has been divorced by, or has obtained divorce from, her husband in accordance with Muslim law;</w:t>
        <w:br/>
        <w:t>(b) "iddat period" means, in the case of a divorced woman,—</w:t>
        <w:br/>
        <w:t>(i) three menstrual courses after the date of divorce, if she is subject to menstruation;</w:t>
        <w:br/>
        <w:t>(ii) three lunar months after her divorce, if she is not subject to menstruation; and</w:t>
        <w:br/>
        <w:t>(iii) if she is enceinte at the time of her divorce, the period between the divorce and the delivery of her child or the termination of her pregnancy, whichever is earlier;</w:t>
        <w:br/>
        <w:t>(c) "Magistrate" means a Magistrate of the First Class exercising jurisdiction under the Code of Criminal Procedure, 1973 in the area where the divorced woman resides;</w:t>
        <w:br/>
        <w:t>(d) "prescribed" means prescribed by rules made under this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 provides the definitional foundation. The definition of "divorced woman" is confined to women married and divorced under Muslim law. The "iddat period" has three formulations drawn from classical Islamic jurisprudence: three menstrual cycles for a menstruating woman, three lunar months for one not subject to menstruation, and the period until delivery or pregnancy termination for a pregnant woman. The Magistrate is specifically a First Class Magistrate in the area where the divorced woman resides, ensuring that the forum is proximate to the claimant.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 – Mahr or other properties of Muslim woman to be given to her at the time of divorce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 Mahr or other properties of Muslim woman to be given to her at the time of divorce.—(1) Notwithstanding anything contained in any other law for the time being in force, a divorced woman shall be entitled to—</w:t>
        <w:br/>
        <w:t>(a) a reasonable and fair provision and maintenance to be made and paid to her within the iddat period by her former husband;</w:t>
        <w:br/>
        <w:t>(b) where she herself maintains the children born to her before or after her divorce, a reasonable and fair provision and maintenance to be made and paid by her former husband for a period of two years from the respective dates of birth of such children;</w:t>
        <w:br/>
        <w:t>(c) an amount equal to the sum of mahr or dower agreed to be paid to her at the time of her marriage or at any time thereafter according to Muslim law; and</w:t>
        <w:br/>
        <w:t>(d) all the properties given to her before or at the time of marriage or after her marriage by her relatives or friends or the husband or any relatives of the husband or his friends.</w:t>
        <w:br/>
        <w:t>(2) Where a reasonable and fair provision and maintenance or the amount of mahr or dower due has not been made or paid or the properties referred to in clause (d) of sub-section (1) have not been delivered to a divorced woman on her divorce, she or any one duly authorised by her may make an application to a Magistrate for an order for payment of such provision and maintenance, mahr or dower or the delivery of properties, as the case may be.</w:t>
        <w:br/>
        <w:t>(3) Where an application has been made under sub-section (2) by a divorced woman, the Magistrate may, if he is satisfied that her husband having sufficient means, has failed or neglected to make or pay her within the iddat period a reasonable and fair provision and maintenance, or that the amount equal to the sum of mahr or dower has not been paid or that the properties referred to in clause (d) of sub-section (1) have not been delivered to her, make an order, within one month of the date of the filing of the application, directing her former husband to pay such reasonable and fair provision and maintenance to the divorced woman as he may determine as fit and proper having regard to the needs of the divorced woman, the standard of life enjoyed by her during her marriage and the means of her former husband, or, as the case may be, for the payment of such mahr or dower or the delivery of such properties to the divorced woman.</w:t>
        <w:br/>
        <w:t>(4) If any person against whom an order has been made under sub-section (3) fails without sufficient cause to comply with the order, the Magistrate may issue a warrant for levying the amount of maintenance or mahr or dower due and may sentence such person to imprisonment for a term which may extend to one year or until payment if sooner made.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 is the operative core of the Act. The non-obstante clause establishes primacy over inconsistent provisions. Four distinct entitlements are created: reasonable and fair provision (interpreted by Danial Latifi to cover the entire future of the divorced woman — not merely iddat); two years' child maintenance where the mother maintains the children; payment of full mahr or dower; and recovery of all properties given to the woman from any source. The one-month deadline for the Magistrate to pass an order ensures genuine speed of relief. Sub-section (4) provides for warrant and imprisonment of up to one year for wilful non-compliance, giving the order real enforcement force.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 – Order for payment of maintenance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 Order for payment of maintenance.—(1) Notwithstanding anything contained in the foregoing provisions of this Act or in any other law for the time being in force, where a Magistrate is satisfied that a divorced woman has not re-married and is not able to maintain herself after the iddat period, he may make an order directing such of her relatives as would be entitled to inherit her property on her death according to Muslim law to pay such reasonable and fair maintenance to her as he may determine fit and proper, having regard to the needs of the divorced woman, the standard of life enjoyed by her during her marriage and the means of such relatives and such maintenance shall be payable by such relatives in the proportions in which they would inherit her property and at such periods as he may specify in his order:</w:t>
        <w:br/>
        <w:t>Provided that where such divorced woman has children, the Magistrate shall order only such children to pay maintenance to her, and in the event of any such children being unable to pay such maintenance, the Magistrate shall order the parents of such divorced woman to pay maintenance to her:</w:t>
        <w:br/>
        <w:t>Provided further that if any of the parents is unable to pay his or her share of the maintenance ordered by the Magistrate on the ground of his or her not having the means to pay the same, the Magistrate may order that the share of such relatives in the maintenance ordered by him be paid by such of the other relatives as may appear to the Magistrate to have the means of paying the same.</w:t>
        <w:br/>
        <w:t>(2) Where a divorced woman is unable to maintain herself and she has no relatives as mentioned in sub-section (1) or such relatives or any one of them have not enough means to pay the maintenance ordered by the Magistrate, the Magistrate may, by order, direct the State Wakf Board established under section 9 of the Wakf Act, 1954, or under any other law for the time being in force in a State, functioning in the area in which the woman resides, to pay such maintenance as determined by him under sub-section (1) or, as the case may be, to pay the shares of such of the relatives who are unable to pay.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 creates a cascading support mechanism for a divorced woman unable to maintain herself after the iddat period who has not remarried. Responsibility shifts from the former husband to her relatives in proportion to their inheritance shares under Muslim law. The first proviso establishes priority: children first, then parents. Sub-section (2) provides the ultimate safety net — the State Wakf Board — for cases where relatives are absent or financially unable to pay. This provision ensures that no divorced Muslim woman is left entirely without state-backed support, fulfilling the Act's welfare character.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 – Option to be governed by provisions of sections 125 to 128 CrPC</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 Option to be governed by the provisions of sections 125 to 128 of Act 2 of 1974.—If on the date of the first hearing of the application under sub-section (2) of section 3, a divorced woman and her former husband declare, by affidavit or any other declaration in writing in such form as may be prescribed, either jointly or separately, that they would prefer to be governed by the provisions of sections 125 to 128 of the Code of Criminal Procedure, 1973 (2 of 1974), and file such affidavit or declaration in the court hearing the application, the Magistrate shall dispose of such application accordingly.</w:t>
        <w:br/>
        <w:t>Explanation.—For the purposes of this section, "date of the first hearing of the application" means the date fixed in the summons for the attendance of the respondent to the application.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 builds a consensual opt-out into the Act. Despite having its own maintenance mechanism, the legislature preserved the right of the parties to elect the secular CrPC regime — now corresponding to sections 144 to 147 BNSS. The declaration must be made at the threshold of the first hearing. It may be joint or separate. Once filed, the Magistrate must decide the application under the CrPC framework. The Supreme Court in Mohd. Abdul Samad v. State of Telangana (2024) confirmed that section 5 indicates the coexistence of both regimes — the 1986 Act does not exclusively foreclose the secular remedy.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6 and 7 – Rule-making power and transitional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 Power to make rules.—(1) The Central Government may, by notification in the Official Gazette, make rules for carrying out the purposes of this Act.</w:t>
        <w:br/>
        <w:t>(2) In particular, such rules may provide for—</w:t>
        <w:br/>
        <w:t>(a) the form of the affidavit or other declaration in writing to be filed under section 5;</w:t>
        <w:br/>
        <w:t>(b) the procedure to be followed by the Magistrate in disposing of applications under this Act.</w:t>
        <w:br/>
        <w:t>(3) Every rule made under this Act shall be laid, as soon as may be after it is made, before each House of Parliament, while it is in session, for a total period of thirty days.</w:t>
        <w:br/>
        <w:t>7. Transitional provisions.—Every application by a divorced woman under section 125 or under section 127 of the Code of Criminal Procedure, 1973 pending before a Magistrate on the commencement of this Act, shall, notwithstanding anything contained in that Code and subject to the provisions of section 5 of this Act, be disposed of by such Magistrate in accordance with the provisions of this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 delegates rule-making power to the Central Government including prescribed forms for declarations under section 5 and procedural rules for Magistrates. Rules must be laid before Parliament for thirty days, maintaining legislative oversight. Section 7 is a transitional provision: applications under the CrPC pending when the Act commenced are to be decided under the new Act. The reference to section 5 means parties in pending proceedings retain the right to opt for the CrPC regime. This provision ensured orderly transition without requiring re-filing of pending applications.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Short title and extent – applies to whole of India</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Definitions – "divorced woman", three formulations of "iddat period", "Magistrate", "prescribed"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Core entitlements – reasonable and fair provision covering future needs (per Danial Latifi), two-year child maintenance, mahr, return of properties; one-month order deadline; warrant and one year imprisonment for default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Post-iddat maintenance cascade – relatives in inheritance proportions; children first, then parents; Wakf Board as ultimate safety net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Option to elect secular CrPC/BNSS regime at first hearing; joint or separate declaration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Central Government rule-making; rules laid before Parliament for thirty days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Transitional provision – pending CrPC applications decided under the 1986 Act subject to section 5</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Mohd. Ahmed Khan v. Shah Bano Begum</w:t>
      </w:r>
    </w:p>
    <w:p>
      <w:pPr>
        <w:jc w:val="both"/>
        <w:spacing w:line="240" w:before="0" w:after="0"/>
      </w:pPr>
      <w:r>
        <w:rPr>
          <w:rFonts w:ascii="Calibri" w:hAnsi="Calibri"/>
          <w:b w:val="0"/>
          <w:i w:val="0"/>
          <w:color w:val="000000"/>
          <w:sz w:val="28"/>
        </w:rPr>
        <w:t>Citation: AIR 1985 SC 945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Shah Bano Begum, aged 62, was divorced after 43 years of marriage. Her husband paid the mahr and claimed all legal obligations were discharged. She sought maintenance under section 125 CrPC as she was unable to maintain herself. Her husband argued Muslim personal law barred any claim beyond iddat.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divorced Muslim woman unable to maintain herself is entitled to maintenance under section 125 CrPC from her former husband, and whether Muslim personal law bars such a claim after iddat?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five-judge Constitution Bench held unanimously that section 125 CrPC applies to all citizens regardless of religion. A divorced Muslim woman unable to maintain herself is entitled to maintenance from her former husband beyond the iddat period. Payment of inadequate mahr does not extinguish this right. The Court held that preventing destitution is a constitutional and social objective that cannot be subordinated to personal law. This judgment established the secular and universal character of the maintenance remedy and directly led to the enactment of the 1986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Danial Latifi v. Union of India</w:t>
      </w:r>
    </w:p>
    <w:p>
      <w:pPr>
        <w:jc w:val="both"/>
        <w:spacing w:line="240" w:before="0" w:after="0"/>
      </w:pPr>
      <w:r>
        <w:rPr>
          <w:rFonts w:ascii="Calibri" w:hAnsi="Calibri"/>
          <w:b w:val="0"/>
          <w:i w:val="0"/>
          <w:color w:val="000000"/>
          <w:sz w:val="28"/>
        </w:rPr>
        <w:t>Citation: (2001) 7 SCC 740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Danial Latifi challenged the constitutional validity of the Muslim Women (Protection of Rights on Divorce) Act, 1986, arguing it violated Articles 14, 15, and 21 by restricting the maintenance obligation to the iddat period and overriding the Shah Bano protection.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1986 Act is constitutionally valid, and what is the true scope of the husband's obligation under section 3(1)(a) — does it cover only the iddat period or the entire future of the divorced woman?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five-judge Constitution Bench upheld the Act as constitutionally valid. The Court interpreted section 3(1)(a) to require the husband to make provision sufficient for the divorced woman's entire future needs — not merely the iddat period. While provision must be made and payment initiated within iddat, the quantum must reflect long-term needs. A contrary interpretation limiting the obligation to iddat would have rendered the Act unconstitutional under Articles 14 and 21. This is the authoritative interpretation of the Act and restored its substantive protective reach.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Iqbal Bano v. State of Uttar Pradesh</w:t>
      </w:r>
    </w:p>
    <w:p>
      <w:pPr>
        <w:jc w:val="both"/>
        <w:spacing w:line="240" w:before="0" w:after="0"/>
      </w:pPr>
      <w:r>
        <w:rPr>
          <w:rFonts w:ascii="Calibri" w:hAnsi="Calibri"/>
          <w:b w:val="0"/>
          <w:i w:val="0"/>
          <w:color w:val="000000"/>
          <w:sz w:val="28"/>
        </w:rPr>
        <w:t>Citation: (2007) 6 SCC 785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divorced Muslim woman had obtained a maintenance order under the CrPC. Her husband argued the 1986 Act as special law precluded CrPC proceedings and that payment of mahr had discharged his entire obligation.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divorced Muslim woman can claim maintenance under the CrPC alongside the 1986 Act, and whether payment of mahr extinguishes the husband's maintenance obligation?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reaffirmed Danial Latifi and held that payment of mahr does not extinguish the husband's obligation where the amount paid is insufficient to meet the divorced woman's future needs. The Act must be interpreted beneficially in light of its protective purpose. Mahr gives the husband a credit against his obligation only where it is genuinely adequate for the woman's future needs — not otherwise.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Shabana Bano v. Imran Khan</w:t>
      </w:r>
    </w:p>
    <w:p>
      <w:pPr>
        <w:jc w:val="both"/>
        <w:spacing w:line="240" w:before="0" w:after="0"/>
      </w:pPr>
      <w:r>
        <w:rPr>
          <w:rFonts w:ascii="Calibri" w:hAnsi="Calibri"/>
          <w:b w:val="0"/>
          <w:i w:val="0"/>
          <w:color w:val="000000"/>
          <w:sz w:val="28"/>
        </w:rPr>
        <w:t>Citation: (2010) 1 SCC 666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Shabana Bano sought maintenance after the iddat period on the basis that she was unable to maintain herself. Lower courts rejected her application, holding the 1986 Act restricted entitlement to the iddat period.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divorced Muslim woman can claim maintenance beyond the iddat period if unable to maintain herself, and whether the Family Court has jurisdiction over such applications?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divorced Muslim woman is entitled to maintenance beyond the iddat period if she is unable to maintain herself and has not remarried, applying the Danial Latifi interpretation. Family Courts have jurisdiction to entertain applications under the 1986 Act as such matters fall within the domain of family disputes. The judgment reinforced the comprehensive post-divorce protection available under the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Shayara Bano v. Union of India</w:t>
      </w:r>
    </w:p>
    <w:p>
      <w:pPr>
        <w:jc w:val="both"/>
        <w:spacing w:line="240" w:before="0" w:after="0"/>
      </w:pPr>
      <w:r>
        <w:rPr>
          <w:rFonts w:ascii="Calibri" w:hAnsi="Calibri"/>
          <w:b w:val="0"/>
          <w:i w:val="0"/>
          <w:color w:val="000000"/>
          <w:sz w:val="28"/>
        </w:rPr>
        <w:t>Citation: (2017) 9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Shayara Bano was given instant triple talaq (talaq-e-biddat) by her husband in 2016 after 15 years of marriage. She petitioned the Supreme Court challenging the constitutional validity of instant triple talaq as a form of divorce under Muslim personal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practice of instant triple talaq — pronouncing talaq three times in one sitting — is constitutionally valid and whether it violates Articles 14, 15, 21, and 25?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By a majority of 3:2, the Supreme Court declared instant triple talaq unconstitutional. The majority held that talaq-e-biddat is manifestly arbitrary under Article 14 because it enables a husband to irrevocably dissolve a marriage instantaneously without any opportunity for reconciliation or hearing, violating the dignity and rights of the wife. Parliament subsequently enacted the Muslim Women (Protection of Rights on Marriage) Act, 2019, criminalising the practice.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Mohd. Abdul Samad v. State of Telangana</w:t>
      </w:r>
    </w:p>
    <w:p>
      <w:pPr>
        <w:jc w:val="both"/>
        <w:spacing w:line="240" w:before="0" w:after="0"/>
      </w:pPr>
      <w:r>
        <w:rPr>
          <w:rFonts w:ascii="Calibri" w:hAnsi="Calibri"/>
          <w:b w:val="0"/>
          <w:i w:val="0"/>
          <w:color w:val="000000"/>
          <w:sz w:val="28"/>
        </w:rPr>
        <w:t>Citation: 2024 SCC OnLine SC 1686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Muslim husband challenged maintenance proceedings brought by his divorced wife under section 125 CrPC, arguing that the 1986 Act exclusively governs maintenance for divorced Muslim women and the CrPC remedy is barred.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divorced Muslim woman can claim maintenance under section 125 CrPC (now section 144 BNSS) in addition to or as an alternative to the remedies available under the 1986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divorced Muslim women are entitled to seek maintenance under section 125 CrPC in addition to their remedies under the 1986 Act. The 1986 Act does not exclusively foreclose recourse to the secular maintenance provisions. Section 5 of the Act itself contemplates parties opting into the CrPC framework, confirming that both regimes coexist. Access to secular maintenance remedies cannot be extinguished by a special statute that does not expressly bar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Muslim Women (Protection of Rights on Divorce) Act, 1986 has evolved over four decades from a legislation initially viewed as restrictive into a comprehensive protective framework for divorced Muslim women. The Act secures four categories of rights: maintenance and fair provision for the entire future, two-year child maintenance where the mother cares for children, payment of mahr, and recovery of personal properties. Where the former husband fails, the cascading mechanism of relatives and the State Wakf Board ensures no divorced woman is left without support. The Danial Latifi interpretation transformed the Act from a statute of limitation into an instrument of welfare. The Mohd. Abdul Samad decision in 2024 further confirmed that divorced Muslim women may access both the 1986 Act and the secular BNSS maintenance remedy, widening available protections. The Act stands today as a significant example of how legislation can honour both the diversity of personal laws and the constitutional commitment to equality, dignity, and social justice.</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