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ind w:left="0" w:right="0"/>
        <w:jc w:val="both"/>
      </w:pPr>
      <w:r>
        <w:rPr>
          <w:rFonts w:ascii="Calibri" w:cs="Calibri" w:eastAsia="Calibri" w:hAnsi="Calibri"/>
          <w:b/>
          <w:bCs/>
          <w:color w:val="000000"/>
          <w:sz w:val="28"/>
          <w:szCs w:val="28"/>
        </w:rPr>
        <w:t xml:space="preserve">Module VII – Digital Personal Data Protection Act, 2023</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Chapter I</w:t>
      </w:r>
    </w:p>
    <w:p>
      <w:pPr>
        <w:spacing w:after="0" w:before="0" w:line="240"/>
        <w:ind w:left="0" w:right="0"/>
        <w:jc w:val="both"/>
      </w:pPr>
      <w:r>
        <w:rPr>
          <w:rFonts w:ascii="Calibri" w:cs="Calibri" w:eastAsia="Calibri" w:hAnsi="Calibri"/>
          <w:b/>
          <w:bCs/>
          <w:color w:val="000000"/>
          <w:sz w:val="28"/>
          <w:szCs w:val="28"/>
        </w:rPr>
        <w:t xml:space="preserve">Introduction, object, scope and definitions under the Digital Personal Data Protection Act, 2023</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Synopsis</w:t>
      </w:r>
    </w:p>
    <w:p>
      <w:pPr>
        <w:spacing w:after="0" w:before="0" w:line="240"/>
        <w:ind w:left="0" w:right="0"/>
        <w:jc w:val="both"/>
      </w:pPr>
      <w:r>
        <w:rPr>
          <w:rFonts w:ascii="Calibri" w:cs="Calibri" w:eastAsia="Calibri" w:hAnsi="Calibri"/>
          <w:b w:val="false"/>
          <w:bCs w:val="false"/>
          <w:color w:val="000000"/>
          <w:sz w:val="28"/>
          <w:szCs w:val="28"/>
        </w:rPr>
        <w:t xml:space="preserve">Introduction</w:t>
      </w:r>
    </w:p>
    <w:p>
      <w:pPr>
        <w:spacing w:after="0" w:before="0" w:line="240"/>
        <w:ind w:left="0" w:right="0"/>
        <w:jc w:val="both"/>
      </w:pPr>
      <w:r>
        <w:rPr>
          <w:rFonts w:ascii="Calibri" w:cs="Calibri" w:eastAsia="Calibri" w:hAnsi="Calibri"/>
          <w:b w:val="false"/>
          <w:bCs w:val="false"/>
          <w:color w:val="000000"/>
          <w:sz w:val="28"/>
          <w:szCs w:val="28"/>
        </w:rPr>
        <w:t xml:space="preserve">Object of the Act</w:t>
      </w:r>
    </w:p>
    <w:p>
      <w:pPr>
        <w:spacing w:after="0" w:before="0" w:line="240"/>
        <w:ind w:left="0" w:right="0"/>
        <w:jc w:val="both"/>
      </w:pPr>
      <w:r>
        <w:rPr>
          <w:rFonts w:ascii="Calibri" w:cs="Calibri" w:eastAsia="Calibri" w:hAnsi="Calibri"/>
          <w:b w:val="false"/>
          <w:bCs w:val="false"/>
          <w:color w:val="000000"/>
          <w:sz w:val="28"/>
          <w:szCs w:val="28"/>
        </w:rPr>
        <w:t xml:space="preserve">Scope of the Act</w:t>
      </w:r>
    </w:p>
    <w:p>
      <w:pPr>
        <w:spacing w:after="0" w:before="0" w:line="240"/>
        <w:ind w:left="0" w:right="0"/>
        <w:jc w:val="both"/>
      </w:pPr>
      <w:r>
        <w:rPr>
          <w:rFonts w:ascii="Calibri" w:cs="Calibri" w:eastAsia="Calibri" w:hAnsi="Calibri"/>
          <w:b w:val="false"/>
          <w:bCs w:val="false"/>
          <w:color w:val="000000"/>
          <w:sz w:val="28"/>
          <w:szCs w:val="28"/>
        </w:rPr>
        <w:t xml:space="preserve">Definitions under the Act (detailed explanation)</w:t>
      </w:r>
    </w:p>
    <w:p>
      <w:pPr>
        <w:spacing w:after="0" w:before="0" w:line="240"/>
        <w:ind w:left="0" w:right="0"/>
        <w:jc w:val="both"/>
      </w:pPr>
      <w:r>
        <w:rPr>
          <w:rFonts w:ascii="Calibri" w:cs="Calibri" w:eastAsia="Calibri" w:hAnsi="Calibri"/>
          <w:b w:val="false"/>
          <w:bCs w:val="false"/>
          <w:color w:val="000000"/>
          <w:sz w:val="28"/>
          <w:szCs w:val="28"/>
        </w:rPr>
        <w:t xml:space="preserve">Quick summary in tabular format</w:t>
      </w:r>
    </w:p>
    <w:p>
      <w:pPr>
        <w:spacing w:after="0" w:before="0" w:line="240"/>
        <w:ind w:left="0" w:right="0"/>
        <w:jc w:val="both"/>
      </w:pPr>
      <w:r>
        <w:rPr>
          <w:rFonts w:ascii="Calibri" w:cs="Calibri" w:eastAsia="Calibri" w:hAnsi="Calibri"/>
          <w:b w:val="false"/>
          <w:bCs w:val="false"/>
          <w:color w:val="000000"/>
          <w:sz w:val="28"/>
          <w:szCs w:val="28"/>
        </w:rPr>
        <w:t xml:space="preserve">Conclusion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1. Introduction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advancement of information technology and the growth of the digital economy have transformed the manner in which personal information is collected, stored and processed. Individuals continuously share personal data while using social media platforms, banking applications, e-commerce websites, government portals and mobile applications. Personal data has become one of the most valuable resources of the digital age. Organisations collect and process large amounts of information relating to individuals including names, contact details, financial information, online activities and digital identity information. While digital technology provides convenience and economic development, it also creates serious concerns regarding privacy violations, data misuse, identity theft, unauthorised surveillance and data breaches.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Evolution of right to privacy in India</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foundation of data protection law in India is connected with the constitutional recognition of privacy. The Supreme Court in Justice K.S. Puttaswamy (Retd.) v. Union of India (2017) 10 SCC 1 held that the right to privacy is a fundamental right protected under Article 21 of the Constitution of India. The Court recognised that informational privacy is an important part of individual liberty. After this judgment, the need for comprehensive personal data protection legislation became pressing.</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Enactment of the Digital Personal Data Protection Act, 2023</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Parliament enacted the Digital Personal Data Protection Act, 2023, which received Presidential assent on 11 August 2023. The Act creates a legal framework for processing of digital personal data, protection of individuals' rights, duties of organisations handling data and regulation of data processing activities. The Act attempts to balance the rights of individuals to protect their personal data with the need for data processing for lawful purposes.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Nature of the DPDP Act, 2023</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Act is rights-based in character because it recognises individuals' rights regarding their data. It is simultaneously a regulatory legislation controlling persons and organisations processing personal data. It is accountability-based because it creates obligations upon entities handling data, and technology-neutral because it applies irrespective of the technology used for processing.</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2. Object of the Digital Personal Data Protection Act, 2023</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main object of the DPDP Act is stated in its Preamble: to provide for the processing of digital personal data in a manner that recognises both the right of individuals to protect their personal data and the need to process such personal data for lawful purposes.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Act pursues several objectives. First, it protects personal data by ensuring that information is collected lawfully, used responsibly and protected properly. Second, it recognises individual rights including the right to access information, the right to correction and the right to grievance redressal. Third, it regulates how organisations collect, store, use and share personal data. Fourth, it ensures the accountability of data fiduciaries by requiring security safeguards, transparency and compliance. Fifth, it requires reasonable security measures to prevent data breaches. Sixth, it establishes the Data Protection Board of India for enforcement, inquiry and penalties. Seventh, it supports the digital economy by encouraging innovation while protecting privacy.</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3. Scope of the Digital Personal Data Protection Act, 2023</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3 – Application of the Act</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3: Subject to the provisions of this Act, it shall —</w:t>
      </w:r>
    </w:p>
    <w:p>
      <w:pPr>
        <w:spacing w:after="0" w:before="0" w:line="240"/>
        <w:ind w:left="0"/>
      </w:pPr>
      <w:r>
        <w:rPr>
          <w:rFonts w:ascii="Calibri" w:cs="Calibri" w:eastAsia="Calibri" w:hAnsi="Calibri"/>
          <w:color w:val="000000"/>
          <w:sz w:val="28"/>
          <w:szCs w:val="28"/>
        </w:rPr>
        <w:t xml:space="preserve">(a) apply to the processing of digital personal data within the territory of India where the personal data is collected —</w:t>
      </w:r>
    </w:p>
    <w:p>
      <w:pPr>
        <w:spacing w:after="0" w:before="0" w:line="240"/>
        <w:ind w:left="0"/>
      </w:pPr>
      <w:r>
        <w:rPr>
          <w:rFonts w:ascii="Calibri" w:cs="Calibri" w:eastAsia="Calibri" w:hAnsi="Calibri"/>
          <w:color w:val="000000"/>
          <w:sz w:val="28"/>
          <w:szCs w:val="28"/>
        </w:rPr>
        <w:t xml:space="preserve">(i) in digital form; or</w:t>
      </w:r>
    </w:p>
    <w:p>
      <w:pPr>
        <w:spacing w:after="0" w:before="0" w:line="240"/>
        <w:ind w:left="0"/>
      </w:pPr>
      <w:r>
        <w:rPr>
          <w:rFonts w:ascii="Calibri" w:cs="Calibri" w:eastAsia="Calibri" w:hAnsi="Calibri"/>
          <w:color w:val="000000"/>
          <w:sz w:val="28"/>
          <w:szCs w:val="28"/>
        </w:rPr>
        <w:t xml:space="preserve">(ii) in non-digital form and digitised subsequently;</w:t>
      </w:r>
    </w:p>
    <w:p>
      <w:pPr>
        <w:spacing w:after="0" w:before="0" w:line="240"/>
        <w:ind w:left="0"/>
      </w:pPr>
      <w:r>
        <w:rPr>
          <w:rFonts w:ascii="Calibri" w:cs="Calibri" w:eastAsia="Calibri" w:hAnsi="Calibri"/>
          <w:color w:val="000000"/>
          <w:sz w:val="28"/>
          <w:szCs w:val="28"/>
        </w:rPr>
        <w:t xml:space="preserve">(b) also apply to processing of digital personal data outside the territory of India, if such processing is in connection with any activity related to offering of goods or services to Data Principals within the territory of India;</w:t>
      </w:r>
    </w:p>
    <w:p>
      <w:pPr>
        <w:spacing w:after="0" w:before="0" w:line="240"/>
        <w:ind w:left="0"/>
      </w:pPr>
      <w:r>
        <w:rPr>
          <w:rFonts w:ascii="Calibri" w:cs="Calibri" w:eastAsia="Calibri" w:hAnsi="Calibri"/>
          <w:color w:val="000000"/>
          <w:sz w:val="28"/>
          <w:szCs w:val="28"/>
        </w:rPr>
        <w:t xml:space="preserve">(c) not apply to —</w:t>
      </w:r>
    </w:p>
    <w:p>
      <w:pPr>
        <w:spacing w:after="0" w:before="0" w:line="240"/>
        <w:ind w:left="0"/>
      </w:pPr>
      <w:r>
        <w:rPr>
          <w:rFonts w:ascii="Calibri" w:cs="Calibri" w:eastAsia="Calibri" w:hAnsi="Calibri"/>
          <w:color w:val="000000"/>
          <w:sz w:val="28"/>
          <w:szCs w:val="28"/>
        </w:rPr>
        <w:t xml:space="preserve">(i) personal data processed by an individual for any personal or domestic purpose; and</w:t>
      </w:r>
    </w:p>
    <w:p>
      <w:pPr>
        <w:spacing w:after="0" w:before="0" w:line="240"/>
        <w:ind w:left="0"/>
      </w:pPr>
      <w:r>
        <w:rPr>
          <w:rFonts w:ascii="Calibri" w:cs="Calibri" w:eastAsia="Calibri" w:hAnsi="Calibri"/>
          <w:color w:val="000000"/>
          <w:sz w:val="28"/>
          <w:szCs w:val="28"/>
        </w:rPr>
        <w:t xml:space="preserve">(ii) personal data that is made or caused to be made publicly available by the Data Principal to whom such personal data relates, or any other person who is under an obligation under any law for the time being in force in India to make such personal data publicly available.</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3 establishes the territorial and extra-territorial reach of the Act. It covers digital personal data collected in India, whether originally in digital form or later digitised from physical documents. It also applies outside India when processing is connected to offering goods or services to Indian users, reflecting modern cross-border digital commerce. Data processed by individuals for purely personal or domestic purposes is excluded, as is publicly available personal data. The Act is therefore wide in scope, capturing nearly every commercial or professional digital data processing activity involving Indian users.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4. Definitions under the Digital Personal Data Protection Act, 2023</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Definitions under Section 2 form the foundation of the Act, determining meaning, application and scope. They identify who is protected, who is responsible, what activities are regulated and how obligations apply.</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(1) Appellate Tribunal</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2(a)</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"Appellate Tribunal" means the Telecom Disputes Settlement and Appellate Tribunal established under section 14 of the Telecom Regulatory Authority of India Act, 1997.</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The Appellate Tribunal is the authority to which appeals may be filed against decisions of the Data Protection Board of India. Using an existing specialised tribunal avoids the need to create an entirely new appellate body and ensures that appeals are heard by an experienced forum. It provides an independent review mechanism, a legal remedy and protection against arbitrary decisions.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(2) Automated</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2(b)</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"Automated" means any digital process capable of operating automatically in response to instructions given or otherwise for the purpose of processing data.</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Automation refers to technology-based processing without constant human involvement. Examples include automatic data analysis, AI-based decision systems and automated verification systems. The definition ensures the Act covers modern data processing techniques that do not require a human being to initiate every action.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(3) Board</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2(c)</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"Board" means the Data Protection Board of India established by the Central Government under section 18.</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The Board is the primary enforcement authority under the Act. It conducts inquiries, enforces obligations and imposes penalties. All references to 'the Board' throughout the Act mean this statutory body created under Section 18.</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(4) Consent Manager</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2(g)</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"Consent Manager" means a person registered with the Board, who acts as a single point of contact to enable a Data Principal to give, manage, review and withdraw her consent through an accessible, transparent and interoperable platform.</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A Consent Manager is an intermediary entity that provides individuals a unified platform to exercise control over their consents with multiple data fiduciaries. By aggregating consent management, individuals do not need to separately manage consents with each platform. Registration with the Board ensures accountability of consent managers.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(5) Data</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2(h)</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"Data" means a representation of information, facts, concepts, opinions or instructions in a manner suitable for communication, interpretation or processing by human beings or by automated means.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Data is the raw material that the Act seeks to protect. It covers any representation of information in digital formats such as text, numbers or electronic records. The definition is intentionally broad to capture every type of information handled by modern digital systems.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(6) Data Fiduciary</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2(i)</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"Data Fiduciary" means any person who alone or in conjunction with other persons determines the purpose and means of processing of personal data.</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A Data Fiduciary decides why personal data is collected and how it will be used. Examples include banks, online platforms and companies collecting customer information. The word 'fiduciary' signals a relationship of trust and responsibility: the entity is expected to handle personal data with care and respect. Banks, hospitals and e-commerce platforms collecting user details are typical data fiduciaries.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(7) Data Principal</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2(j)</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"Data Principal" means the individual to whom the personal data relates and where such individual is — (i) a child, includes the parents or lawful guardian of such a child; (ii) a person with disability, includes her lawful guardian, acting on her behalf.</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The Data Principal is the individual whose personal information is being processed — the customer, patient or user. The definition extends to include parents or guardians acting on behalf of children and lawful guardians acting for persons with disability, ensuring that vulnerable individuals are protected even when they cannot directly exercise rights themselves.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(8) Data Processor</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2(k)</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"Data Processor" means any person who processes personal data on behalf of a Data Fiduciary.</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A Data Processor acts on instructions from the Data Fiduciary rather than determining processing purposes independently. A cloud storage company storing data for a bank is a classic data processor. The distinction matters because while a data fiduciary bears primary responsibility, both must comply with applicable obligations under the Act.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(9) Digital Personal Data</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2(n)</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"Digital personal data" means personal data in digital form.</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This covers data collected directly in digital form as well as physical data subsequently converted to digital format. A hospital that scans and digitises paper patient records thereafter holds digital personal data covered by the Act. The definition ensures the Act applies regardless of how data originally entered the digital environment.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(10) Personal Data</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2(t)</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"Personal data" means any data about an individual who is identifiable by or in relation to such data.</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Personal data is the central concept of the Act. Any information that identifies or can identify a specific person falls within this definition. Names, phone numbers, email addresses, identification numbers and even combinations of data that together identify someone are all personal data. The broad framing ensures that indirect identifiers and pseudonymous data remain subject to the Act's protections.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(11) Personal Data Breach</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2(u)</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"Personal data breach" means any unauthorised processing of personal data or accidental disclosure, acquisition, sharing, use, alteration, destruction or loss of access to personal data, that compromises the confidentiality, integrity or availability of personal data.</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A personal data breach is any incident that exposes personal data to those who should not have it or renders it unavailable to those who need it. Database leaks, hacking incidents and accidental sharing all constitute breaches. The definition is intentionally wide, covering intentional acts and accidental events alike, as both can cause serious harm to individuals.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(12) Processing</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2(x)</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"Processing" in relation to personal data, means a wholly or partly automated operation or set of operations performed on digital personal data, and includes operations such as collection, recording, organisation, structuring, storage, adaptation, retrieval, use, alignment or combination, indexing, sharing, disclosure by transmission, dissemination or otherwise making available, restriction, erasure or destruction.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Processing encompasses virtually every activity involving personal data from collection and storage through to deletion. The broad definition ensures that no stage in the data lifecycle escapes the Act's obligations. Whether a company collects, stores, analyses or deletes personal data, it is processing and must comply with the Act.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(13) Significant Data Fiduciary</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2(z)</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"Significant Data Fiduciary" means any Data Fiduciary or class of Data Fiduciaries as may be notified by the Central Government under section 10.</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The Central Government may classify data fiduciaries handling large volumes of sensitive data, posing risks to rights or national interest, as Significant Data Fiduciaries. Large social media companies processing millions of users' data are prime candidates. They bear additional obligations including appointment of a Data Protection Officer, independent data audits and periodic impact assessments.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5. Quick summary in tabular format</w:t>
      </w:r>
    </w:p>
    <w:p>
      <w:pPr>
        <w:spacing w:after="0" w:before="0" w:line="240"/>
      </w:pPr>
      <w:r>
        <w:rPr>
          <w:rFonts w:ascii="Calibri" w:cs="Calibri" w:eastAsia="Calibri" w:hAnsi="Calibri"/>
          <w:sz w:val="28"/>
          <w:szCs w:val="28"/>
        </w:rPr>
        <w:t xml:space="preserve"/>
      </w:r>
    </w:p>
    <w:tbl>
      <w:tblPr>
        <w:tblW w:type="dxa" w:w="830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079"/>
        <w:gridCol w:w="2907"/>
        <w:gridCol w:w="4320"/>
      </w:tblGrid>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Definition</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Explanation</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2(a)</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Appellate Tribunal</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TDSAT hearing appeals against orders of the Data Protection Board</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2(c)</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Board</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Data Protection Board of India established under Section 18</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2(g)</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Consent Manager</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Registered entity enabling individuals to give, manage and withdraw consent</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2(h)</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Data</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Representation of information suitable for processing by human beings or automated means</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2(i)</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Data Fiduciary</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Person determining the purpose and means of processing personal data</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2(j)</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Data Principal</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Individual to whom personal data relates; includes guardians for children and persons with disability</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2(k)</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Data Processor</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Processes personal data on behalf of a Data Fiduciary</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2(n)</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Digital Personal Data</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Personal data in digital form</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2(t)</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Personal Data</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Data relating to an identifiable individual</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2(u)</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Personal Data Breach</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Unauthorised processing or accidental disclosure, alteration or loss of personal data</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2(x)</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Processing</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Any operation performed on digital personal data including collection, storage, use, sharing and deletion</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2(z)</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Significant Data Fiduciary</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Data Fiduciary notified by Central Government for higher compliance obligations</w:t>
            </w:r>
          </w:p>
        </w:tc>
      </w:tr>
    </w:tbl>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6. Conclusion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Digital Personal Data Protection Act, 2023 represents a major development in India's privacy and technology law framework. Enacted in response to growth of digital services, increasing data collection and cyber security risks, and the recognition of privacy as a fundamental right, the Act balances individuals' rights to protect personal data with the legitimate need to process it. The definitions under Section 2 create the foundation of the legislation by identifying who is protected, who is responsible and what activities are regulated. The Act strengthens India's digital ecosystem by promoting privacy, accountability, transparency and responsible use of personal data.</w:t>
      </w:r>
    </w:p>
    <w:p>
      <w:pPr>
        <w:spacing w:after="0" w:before="0" w:line="240"/>
      </w:pPr>
      <w:r>
        <w:rPr>
          <w:rFonts w:ascii="Calibri" w:cs="Calibri" w:eastAsia="Calibri" w:hAnsi="Calibri"/>
          <w:sz w:val="28"/>
          <w:szCs w:val="28"/>
        </w:rPr>
        <w:t xml:space="preserve"/>
      </w:r>
    </w:p>
    <w:p>
      <w:r>
        <w:br w:type="page"/>
      </w:r>
    </w:p>
    <w:p>
      <w:pPr>
        <w:spacing w:after="0" w:before="0" w:line="240"/>
        <w:ind w:left="0" w:right="0"/>
        <w:jc w:val="both"/>
      </w:pPr>
      <w:r>
        <w:rPr>
          <w:rFonts w:ascii="Calibri" w:cs="Calibri" w:eastAsia="Calibri" w:hAnsi="Calibri"/>
          <w:b/>
          <w:bCs/>
          <w:color w:val="000000"/>
          <w:sz w:val="28"/>
          <w:szCs w:val="28"/>
        </w:rPr>
        <w:t xml:space="preserve">Chapter II</w:t>
      </w:r>
    </w:p>
    <w:p>
      <w:pPr>
        <w:spacing w:after="0" w:before="0" w:line="240"/>
        <w:ind w:left="0" w:right="0"/>
        <w:jc w:val="both"/>
      </w:pPr>
      <w:r>
        <w:rPr>
          <w:rFonts w:ascii="Calibri" w:cs="Calibri" w:eastAsia="Calibri" w:hAnsi="Calibri"/>
          <w:b/>
          <w:bCs/>
          <w:color w:val="000000"/>
          <w:sz w:val="28"/>
          <w:szCs w:val="28"/>
        </w:rPr>
        <w:t xml:space="preserve">Obligations of Data Fiduciary under the Digital Personal Data Protection Act, 2023 (Sections 4–10)</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Synopsis</w:t>
      </w:r>
    </w:p>
    <w:p>
      <w:pPr>
        <w:spacing w:after="0" w:before="0" w:line="240"/>
        <w:ind w:left="0" w:right="0"/>
        <w:jc w:val="both"/>
      </w:pPr>
      <w:r>
        <w:rPr>
          <w:rFonts w:ascii="Calibri" w:cs="Calibri" w:eastAsia="Calibri" w:hAnsi="Calibri"/>
          <w:b w:val="false"/>
          <w:bCs w:val="false"/>
          <w:color w:val="000000"/>
          <w:sz w:val="28"/>
          <w:szCs w:val="28"/>
        </w:rPr>
        <w:t xml:space="preserve">Introduction</w:t>
      </w:r>
    </w:p>
    <w:p>
      <w:pPr>
        <w:spacing w:after="0" w:before="0" w:line="240"/>
        <w:ind w:left="0" w:right="0"/>
        <w:jc w:val="both"/>
      </w:pPr>
      <w:r>
        <w:rPr>
          <w:rFonts w:ascii="Calibri" w:cs="Calibri" w:eastAsia="Calibri" w:hAnsi="Calibri"/>
          <w:b w:val="false"/>
          <w:bCs w:val="false"/>
          <w:color w:val="000000"/>
          <w:sz w:val="28"/>
          <w:szCs w:val="28"/>
        </w:rPr>
        <w:t xml:space="preserve">Obligations of Data Fiduciary (Sections 4–10 explained in detail with illustrations)</w:t>
      </w:r>
    </w:p>
    <w:p>
      <w:pPr>
        <w:spacing w:after="0" w:before="0" w:line="240"/>
        <w:ind w:left="0" w:right="0"/>
        <w:jc w:val="both"/>
      </w:pPr>
      <w:r>
        <w:rPr>
          <w:rFonts w:ascii="Calibri" w:cs="Calibri" w:eastAsia="Calibri" w:hAnsi="Calibri"/>
          <w:b w:val="false"/>
          <w:bCs w:val="false"/>
          <w:color w:val="000000"/>
          <w:sz w:val="28"/>
          <w:szCs w:val="28"/>
        </w:rPr>
        <w:t xml:space="preserve">Quick summary in tabular format</w:t>
      </w:r>
    </w:p>
    <w:p>
      <w:pPr>
        <w:spacing w:after="0" w:before="0" w:line="240"/>
        <w:ind w:left="0" w:right="0"/>
        <w:jc w:val="both"/>
      </w:pPr>
      <w:r>
        <w:rPr>
          <w:rFonts w:ascii="Calibri" w:cs="Calibri" w:eastAsia="Calibri" w:hAnsi="Calibri"/>
          <w:b w:val="false"/>
          <w:bCs w:val="false"/>
          <w:color w:val="000000"/>
          <w:sz w:val="28"/>
          <w:szCs w:val="28"/>
        </w:rPr>
        <w:t xml:space="preserve">Relevant case laws</w:t>
      </w:r>
    </w:p>
    <w:p>
      <w:pPr>
        <w:spacing w:after="0" w:before="0" w:line="240"/>
        <w:ind w:left="0" w:right="0"/>
        <w:jc w:val="both"/>
      </w:pPr>
      <w:r>
        <w:rPr>
          <w:rFonts w:ascii="Calibri" w:cs="Calibri" w:eastAsia="Calibri" w:hAnsi="Calibri"/>
          <w:b w:val="false"/>
          <w:bCs w:val="false"/>
          <w:color w:val="000000"/>
          <w:sz w:val="28"/>
          <w:szCs w:val="28"/>
        </w:rPr>
        <w:t xml:space="preserve">Conclusion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1. Introduction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In the modern digital economy, individuals provide their personal information to banks, hospitals, educational institutions, e-commerce platforms, government websites and mobile applications daily. These organisations collect, store and use personal information for providing services. Misuse of such information may result in violation of privacy, identity theft, financial fraud, unauthorised surveillance and loss of individual control. The Digital Personal Data Protection Act, 2023 therefore establishes legal duties upon persons who determine how personal data will be processed. Such persons are called Data Fiduciaries.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2. Obligations of Data Fiduciary (Sections 4–10 explained in detail with illustrations)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4 – Grounds for processing digital personal data</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4(1): A person may process the personal data of a Data Principal only in accordance with the provisions of this Act and for a lawful purpose —</w:t>
      </w:r>
    </w:p>
    <w:p>
      <w:pPr>
        <w:spacing w:after="0" w:before="0" w:line="240"/>
        <w:ind w:left="0"/>
      </w:pPr>
      <w:r>
        <w:rPr>
          <w:rFonts w:ascii="Calibri" w:cs="Calibri" w:eastAsia="Calibri" w:hAnsi="Calibri"/>
          <w:color w:val="000000"/>
          <w:sz w:val="28"/>
          <w:szCs w:val="28"/>
        </w:rPr>
        <w:t xml:space="preserve">(a) for which the Data Principal has given her consent; or</w:t>
      </w:r>
    </w:p>
    <w:p>
      <w:pPr>
        <w:spacing w:after="0" w:before="0" w:line="240"/>
        <w:ind w:left="0"/>
      </w:pPr>
      <w:r>
        <w:rPr>
          <w:rFonts w:ascii="Calibri" w:cs="Calibri" w:eastAsia="Calibri" w:hAnsi="Calibri"/>
          <w:color w:val="000000"/>
          <w:sz w:val="28"/>
          <w:szCs w:val="28"/>
        </w:rPr>
        <w:t xml:space="preserve">(b) for certain legitimate uses.</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4(2): For the purposes of this section, the expression "lawful purpose" means any purpose which is not expressly forbidden by law.</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4 is the cornerstone provision establishing the legal basis for processing personal data. A Data Fiduciary may collect or use personal data only with valid consent or for a recognised legitimate use. Processing without a lawful basis violates the Act. The definition of lawful purpose is deliberately open-ended: any purpose not expressly forbidden by law is lawful, subject to the Act's other requirements.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5 – Notice</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5(1): Every request made to a Data Principal under section 6 for consent shall be accompanied or preceded by a notice given by the Data Fiduciary to the Data Principal, informing her —</w:t>
      </w:r>
    </w:p>
    <w:p>
      <w:pPr>
        <w:spacing w:after="0" w:before="0" w:line="240"/>
        <w:ind w:left="0"/>
      </w:pPr>
      <w:r>
        <w:rPr>
          <w:rFonts w:ascii="Calibri" w:cs="Calibri" w:eastAsia="Calibri" w:hAnsi="Calibri"/>
          <w:color w:val="000000"/>
          <w:sz w:val="28"/>
          <w:szCs w:val="28"/>
        </w:rPr>
        <w:t xml:space="preserve">(i) the personal data and the purpose for which the same is proposed to be processed;</w:t>
      </w:r>
    </w:p>
    <w:p>
      <w:pPr>
        <w:spacing w:after="0" w:before="0" w:line="240"/>
        <w:ind w:left="0"/>
      </w:pPr>
      <w:r>
        <w:rPr>
          <w:rFonts w:ascii="Calibri" w:cs="Calibri" w:eastAsia="Calibri" w:hAnsi="Calibri"/>
          <w:color w:val="000000"/>
          <w:sz w:val="28"/>
          <w:szCs w:val="28"/>
        </w:rPr>
        <w:t xml:space="preserve">(ii) the manner in which she may exercise her rights under sub-section (4) of section 6 and section 13; and</w:t>
      </w:r>
    </w:p>
    <w:p>
      <w:pPr>
        <w:spacing w:after="0" w:before="0" w:line="240"/>
        <w:ind w:left="0"/>
      </w:pPr>
      <w:r>
        <w:rPr>
          <w:rFonts w:ascii="Calibri" w:cs="Calibri" w:eastAsia="Calibri" w:hAnsi="Calibri"/>
          <w:color w:val="000000"/>
          <w:sz w:val="28"/>
          <w:szCs w:val="28"/>
        </w:rPr>
        <w:t xml:space="preserve">(iii) the manner in which the Data Principal may make a complaint to the Board,</w:t>
      </w:r>
    </w:p>
    <w:p>
      <w:pPr>
        <w:spacing w:after="0" w:before="0" w:line="240"/>
        <w:ind w:left="0"/>
      </w:pPr>
      <w:r>
        <w:rPr>
          <w:rFonts w:ascii="Calibri" w:cs="Calibri" w:eastAsia="Calibri" w:hAnsi="Calibri"/>
          <w:color w:val="000000"/>
          <w:sz w:val="28"/>
          <w:szCs w:val="28"/>
        </w:rPr>
        <w:t xml:space="preserve">in such manner and as may be prescribed.</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5 creates an obligation of transparency. Before or at the time of seeking consent, the Data Fiduciary must inform the individual what personal data is being collected, why it is needed and how rights may be exercised. The notice must also explain how to complain to the Board. This ensures that individuals make genuinely informed decisions rather than consenting without understanding the implications of doing so.</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6 – Consent</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6(1): The consent given by the Data Principal shall be free, specific, informed, unconditional and unambiguous with a clear affirmative action, and shall signify an agreement to the processing of her personal data for the specified purpose and be limited to such personal data as is necessary for such specified purpose.</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6(4): Where consent given by the Data Principal is the basis of processing of personal data, such Data Principal shall have the right to withdraw her consent at any time, with the ease of doing so being comparable to the ease with which such consent was given.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Valid consent under Section 6 must be free of pressure, specific to a particular purpose, given with full understanding, unconditional and expressed through a positive act such as ticking a box. Silence or pre-ticked boxes do not amount to valid consent. Importantly, withdrawal of consent must be as easy as giving it. A platform that makes consent withdrawal difficult effectively coerces continued processing in violation of the Act.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7 – Certain legitimate uses</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7: A Data Fiduciary may process personal data of a Data Principal for any of the following uses, namely —</w:t>
      </w:r>
    </w:p>
    <w:p>
      <w:pPr>
        <w:spacing w:after="0" w:before="0" w:line="240"/>
        <w:ind w:left="0"/>
      </w:pPr>
      <w:r>
        <w:rPr>
          <w:rFonts w:ascii="Calibri" w:cs="Calibri" w:eastAsia="Calibri" w:hAnsi="Calibri"/>
          <w:color w:val="000000"/>
          <w:sz w:val="28"/>
          <w:szCs w:val="28"/>
        </w:rPr>
        <w:t xml:space="preserve">(a) for the specified purpose for which the Data Principal has voluntarily provided her personal data to the Data Fiduciary, and in respect of which she has not indicated to the Data Fiduciary that she does not consent to the use of her personal data;</w:t>
      </w:r>
    </w:p>
    <w:p>
      <w:pPr>
        <w:spacing w:after="0" w:before="0" w:line="240"/>
        <w:ind w:left="0"/>
      </w:pPr>
      <w:r>
        <w:rPr>
          <w:rFonts w:ascii="Calibri" w:cs="Calibri" w:eastAsia="Calibri" w:hAnsi="Calibri"/>
          <w:color w:val="000000"/>
          <w:sz w:val="28"/>
          <w:szCs w:val="28"/>
        </w:rPr>
        <w:t xml:space="preserve">(b) for the State and any of its instrumentalities to provide or issue subsidy, benefit, service, certificate, licence or permit;</w:t>
      </w:r>
    </w:p>
    <w:p>
      <w:pPr>
        <w:spacing w:after="0" w:before="0" w:line="240"/>
        <w:ind w:left="0"/>
      </w:pPr>
      <w:r>
        <w:rPr>
          <w:rFonts w:ascii="Calibri" w:cs="Calibri" w:eastAsia="Calibri" w:hAnsi="Calibri"/>
          <w:color w:val="000000"/>
          <w:sz w:val="28"/>
          <w:szCs w:val="28"/>
        </w:rPr>
        <w:t xml:space="preserve">(c) for the performance by the State or any of its instrumentalities of any function under any law;</w:t>
      </w:r>
    </w:p>
    <w:p>
      <w:pPr>
        <w:spacing w:after="0" w:before="0" w:line="240"/>
        <w:ind w:left="0"/>
      </w:pPr>
      <w:r>
        <w:rPr>
          <w:rFonts w:ascii="Calibri" w:cs="Calibri" w:eastAsia="Calibri" w:hAnsi="Calibri"/>
          <w:color w:val="000000"/>
          <w:sz w:val="28"/>
          <w:szCs w:val="28"/>
        </w:rPr>
        <w:t xml:space="preserve">(d) for fulfilling any obligation under any law to disclose information to the State;</w:t>
      </w:r>
    </w:p>
    <w:p>
      <w:pPr>
        <w:spacing w:after="0" w:before="0" w:line="240"/>
        <w:ind w:left="0"/>
      </w:pPr>
      <w:r>
        <w:rPr>
          <w:rFonts w:ascii="Calibri" w:cs="Calibri" w:eastAsia="Calibri" w:hAnsi="Calibri"/>
          <w:color w:val="000000"/>
          <w:sz w:val="28"/>
          <w:szCs w:val="28"/>
        </w:rPr>
        <w:t xml:space="preserve">(e) for compliance with any judgment or decree;</w:t>
      </w:r>
    </w:p>
    <w:p>
      <w:pPr>
        <w:spacing w:after="0" w:before="0" w:line="240"/>
        <w:ind w:left="0"/>
      </w:pPr>
      <w:r>
        <w:rPr>
          <w:rFonts w:ascii="Calibri" w:cs="Calibri" w:eastAsia="Calibri" w:hAnsi="Calibri"/>
          <w:color w:val="000000"/>
          <w:sz w:val="28"/>
          <w:szCs w:val="28"/>
        </w:rPr>
        <w:t xml:space="preserve">(f) for responding to a medical emergency involving a threat to the life or immediate threat to the health of the Data Principal or any other individual;</w:t>
      </w:r>
    </w:p>
    <w:p>
      <w:pPr>
        <w:spacing w:after="0" w:before="0" w:line="240"/>
        <w:ind w:left="0"/>
      </w:pPr>
      <w:r>
        <w:rPr>
          <w:rFonts w:ascii="Calibri" w:cs="Calibri" w:eastAsia="Calibri" w:hAnsi="Calibri"/>
          <w:color w:val="000000"/>
          <w:sz w:val="28"/>
          <w:szCs w:val="28"/>
        </w:rPr>
        <w:t xml:space="preserve">(g) for taking measures to provide medical treatment or health services during an epidemic, outbreak of disease, or any other threat to public health;</w:t>
      </w:r>
    </w:p>
    <w:p>
      <w:pPr>
        <w:spacing w:after="0" w:before="0" w:line="240"/>
        <w:ind w:left="0"/>
      </w:pPr>
      <w:r>
        <w:rPr>
          <w:rFonts w:ascii="Calibri" w:cs="Calibri" w:eastAsia="Calibri" w:hAnsi="Calibri"/>
          <w:color w:val="000000"/>
          <w:sz w:val="28"/>
          <w:szCs w:val="28"/>
        </w:rPr>
        <w:t xml:space="preserve">(h) for taking measures to ensure safety of, or provide assistance or services to, any individual during any disaster or breakdown of public order;</w:t>
      </w:r>
    </w:p>
    <w:p>
      <w:pPr>
        <w:spacing w:after="0" w:before="0" w:line="240"/>
        <w:ind w:left="0"/>
      </w:pPr>
      <w:r>
        <w:rPr>
          <w:rFonts w:ascii="Calibri" w:cs="Calibri" w:eastAsia="Calibri" w:hAnsi="Calibri"/>
          <w:color w:val="000000"/>
          <w:sz w:val="28"/>
          <w:szCs w:val="28"/>
        </w:rPr>
        <w:t xml:space="preserve">(i) for the purposes of employment or those related to safeguarding the employer from loss or liability.</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7 recognises that not every processing situation can practically rely on fresh consent. When a person voluntarily provides their phone number to a restaurant for a booking, the restaurant can use it for that purpose without a separate consent form. Similarly, the Government may process data to deliver benefits, courts may process data for justice and hospitals may act without consent in genuine medical emergencies. These legitimate uses balance privacy with practical necessity.</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8 – General obligations of Data Fiduciary</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8(1): A Data Fiduciary shall, irrespective of any agreement to the contrary or failure of a Data Principal to carry out the duties provided under this Act, be responsible for complying with the provisions of this Act and the rules made thereunder in respect of any processing undertaken by it or on its behalf by a Data Processor.</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8(5): A Data Fiduciary shall protect personal data in its possession or under its control, including in respect of any processing undertaken by it or on its behalf by a Data Processor, by taking reasonable security safeguards to prevent personal data breach.</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8(6): In the event of a personal data breach, the Data Fiduciary shall give the Board and each affected Data Principal, intimation of such breach in such form and manner as may be prescribed.</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8(7): A Data Fiduciary shall, unless retention is necessary for compliance with any law for the time being in force — (a) erase personal data, upon the Data Principal withdrawing her consent or as soon as it is reasonable to assume that the specified purpose is no longer being served, whichever is earlier; and (b) cause its Data Processor to erase any personal data that was made available by the Data Fiduciary for processing to such Data Processor.</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8 is the general duties provision. A Data Fiduciary remains responsible for compliance even when processing is outsourced to a Data Processor. Key duties include ensuring data accuracy where decisions affecting individuals are made, implementing reasonable security safeguards, notifying the Board and affected individuals promptly after a breach, and erasing personal data once it is no longer needed. The purpose limitation and storage limitation principles embedded in this section prevent indefinite retention of personal information.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9 – Processing of personal data of children</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9(1): The Data Fiduciary shall, before processing any personal data of a child or a person with disability who has a lawful guardian, obtain verifiable consent of the parent of such child or the lawful guardian, as the case may be.</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9(2): A Data Fiduciary shall not undertake such processing of personal data that is likely to cause any detrimental effect on the well-being of a child.</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9(3): A Data Fiduciary shall not undertake tracking or behavioural monitoring of children or targeted advertising directed at children.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9 provides enhanced protection for children, defined as persons below eighteen years of age. Before processing a child's data, verifiable parental or guardian consent is mandatory. Beyond consent, the Data Fiduciary may not process data in ways likely to harm a child's well-being and may not track or behaviourally monitor children or target them with advertising. These restrictions recognise that children are particularly vulnerable to digital exploitation and manipulation.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10 – Additional obligations of Significant Data Fiduciary</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10(1): The Central Government may notify any Data Fiduciary or class of Data Fiduciaries as Significant Data Fiduciary, on the basis of an assessment of such relevant factors as it may determine, including — (a) the volume and sensitivity of personal data processed; (b) risk to the rights of Data Principal; (c) potential impact on the sovereignty and integrity of India; (d) risk to electoral democracy; (e) security of the State; and (f) public order.</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10(2): The Significant Data Fiduciary shall — (a) appoint a Data Protection Officer who shall represent the Significant Data Fiduciary and be based in India; (b) appoint an independent data auditor to carry out data audit; and (c) undertake periodic Data Protection Impact Assessment, periodic audit, and such other measures as may be prescribed.</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10 creates a higher tier of obligation for entities that process large volumes of sensitive data or pose significant risks to society. The Central Government classifies such entities as Significant Data Fiduciaries considering volume, sensitivity, national security implications and risks to democracy. These entities must maintain a resident Data Protection Officer, undergo independent audits and conduct periodic impact assessments. Large social media platforms and government-linked data processors are likely candidates.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3. Quick summary in tabular format</w:t>
      </w:r>
    </w:p>
    <w:p>
      <w:pPr>
        <w:spacing w:after="0" w:before="0" w:line="240"/>
      </w:pPr>
      <w:r>
        <w:rPr>
          <w:rFonts w:ascii="Calibri" w:cs="Calibri" w:eastAsia="Calibri" w:hAnsi="Calibri"/>
          <w:sz w:val="28"/>
          <w:szCs w:val="28"/>
        </w:rPr>
        <w:t xml:space="preserve"/>
      </w:r>
    </w:p>
    <w:tbl>
      <w:tblPr>
        <w:tblW w:type="dxa" w:w="830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079"/>
        <w:gridCol w:w="2907"/>
        <w:gridCol w:w="4320"/>
      </w:tblGrid>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Provision</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Explanation</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4</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Grounds for processing digital personal data</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Personal data may be processed only with consent or for certain legitimate uses recognised by the Act.</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5</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Notice</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Data Fiduciary must provide clear notice explaining what data is collected, the purpose and how rights may be exercised.</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6</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Consent</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Consent must be free, specific, informed, unconditional and based on a clear affirmative action. It may be withdrawn at any time.</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7</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Certain legitimate uses</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Allows processing without fresh consent in specified situations such as voluntary submission, government functions, medical emergencies and employment purposes.</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8</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General obligations of Data Fiduciary</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Requires compliance, data accuracy, security safeguards, breach notification and deletion of data when no longer needed.</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9</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Processing personal data of children</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Requires verifiable parental consent and restricts harmful processing, tracking and targeted advertising directed at children.</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10</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Additional obligations of Significant Data Fiduciary</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Requires appointment of a Data Protection Officer, independent data audit and periodic impact assessments.</w:t>
            </w:r>
          </w:p>
        </w:tc>
      </w:tr>
    </w:tbl>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4. Relevant case laws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Justice K.S. Puttaswamy (Retd.) v. Union of India</w:t>
      </w:r>
    </w:p>
    <w:p>
      <w:pPr>
        <w:spacing w:after="0" w:before="0" w:line="240"/>
        <w:ind w:left="0" w:right="0"/>
        <w:jc w:val="both"/>
      </w:pPr>
      <w:r>
        <w:rPr>
          <w:rFonts w:ascii="Calibri" w:cs="Calibri" w:eastAsia="Calibri" w:hAnsi="Calibri"/>
          <w:b w:val="false"/>
          <w:bCs w:val="false"/>
          <w:color w:val="000000"/>
          <w:sz w:val="28"/>
          <w:szCs w:val="28"/>
        </w:rPr>
        <w:t xml:space="preserve">Citation: (2017) 10 SCC 1</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A constitutional question regarding whether privacy is protected as a fundamental right was referred to a nine-judge bench of the Supreme Court. The issue arose during challenges involving collection and use of personal information by the Government.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privacy is protected as a fundamental right under the Constitution.</w:t>
      </w:r>
    </w:p>
    <w:p>
      <w:pPr>
        <w:spacing w:after="0" w:before="0" w:line="240"/>
        <w:ind w:left="0" w:right="0"/>
        <w:jc w:val="both"/>
      </w:pPr>
      <w:r>
        <w:rPr>
          <w:rFonts w:ascii="Calibri" w:cs="Calibri" w:eastAsia="Calibri" w:hAnsi="Calibri"/>
          <w:b w:val="false"/>
          <w:bCs w:val="false"/>
          <w:color w:val="000000"/>
          <w:sz w:val="28"/>
          <w:szCs w:val="28"/>
        </w:rPr>
        <w:t xml:space="preserve">Whether individuals have control over their personal information.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unanimously held that the right to privacy is a fundamental right under Article 21 of the Constitution of India. The Court recognised informational privacy, which protects an individual's control over personal data, as an essential element of human dignity and liberty. This judgment forms the constitutional foundation for the obligations imposed on Data Fiduciaries under the DPDP Act, 2023.</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K.S. Puttaswamy (Aadhaar judgment) v. Union of India</w:t>
      </w:r>
    </w:p>
    <w:p>
      <w:pPr>
        <w:spacing w:after="0" w:before="0" w:line="240"/>
        <w:ind w:left="0" w:right="0"/>
        <w:jc w:val="both"/>
      </w:pPr>
      <w:r>
        <w:rPr>
          <w:rFonts w:ascii="Calibri" w:cs="Calibri" w:eastAsia="Calibri" w:hAnsi="Calibri"/>
          <w:b w:val="false"/>
          <w:bCs w:val="false"/>
          <w:color w:val="000000"/>
          <w:sz w:val="28"/>
          <w:szCs w:val="28"/>
        </w:rPr>
        <w:t xml:space="preserve">Citation: (2019) 1 SCC 1</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Aadhaar scheme involving collection of biometric and demographic data was challenged on privacy grounds.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collection and processing of biometric information violated privacy rights.</w:t>
      </w:r>
    </w:p>
    <w:p>
      <w:pPr>
        <w:spacing w:after="0" w:before="0" w:line="240"/>
        <w:ind w:left="0" w:right="0"/>
        <w:jc w:val="both"/>
      </w:pPr>
      <w:r>
        <w:rPr>
          <w:rFonts w:ascii="Calibri" w:cs="Calibri" w:eastAsia="Calibri" w:hAnsi="Calibri"/>
          <w:b w:val="false"/>
          <w:bCs w:val="false"/>
          <w:color w:val="000000"/>
          <w:sz w:val="28"/>
          <w:szCs w:val="28"/>
        </w:rPr>
        <w:t xml:space="preserve">Whether data processing must follow principles of necessity, proportionality and purpose limitation.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upheld the Aadhaar scheme with restrictions and privacy safeguards. The Court applied principles of necessity, proportionality and purpose limitation, holding that data collection must have legal safeguards and must not be excessive. The decision supports the obligations placed on Data Fiduciaries under Sections 4 to 8 of the DPDP Act.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R. Rajagopal v. State of Tamil Nadu</w:t>
      </w:r>
    </w:p>
    <w:p>
      <w:pPr>
        <w:spacing w:after="0" w:before="0" w:line="240"/>
        <w:ind w:left="0" w:right="0"/>
        <w:jc w:val="both"/>
      </w:pPr>
      <w:r>
        <w:rPr>
          <w:rFonts w:ascii="Calibri" w:cs="Calibri" w:eastAsia="Calibri" w:hAnsi="Calibri"/>
          <w:b w:val="false"/>
          <w:bCs w:val="false"/>
          <w:color w:val="000000"/>
          <w:sz w:val="28"/>
          <w:szCs w:val="28"/>
        </w:rPr>
        <w:t xml:space="preserve">Citation: (1994) 6 SCC 632</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case involved publication of personal details without consent.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individuals have a right to prevent unauthorised publication or use of personal information.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recognised the right to be let alone as part of privacy. Unauthorised publication of private information may violate this right. The decision supports the concept of individual control over personal data that underlies the entire Data Fiduciary obligation framework.</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WhatsApp LLC v. Competition Commission of India</w:t>
      </w:r>
    </w:p>
    <w:p>
      <w:pPr>
        <w:spacing w:after="0" w:before="0" w:line="240"/>
        <w:ind w:left="0" w:right="0"/>
        <w:jc w:val="both"/>
      </w:pPr>
      <w:r>
        <w:rPr>
          <w:rFonts w:ascii="Calibri" w:cs="Calibri" w:eastAsia="Calibri" w:hAnsi="Calibri"/>
          <w:b w:val="false"/>
          <w:bCs w:val="false"/>
          <w:color w:val="000000"/>
          <w:sz w:val="28"/>
          <w:szCs w:val="28"/>
        </w:rPr>
        <w:t xml:space="preserve">Citation: 2022 SCC OnLine Del 1682</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Concerns arose regarding WhatsApp's privacy policy and data sharing practices with related entities.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digital platforms collecting user data can be subject to scrutiny regarding their data handling practices.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Delhi High Court permitted regulatory examination of data practices. Large digital platforms handling personal data must operate within legal limits. This decision highlights the accountability of entities processing large volumes of data and is relevant to the obligations imposed on Significant Data Fiduciaries under Section 10.</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5. Conclusion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obligations of Data Fiduciaries under Sections 4 to 10 of the Digital Personal Data Protection Act, 2023 represent the foundation of India's modern privacy protection framework. The Act recognises that personal data belongs to individuals and organisations handling such data must act responsibly. Sections 4 to 7 establish the legal basis for processing by requiring consent or a recognised legitimate use. Section 8 creates general duties ensuring responsible handling including security safeguards and breach notification. Section 9 gives special protection to children. Section 10 imposes higher obligations on Significant Data Fiduciaries given their potential societal impact. The judgments in Justice K.S. Puttaswamy v. Union of India, R. Rajagopal v. State of Tamil Nadu and the Aadhaar case confirm that informational privacy is a fundamental part of human dignity, providing constitutional backing for these obligations.</w:t>
      </w:r>
    </w:p>
    <w:p>
      <w:pPr>
        <w:spacing w:after="0" w:before="0" w:line="240"/>
      </w:pPr>
      <w:r>
        <w:rPr>
          <w:rFonts w:ascii="Calibri" w:cs="Calibri" w:eastAsia="Calibri" w:hAnsi="Calibri"/>
          <w:sz w:val="28"/>
          <w:szCs w:val="28"/>
        </w:rPr>
        <w:t xml:space="preserve"/>
      </w:r>
    </w:p>
    <w:p>
      <w:r>
        <w:br w:type="page"/>
      </w:r>
    </w:p>
    <w:p>
      <w:pPr>
        <w:spacing w:after="0" w:before="0" w:line="240"/>
        <w:ind w:left="0" w:right="0"/>
        <w:jc w:val="both"/>
      </w:pPr>
      <w:r>
        <w:rPr>
          <w:rFonts w:ascii="Calibri" w:cs="Calibri" w:eastAsia="Calibri" w:hAnsi="Calibri"/>
          <w:b/>
          <w:bCs/>
          <w:color w:val="000000"/>
          <w:sz w:val="28"/>
          <w:szCs w:val="28"/>
        </w:rPr>
        <w:t xml:space="preserve">Chapter III</w:t>
      </w:r>
    </w:p>
    <w:p>
      <w:pPr>
        <w:spacing w:after="0" w:before="0" w:line="240"/>
        <w:ind w:left="0" w:right="0"/>
        <w:jc w:val="both"/>
      </w:pPr>
      <w:r>
        <w:rPr>
          <w:rFonts w:ascii="Calibri" w:cs="Calibri" w:eastAsia="Calibri" w:hAnsi="Calibri"/>
          <w:b/>
          <w:bCs/>
          <w:color w:val="000000"/>
          <w:sz w:val="28"/>
          <w:szCs w:val="28"/>
        </w:rPr>
        <w:t xml:space="preserve">Rights and duties of Data Principal under the Digital Personal Data Protection Act, 2023 (Sections 11–15)</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Synopsis</w:t>
      </w:r>
    </w:p>
    <w:p>
      <w:pPr>
        <w:spacing w:after="0" w:before="0" w:line="240"/>
        <w:ind w:left="0" w:right="0"/>
        <w:jc w:val="both"/>
      </w:pPr>
      <w:r>
        <w:rPr>
          <w:rFonts w:ascii="Calibri" w:cs="Calibri" w:eastAsia="Calibri" w:hAnsi="Calibri"/>
          <w:b w:val="false"/>
          <w:bCs w:val="false"/>
          <w:color w:val="000000"/>
          <w:sz w:val="28"/>
          <w:szCs w:val="28"/>
        </w:rPr>
        <w:t xml:space="preserve">Introduction</w:t>
      </w:r>
    </w:p>
    <w:p>
      <w:pPr>
        <w:spacing w:after="0" w:before="0" w:line="240"/>
        <w:ind w:left="0" w:right="0"/>
        <w:jc w:val="both"/>
      </w:pPr>
      <w:r>
        <w:rPr>
          <w:rFonts w:ascii="Calibri" w:cs="Calibri" w:eastAsia="Calibri" w:hAnsi="Calibri"/>
          <w:b w:val="false"/>
          <w:bCs w:val="false"/>
          <w:color w:val="000000"/>
          <w:sz w:val="28"/>
          <w:szCs w:val="28"/>
        </w:rPr>
        <w:t xml:space="preserve">Rights and duties of Data Principal (Sections 11–15 explained in detail with illustrations)</w:t>
      </w:r>
    </w:p>
    <w:p>
      <w:pPr>
        <w:spacing w:after="0" w:before="0" w:line="240"/>
        <w:ind w:left="0" w:right="0"/>
        <w:jc w:val="both"/>
      </w:pPr>
      <w:r>
        <w:rPr>
          <w:rFonts w:ascii="Calibri" w:cs="Calibri" w:eastAsia="Calibri" w:hAnsi="Calibri"/>
          <w:b w:val="false"/>
          <w:bCs w:val="false"/>
          <w:color w:val="000000"/>
          <w:sz w:val="28"/>
          <w:szCs w:val="28"/>
        </w:rPr>
        <w:t xml:space="preserve">Quick summary in tabular format</w:t>
      </w:r>
    </w:p>
    <w:p>
      <w:pPr>
        <w:spacing w:after="0" w:before="0" w:line="240"/>
        <w:ind w:left="0" w:right="0"/>
        <w:jc w:val="both"/>
      </w:pPr>
      <w:r>
        <w:rPr>
          <w:rFonts w:ascii="Calibri" w:cs="Calibri" w:eastAsia="Calibri" w:hAnsi="Calibri"/>
          <w:b w:val="false"/>
          <w:bCs w:val="false"/>
          <w:color w:val="000000"/>
          <w:sz w:val="28"/>
          <w:szCs w:val="28"/>
        </w:rPr>
        <w:t xml:space="preserve">Relevant case laws</w:t>
      </w:r>
    </w:p>
    <w:p>
      <w:pPr>
        <w:spacing w:after="0" w:before="0" w:line="240"/>
        <w:ind w:left="0" w:right="0"/>
        <w:jc w:val="both"/>
      </w:pPr>
      <w:r>
        <w:rPr>
          <w:rFonts w:ascii="Calibri" w:cs="Calibri" w:eastAsia="Calibri" w:hAnsi="Calibri"/>
          <w:b w:val="false"/>
          <w:bCs w:val="false"/>
          <w:color w:val="000000"/>
          <w:sz w:val="28"/>
          <w:szCs w:val="28"/>
        </w:rPr>
        <w:t xml:space="preserve">Conclusion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1. Introduction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development of digital technology has changed the relationship between individuals and organisations. Individuals continuously provide their personal information for banking, healthcare, education, social networking, e-commerce and government services. Extensive use of personal data creates concerns relating to loss of privacy, misuse of personal information, identity theft, unauthorised profiling and digital surveillance. To protect individuals and provide them greater control over their personal information, the Digital Personal Data Protection Act, 2023 recognises specific rights of individuals.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Under the Act, individuals whose personal data is processed are known as Data Principals under Section 2(j). A Data Principal means the individual to whom the personal data relates. The definition includes parents or lawful guardians acting for children and lawful guardians acting for persons with disability.</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2. Rights and duties of Data Principal (Sections 11–15 explained in detail with illustrations)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11 – Right to access information about personal data</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11(1): The Data Principal shall have the right to obtain from the Data Fiduciary to whom she has previously given consent, upon making to it a request in such manner as may be prescribed —</w:t>
      </w:r>
    </w:p>
    <w:p>
      <w:pPr>
        <w:spacing w:after="0" w:before="0" w:line="240"/>
        <w:ind w:left="0"/>
      </w:pPr>
      <w:r>
        <w:rPr>
          <w:rFonts w:ascii="Calibri" w:cs="Calibri" w:eastAsia="Calibri" w:hAnsi="Calibri"/>
          <w:color w:val="000000"/>
          <w:sz w:val="28"/>
          <w:szCs w:val="28"/>
        </w:rPr>
        <w:t xml:space="preserve">(a) a summary of personal data which is being processed by such Data Fiduciary and the processing activities undertaken by that Data Fiduciary with respect to such personal data;</w:t>
      </w:r>
    </w:p>
    <w:p>
      <w:pPr>
        <w:spacing w:after="0" w:before="0" w:line="240"/>
        <w:ind w:left="0"/>
      </w:pPr>
      <w:r>
        <w:rPr>
          <w:rFonts w:ascii="Calibri" w:cs="Calibri" w:eastAsia="Calibri" w:hAnsi="Calibri"/>
          <w:color w:val="000000"/>
          <w:sz w:val="28"/>
          <w:szCs w:val="28"/>
        </w:rPr>
        <w:t xml:space="preserve">(b) the identities of all other Data Fiduciaries and Data Processors with whom the personal data has been shared by such Data Fiduciary, along with a description of the personal data so shared; and</w:t>
      </w:r>
    </w:p>
    <w:p>
      <w:pPr>
        <w:spacing w:after="0" w:before="0" w:line="240"/>
        <w:ind w:left="0"/>
      </w:pPr>
      <w:r>
        <w:rPr>
          <w:rFonts w:ascii="Calibri" w:cs="Calibri" w:eastAsia="Calibri" w:hAnsi="Calibri"/>
          <w:color w:val="000000"/>
          <w:sz w:val="28"/>
          <w:szCs w:val="28"/>
        </w:rPr>
        <w:t xml:space="preserve">(c) any other information related to the personal data of such Data Principal and its processing, as may be prescribed.</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11 gives individuals the right to know what personal data is held about them, how it is being processed and with whom it has been shared. This right creates transparency and enables individuals to verify that their data is being used correctly. A person using an online shopping application can request details of what information the company stores and who else has received it. This discourages hidden data processing and encourages responsible data handling.</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12 – Right to correction and erasure of personal data</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12(1): A Data Principal shall have the right to correction, completion, updating and erasure of her personal data for the processing of which she has previously given consent, in accordance with any requirement or procedure under any law for the time being in force.</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12(2): A Data Fiduciary shall, upon receiving a request for correction, completion or updating from a Data Principal — (a) correct the inaccurate or misleading personal data; (b) complete the incomplete personal data; and (c) update the personal data.</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12(3): A Data Principal shall make a request in such manner as may be prescribed to the Data Fiduciary for erasure of her personal data, and upon receipt of such a request, the Data Fiduciary shall erase her personal data unless retention of the same is necessary for the specified purpose or for compliance with any law for the time being in force.</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12 provides control over accuracy and retention of personal information. A customer can request correction of a wrong address held by a bank. A user who closes an online account can request deletion of unnecessary personal information. The erasure right is limited: a Data Fiduciary may retain data if its continued retention is necessary for the original purpose or required by law. This prevents misuse of erasure requests to interfere with legitimate ongoing obligations.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13 – Right of grievance redressal</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13(1): A Data Principal shall have the right to have readily available means of grievance redressal provided by a Data Fiduciary or Consent Manager in respect of any act or omission of such Data Fiduciary or Consent Manager regarding the performance of its obligations in relation to the personal data of such Data Principal or the exercise of her rights under the provisions of this Act.</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13(2): The Data Fiduciary or Consent Manager shall respond to any grievances referred to in sub-section (1) within such period as may be prescribed.</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13(3): The Data Principal shall exhaust the opportunity of redressing her grievance under this section before approaching the Board.</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13 ensures that individuals have a practical mechanism to resolve disputes with data fiduciaries without immediately approaching the Board. If a company ignores a request to correct personal information, the individual can raise a formal grievance. The obligation to exhaust internal remedies before going to the Board prevents the Board from being burdened with disputes that could be resolved at the organisational level.</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14 – Right to nominate</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14(1): A Data Principal shall have the right to nominate, in such manner as may be prescribed, any other individual, who shall, in the event of death or incapacity of the Data Principal, exercise the rights of the Data Principal in accordance with the provisions of this Act.</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14(2): For the purposes of this section, the expression "incapacity" means inability to exercise the rights of the Data Principal under the provisions of this Act or the rules made thereunder due to unsoundness of mind or infirmity of body.</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14 introduces a novel digital succession mechanism. Recognising that data rights do not expire with the individual, the provision allows a person to designate a nominee who can exercise data rights on their behalf after death or incapacity. This prevents digital assets and personal data from being stranded without an authorised representative, a practical concern in an age where individuals have extensive digital footprints.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15 – Duties of Data Principal</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15: A Data Principal shall perform the following duties, namely —</w:t>
      </w:r>
    </w:p>
    <w:p>
      <w:pPr>
        <w:spacing w:after="0" w:before="0" w:line="240"/>
        <w:ind w:left="0"/>
      </w:pPr>
      <w:r>
        <w:rPr>
          <w:rFonts w:ascii="Calibri" w:cs="Calibri" w:eastAsia="Calibri" w:hAnsi="Calibri"/>
          <w:color w:val="000000"/>
          <w:sz w:val="28"/>
          <w:szCs w:val="28"/>
        </w:rPr>
        <w:t xml:space="preserve">(a) comply with the provisions of all applicable laws for the time being in force while exercising rights under the provisions of this Act;</w:t>
      </w:r>
    </w:p>
    <w:p>
      <w:pPr>
        <w:spacing w:after="0" w:before="0" w:line="240"/>
        <w:ind w:left="0"/>
      </w:pPr>
      <w:r>
        <w:rPr>
          <w:rFonts w:ascii="Calibri" w:cs="Calibri" w:eastAsia="Calibri" w:hAnsi="Calibri"/>
          <w:color w:val="000000"/>
          <w:sz w:val="28"/>
          <w:szCs w:val="28"/>
        </w:rPr>
        <w:t xml:space="preserve">(b) to ensure not to impersonate another person while providing her personal data for a specified purpose;</w:t>
      </w:r>
    </w:p>
    <w:p>
      <w:pPr>
        <w:spacing w:after="0" w:before="0" w:line="240"/>
        <w:ind w:left="0"/>
      </w:pPr>
      <w:r>
        <w:rPr>
          <w:rFonts w:ascii="Calibri" w:cs="Calibri" w:eastAsia="Calibri" w:hAnsi="Calibri"/>
          <w:color w:val="000000"/>
          <w:sz w:val="28"/>
          <w:szCs w:val="28"/>
        </w:rPr>
        <w:t xml:space="preserve">(c) to ensure not to suppress any material information while providing her personal data for any document, unique identifier, proof of identity or proof of address issued by the State;</w:t>
      </w:r>
    </w:p>
    <w:p>
      <w:pPr>
        <w:spacing w:after="0" w:before="0" w:line="240"/>
        <w:ind w:left="0"/>
      </w:pPr>
      <w:r>
        <w:rPr>
          <w:rFonts w:ascii="Calibri" w:cs="Calibri" w:eastAsia="Calibri" w:hAnsi="Calibri"/>
          <w:color w:val="000000"/>
          <w:sz w:val="28"/>
          <w:szCs w:val="28"/>
        </w:rPr>
        <w:t xml:space="preserve">(d) to ensure not to register a false or frivolous grievance or complaint with a Data Fiduciary or the Board; and</w:t>
      </w:r>
    </w:p>
    <w:p>
      <w:pPr>
        <w:spacing w:after="0" w:before="0" w:line="240"/>
        <w:ind w:left="0"/>
      </w:pPr>
      <w:r>
        <w:rPr>
          <w:rFonts w:ascii="Calibri" w:cs="Calibri" w:eastAsia="Calibri" w:hAnsi="Calibri"/>
          <w:color w:val="000000"/>
          <w:sz w:val="28"/>
          <w:szCs w:val="28"/>
        </w:rPr>
        <w:t xml:space="preserve">(e) to furnish only such information as is verifiably authentic, while exercising the right to correction or erasure.</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15 establishes that rights carry corresponding responsibilities. A Data Principal must provide genuine information, avoid impersonating others, not suppress material information in official processes and refrain from filing false or frivolous complaints. This prevents abuse of the data protection framework. The Act thus creates a balanced relationship: organisations must respect individuals' data, and individuals must exercise their rights honestly.</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Relationship between rights and duties</w:t>
      </w:r>
    </w:p>
    <w:p>
      <w:pPr>
        <w:spacing w:after="0" w:before="0" w:line="240"/>
      </w:pPr>
      <w:r>
        <w:rPr>
          <w:rFonts w:ascii="Calibri" w:cs="Calibri" w:eastAsia="Calibri" w:hAnsi="Calibri"/>
          <w:sz w:val="28"/>
          <w:szCs w:val="28"/>
        </w:rPr>
        <w:t xml:space="preserve"/>
      </w:r>
    </w:p>
    <w:tbl>
      <w:tblPr>
        <w:tblW w:type="dxa" w:w="830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Rights (Sections 11–14)</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Duties (Section 15)</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Access information about personal data</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Provide genuine information</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Correct inaccurate data</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Avoid impersonating others</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Erase unnecessary data</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Follow legal obligations</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Grievance redressal mechanism</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Avoid false or frivolous complaints</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Nominate another person for death or incapacity</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Act responsibly in all proceedings</w:t>
            </w:r>
          </w:p>
        </w:tc>
      </w:tr>
    </w:tbl>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3. Quick summary in tabular format</w:t>
      </w:r>
    </w:p>
    <w:p>
      <w:pPr>
        <w:spacing w:after="0" w:before="0" w:line="240"/>
      </w:pPr>
      <w:r>
        <w:rPr>
          <w:rFonts w:ascii="Calibri" w:cs="Calibri" w:eastAsia="Calibri" w:hAnsi="Calibri"/>
          <w:sz w:val="28"/>
          <w:szCs w:val="28"/>
        </w:rPr>
        <w:t xml:space="preserve"/>
      </w:r>
    </w:p>
    <w:tbl>
      <w:tblPr>
        <w:tblW w:type="dxa" w:w="830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079"/>
        <w:gridCol w:w="2907"/>
        <w:gridCol w:w="4320"/>
      </w:tblGrid>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Provision</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Detailed explanation</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11</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Right to access information about personal data</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Gives the Data Principal the right to obtain a summary of personal data being processed, details of sharing and any other prescribed information. Promotes transparency and accountability.</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12</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Right to correction and erasure of personal data</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Allows the Data Principal to correct inaccurate information, complete incomplete data, update personal data and request deletion when retention is no longer necessary.</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13</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Right of grievance redressal</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Provides the Data Principal with a readily available internal complaint mechanism against misuse or improper processing of personal data. Board approach requires exhaustion of internal remedy first.</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14</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Right to nominate</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Allows a Data Principal to nominate another person to exercise data rights in case of death or incapacity.</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15</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Duties of Data Principal</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Requires compliance with law, provision of authentic information, avoidance of false complaints and responsible exercise of rights.</w:t>
            </w:r>
          </w:p>
        </w:tc>
      </w:tr>
    </w:tbl>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4. Relevant case laws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Justice K.S. Puttaswamy (Retd.) v. Union of India</w:t>
      </w:r>
    </w:p>
    <w:p>
      <w:pPr>
        <w:spacing w:after="0" w:before="0" w:line="240"/>
        <w:ind w:left="0" w:right="0"/>
        <w:jc w:val="both"/>
      </w:pPr>
      <w:r>
        <w:rPr>
          <w:rFonts w:ascii="Calibri" w:cs="Calibri" w:eastAsia="Calibri" w:hAnsi="Calibri"/>
          <w:b w:val="false"/>
          <w:bCs w:val="false"/>
          <w:color w:val="000000"/>
          <w:sz w:val="28"/>
          <w:szCs w:val="28"/>
        </w:rPr>
        <w:t xml:space="preserve">Citation: (2017) 10 SCC 1</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A nine-judge bench of the Supreme Court examined whether the Constitution of India recognises a fundamental right to privacy, the matter arising out of challenges to large-scale collection and use of personal information.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privacy is a fundamental right.</w:t>
      </w:r>
    </w:p>
    <w:p>
      <w:pPr>
        <w:spacing w:after="0" w:before="0" w:line="240"/>
        <w:ind w:left="0" w:right="0"/>
        <w:jc w:val="both"/>
      </w:pPr>
      <w:r>
        <w:rPr>
          <w:rFonts w:ascii="Calibri" w:cs="Calibri" w:eastAsia="Calibri" w:hAnsi="Calibri"/>
          <w:b w:val="false"/>
          <w:bCs w:val="false"/>
          <w:color w:val="000000"/>
          <w:sz w:val="28"/>
          <w:szCs w:val="28"/>
        </w:rPr>
        <w:t xml:space="preserve">Whether individuals have control over their personal information.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unanimously held that the right to privacy is a fundamental right under Article 21 of the Constitution of India. The Court recognised informational privacy, holding that individuals must have control over personal information. This judgment is the constitutional foundation for the rights of Data Principals under the DPDP Act, 2023.</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R. Rajagopal v. State of Tamil Nadu</w:t>
      </w:r>
    </w:p>
    <w:p>
      <w:pPr>
        <w:spacing w:after="0" w:before="0" w:line="240"/>
        <w:ind w:left="0" w:right="0"/>
        <w:jc w:val="both"/>
      </w:pPr>
      <w:r>
        <w:rPr>
          <w:rFonts w:ascii="Calibri" w:cs="Calibri" w:eastAsia="Calibri" w:hAnsi="Calibri"/>
          <w:b w:val="false"/>
          <w:bCs w:val="false"/>
          <w:color w:val="000000"/>
          <w:sz w:val="28"/>
          <w:szCs w:val="28"/>
        </w:rPr>
        <w:t xml:space="preserve">Citation: (1994) 6 SCC 632</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case involved publication of personal information about the petitioner without consent.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a person has a right to prevent unauthorised publication or use of personal details.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recognised the right to be let alone as part of the right to privacy. A person has control over private information and unauthorised publication of personal matters may violate this right. The decision supports the modern concept of individual control over personal data that runs through Sections 11 to 14.</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Google Spain SL v. Agencia Española de Protección de Datos</w:t>
      </w:r>
    </w:p>
    <w:p>
      <w:pPr>
        <w:spacing w:after="0" w:before="0" w:line="240"/>
        <w:ind w:left="0" w:right="0"/>
        <w:jc w:val="both"/>
      </w:pPr>
      <w:r>
        <w:rPr>
          <w:rFonts w:ascii="Calibri" w:cs="Calibri" w:eastAsia="Calibri" w:hAnsi="Calibri"/>
          <w:b w:val="false"/>
          <w:bCs w:val="false"/>
          <w:color w:val="000000"/>
          <w:sz w:val="28"/>
          <w:szCs w:val="28"/>
        </w:rPr>
        <w:t xml:space="preserve">Citation: CJEU, Case C-131/12 (2014)</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A person requested removal of old personal information appearing in search engine results that was outdated and irrelevant.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individuals have the right to control continued availability of their personal data online.</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Court of Justice of the European Union recognised the right to be forgotten, holding that individuals may seek removal of certain personal information from search results in appropriate circumstances. The decision has influenced global data protection principles and supports the concepts of correction, erasure and control over data embedded in Sections 11 and 12 of the DPDP Act.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Subhranshu Rout v. State of Odisha</w:t>
      </w:r>
    </w:p>
    <w:p>
      <w:pPr>
        <w:spacing w:after="0" w:before="0" w:line="240"/>
        <w:ind w:left="0" w:right="0"/>
        <w:jc w:val="both"/>
      </w:pPr>
      <w:r>
        <w:rPr>
          <w:rFonts w:ascii="Calibri" w:cs="Calibri" w:eastAsia="Calibri" w:hAnsi="Calibri"/>
          <w:b w:val="false"/>
          <w:bCs w:val="false"/>
          <w:color w:val="000000"/>
          <w:sz w:val="28"/>
          <w:szCs w:val="28"/>
        </w:rPr>
        <w:t xml:space="preserve">Citation: 2020 SCC OnLine Ori 878</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case involved circulation of private images through digital platforms without the consent of the person concerned.</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misuse of personal digital information violates privacy.</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Orissa High Court recognised that privacy extends into digital spaces and that protection of personal information is essential. Unauthorised digital disclosure violates dignity and privacy. The decision highlights the importance of the right to control personal information that is given legal force through Sections 11 to 15 of the DPDP Act.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5. Conclusion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rights and duties of Data Principals under Sections 11 to 15 of the Digital Personal Data Protection Act, 2023 represent a significant step towards protecting individual privacy in India's digital age. The Act recognises that individuals should not lose control over their personal information merely because they participate in digital services. Sections 11 to 14 provide the right to access information, the right to correction and erasure, the right to grievance redressal and the right to nominate a representative. Section 15 correspondingly creates duties requiring responsible behaviour. Judicial decisions including Justice K.S. Puttaswamy v. Union of India, R. Rajagopal v. State of Tamil Nadu and Subhranshu Rout v. State of Odisha confirm that control over personal information is an essential component of privacy and dignity. The Act creates a balanced relationship between Data Principals and Data Fiduciaries, ensuring privacy protection, responsible data use, accountability and trust in the digital ecosystem.</w:t>
      </w:r>
    </w:p>
    <w:p>
      <w:pPr>
        <w:spacing w:after="0" w:before="0" w:line="240"/>
      </w:pPr>
      <w:r>
        <w:rPr>
          <w:rFonts w:ascii="Calibri" w:cs="Calibri" w:eastAsia="Calibri" w:hAnsi="Calibri"/>
          <w:sz w:val="28"/>
          <w:szCs w:val="28"/>
        </w:rPr>
        <w:t xml:space="preserve"/>
      </w:r>
    </w:p>
    <w:p>
      <w:r>
        <w:br w:type="page"/>
      </w:r>
    </w:p>
    <w:p>
      <w:pPr>
        <w:spacing w:after="0" w:before="0" w:line="240"/>
        <w:ind w:left="0" w:right="0"/>
        <w:jc w:val="both"/>
      </w:pPr>
      <w:r>
        <w:rPr>
          <w:rFonts w:ascii="Calibri" w:cs="Calibri" w:eastAsia="Calibri" w:hAnsi="Calibri"/>
          <w:b/>
          <w:bCs/>
          <w:color w:val="000000"/>
          <w:sz w:val="28"/>
          <w:szCs w:val="28"/>
        </w:rPr>
        <w:t xml:space="preserve">Chapter IV</w:t>
      </w:r>
    </w:p>
    <w:p>
      <w:pPr>
        <w:spacing w:after="0" w:before="0" w:line="240"/>
        <w:ind w:left="0" w:right="0"/>
        <w:jc w:val="both"/>
      </w:pPr>
      <w:r>
        <w:rPr>
          <w:rFonts w:ascii="Calibri" w:cs="Calibri" w:eastAsia="Calibri" w:hAnsi="Calibri"/>
          <w:b/>
          <w:bCs/>
          <w:color w:val="000000"/>
          <w:sz w:val="28"/>
          <w:szCs w:val="28"/>
        </w:rPr>
        <w:t xml:space="preserve">Special provisions under the Digital Personal Data Protection Act, 2023 (Sections 16–17)</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Synopsis</w:t>
      </w:r>
    </w:p>
    <w:p>
      <w:pPr>
        <w:spacing w:after="0" w:before="0" w:line="240"/>
        <w:ind w:left="0" w:right="0"/>
        <w:jc w:val="both"/>
      </w:pPr>
      <w:r>
        <w:rPr>
          <w:rFonts w:ascii="Calibri" w:cs="Calibri" w:eastAsia="Calibri" w:hAnsi="Calibri"/>
          <w:b w:val="false"/>
          <w:bCs w:val="false"/>
          <w:color w:val="000000"/>
          <w:sz w:val="28"/>
          <w:szCs w:val="28"/>
        </w:rPr>
        <w:t xml:space="preserve">Introduction</w:t>
      </w:r>
    </w:p>
    <w:p>
      <w:pPr>
        <w:spacing w:after="0" w:before="0" w:line="240"/>
        <w:ind w:left="0" w:right="0"/>
        <w:jc w:val="both"/>
      </w:pPr>
      <w:r>
        <w:rPr>
          <w:rFonts w:ascii="Calibri" w:cs="Calibri" w:eastAsia="Calibri" w:hAnsi="Calibri"/>
          <w:b w:val="false"/>
          <w:bCs w:val="false"/>
          <w:color w:val="000000"/>
          <w:sz w:val="28"/>
          <w:szCs w:val="28"/>
        </w:rPr>
        <w:t xml:space="preserve">Special provisions (Sections 16–17 explained in detail with illustrations)</w:t>
      </w:r>
    </w:p>
    <w:p>
      <w:pPr>
        <w:spacing w:after="0" w:before="0" w:line="240"/>
        <w:ind w:left="0" w:right="0"/>
        <w:jc w:val="both"/>
      </w:pPr>
      <w:r>
        <w:rPr>
          <w:rFonts w:ascii="Calibri" w:cs="Calibri" w:eastAsia="Calibri" w:hAnsi="Calibri"/>
          <w:b w:val="false"/>
          <w:bCs w:val="false"/>
          <w:color w:val="000000"/>
          <w:sz w:val="28"/>
          <w:szCs w:val="28"/>
        </w:rPr>
        <w:t xml:space="preserve">Quick summary in tabular format</w:t>
      </w:r>
    </w:p>
    <w:p>
      <w:pPr>
        <w:spacing w:after="0" w:before="0" w:line="240"/>
        <w:ind w:left="0" w:right="0"/>
        <w:jc w:val="both"/>
      </w:pPr>
      <w:r>
        <w:rPr>
          <w:rFonts w:ascii="Calibri" w:cs="Calibri" w:eastAsia="Calibri" w:hAnsi="Calibri"/>
          <w:b w:val="false"/>
          <w:bCs w:val="false"/>
          <w:color w:val="000000"/>
          <w:sz w:val="28"/>
          <w:szCs w:val="28"/>
        </w:rPr>
        <w:t xml:space="preserve">Relevant case laws</w:t>
      </w:r>
    </w:p>
    <w:p>
      <w:pPr>
        <w:spacing w:after="0" w:before="0" w:line="240"/>
        <w:ind w:left="0" w:right="0"/>
        <w:jc w:val="both"/>
      </w:pPr>
      <w:r>
        <w:rPr>
          <w:rFonts w:ascii="Calibri" w:cs="Calibri" w:eastAsia="Calibri" w:hAnsi="Calibri"/>
          <w:b w:val="false"/>
          <w:bCs w:val="false"/>
          <w:color w:val="000000"/>
          <w:sz w:val="28"/>
          <w:szCs w:val="28"/>
        </w:rPr>
        <w:t xml:space="preserve">Conclusion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1. Introduction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While the Digital Personal Data Protection Act, 2023 establishes comprehensive rights and obligations, certain situations require separate treatment. International business, government security functions, judicial proceedings, law enforcement and research activities cannot always follow the same rules as ordinary commercial data processing. The Act therefore contains special provisions under Sections 16 and 17 to address cross-border data transfers and exemptions from certain requirements. These provisions ensure that the Act remains flexible and practical without compromising its fundamental commitment to privacy.</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2. Special provisions (Sections 16–17 explained in detail with illustrations)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16 – Processing of personal data outside India</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16(1): The Central Government may, by notification, restrict the transfer of personal data by a Data Fiduciary for processing to such country or territory outside India as may be so notified.</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16(2): Nothing contained in this section shall restrict the applicability of any law for the time being in force in India that provides for a higher degree of protection for or restriction on transfer of personal data by a Data Fiduciary outside India in relation to any personal data or Data Fiduciary or class thereof.</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16 deals with cross-border transfer of personal data. In the modern digital economy, companies routinely store and process data on cloud servers in different countries. The Act generally permits such transfers but gives the Central Government the power to restrict transfers to specific countries where adequate protection is absent or where national security concerns arise. This balances the practical requirements of global digital commerce with the need to protect Indian citizens' data from jurisdictions that may not provide equivalent safeguards. Other laws providing higher protection continue to apply.</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17 – Exemptions</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17(1): The provisions of Chapter II, except sub-sections (1) and (5) of section 8, and those of Chapter III and section 16 shall not apply where —</w:t>
      </w:r>
    </w:p>
    <w:p>
      <w:pPr>
        <w:spacing w:after="0" w:before="0" w:line="240"/>
        <w:ind w:left="0"/>
      </w:pPr>
      <w:r>
        <w:rPr>
          <w:rFonts w:ascii="Calibri" w:cs="Calibri" w:eastAsia="Calibri" w:hAnsi="Calibri"/>
          <w:color w:val="000000"/>
          <w:sz w:val="28"/>
          <w:szCs w:val="28"/>
        </w:rPr>
        <w:t xml:space="preserve">(a) the processing of personal data is necessary for enforcing any legal right or claim;</w:t>
      </w:r>
    </w:p>
    <w:p>
      <w:pPr>
        <w:spacing w:after="0" w:before="0" w:line="240"/>
        <w:ind w:left="0"/>
      </w:pPr>
      <w:r>
        <w:rPr>
          <w:rFonts w:ascii="Calibri" w:cs="Calibri" w:eastAsia="Calibri" w:hAnsi="Calibri"/>
          <w:color w:val="000000"/>
          <w:sz w:val="28"/>
          <w:szCs w:val="28"/>
        </w:rPr>
        <w:t xml:space="preserve">(b) the processing of personal data by any court or tribunal or any other body in India which is entrusted by law with the performance of any judicial or quasi-judicial or regulatory or supervisory function, where such processing is necessary for the performance of such function;</w:t>
      </w:r>
    </w:p>
    <w:p>
      <w:pPr>
        <w:spacing w:after="0" w:before="0" w:line="240"/>
        <w:ind w:left="0"/>
      </w:pPr>
      <w:r>
        <w:rPr>
          <w:rFonts w:ascii="Calibri" w:cs="Calibri" w:eastAsia="Calibri" w:hAnsi="Calibri"/>
          <w:color w:val="000000"/>
          <w:sz w:val="28"/>
          <w:szCs w:val="28"/>
        </w:rPr>
        <w:t xml:space="preserve">(c) personal data is processed in the interest of prevention, detection, investigation or prosecution of any offence or contravention of any law for the time being in force in India;</w:t>
      </w:r>
    </w:p>
    <w:p>
      <w:pPr>
        <w:spacing w:after="0" w:before="0" w:line="240"/>
        <w:ind w:left="0"/>
      </w:pPr>
      <w:r>
        <w:rPr>
          <w:rFonts w:ascii="Calibri" w:cs="Calibri" w:eastAsia="Calibri" w:hAnsi="Calibri"/>
          <w:color w:val="000000"/>
          <w:sz w:val="28"/>
          <w:szCs w:val="28"/>
        </w:rPr>
        <w:t xml:space="preserve">(d) personal data of Data Principals not within the territory of India is processed pursuant to any contract entered into with any person outside the territory of India by any person based in India;</w:t>
      </w:r>
    </w:p>
    <w:p>
      <w:pPr>
        <w:spacing w:after="0" w:before="0" w:line="240"/>
        <w:ind w:left="0"/>
      </w:pPr>
      <w:r>
        <w:rPr>
          <w:rFonts w:ascii="Calibri" w:cs="Calibri" w:eastAsia="Calibri" w:hAnsi="Calibri"/>
          <w:color w:val="000000"/>
          <w:sz w:val="28"/>
          <w:szCs w:val="28"/>
        </w:rPr>
        <w:t xml:space="preserve">(e) the processing is necessary for a scheme of compromise or arrangement or merger or amalgamation of two or more companies, approved by a court or tribunal;</w:t>
      </w:r>
    </w:p>
    <w:p>
      <w:pPr>
        <w:spacing w:after="0" w:before="0" w:line="240"/>
        <w:ind w:left="0"/>
      </w:pPr>
      <w:r>
        <w:rPr>
          <w:rFonts w:ascii="Calibri" w:cs="Calibri" w:eastAsia="Calibri" w:hAnsi="Calibri"/>
          <w:color w:val="000000"/>
          <w:sz w:val="28"/>
          <w:szCs w:val="28"/>
        </w:rPr>
        <w:t xml:space="preserve">(f) the processing is for the purpose of ascertaining the financial information and assets and liabilities of any person who has defaulted in payment due on account of a loan or advance taken from a financial institution.</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17(2): The provisions of this Act shall not apply in respect of the processing of personal data —</w:t>
      </w:r>
    </w:p>
    <w:p>
      <w:pPr>
        <w:spacing w:after="0" w:before="0" w:line="240"/>
        <w:ind w:left="0"/>
      </w:pPr>
      <w:r>
        <w:rPr>
          <w:rFonts w:ascii="Calibri" w:cs="Calibri" w:eastAsia="Calibri" w:hAnsi="Calibri"/>
          <w:color w:val="000000"/>
          <w:sz w:val="28"/>
          <w:szCs w:val="28"/>
        </w:rPr>
        <w:t xml:space="preserve">(a) by such instrumentality of the State as the Central Government may notify, in the interests of sovereignty and integrity of India, security of the State, friendly relations with foreign States, maintenance of public order or preventing incitement to any cognizable offence; and</w:t>
      </w:r>
    </w:p>
    <w:p>
      <w:pPr>
        <w:spacing w:after="0" w:before="0" w:line="240"/>
        <w:ind w:left="0"/>
      </w:pPr>
      <w:r>
        <w:rPr>
          <w:rFonts w:ascii="Calibri" w:cs="Calibri" w:eastAsia="Calibri" w:hAnsi="Calibri"/>
          <w:color w:val="000000"/>
          <w:sz w:val="28"/>
          <w:szCs w:val="28"/>
        </w:rPr>
        <w:t xml:space="preserve">(b) necessary for research, archiving or statistical purposes if the personal data is not to be used to take any decision specific to a Data Principal and such processing is carried on in accordance with such standards as may be prescribed.</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17 provides carefully bounded exemptions. The Act's general obligations of notice, consent and data principal rights do not apply when their strict implementation would defeat important public purposes. Courts examining digital evidence, police investigating cyber fraud, banks recovering defaulted loans and companies merging under court approval must be able to process personal data without being impeded by consent requirements. Government security agencies protecting national sovereignty are additionally exempted under Section 17(2). Exemptions are narrow in scope: Section 8(1) and 8(5) relating to general responsibility and security safeguards continue to apply regardless, ensuring that even exempted processing must maintain basic security standards.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Comparative overview of Sections 16 and 17</w:t>
      </w:r>
    </w:p>
    <w:p>
      <w:pPr>
        <w:spacing w:after="0" w:before="0" w:line="240"/>
      </w:pPr>
      <w:r>
        <w:rPr>
          <w:rFonts w:ascii="Calibri" w:cs="Calibri" w:eastAsia="Calibri" w:hAnsi="Calibri"/>
          <w:sz w:val="28"/>
          <w:szCs w:val="28"/>
        </w:rPr>
        <w:t xml:space="preserve"/>
      </w:r>
    </w:p>
    <w:tbl>
      <w:tblPr>
        <w:tblW w:type="dxa" w:w="830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 16</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 17</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Deals with transfer of personal data outside India</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Deals with exemptions from certain provisions within India</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Government may restrict transfer to specified countries</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Certain obligations do not apply in specified circumstances</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Applies to cross-border data flows</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Applies to judicial, law enforcement and national security functions</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Reflects concern for international data protection standards</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Reflects practical needs of justice, security and governance</w:t>
            </w:r>
          </w:p>
        </w:tc>
      </w:tr>
    </w:tbl>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3. Quick summary in tabular format</w:t>
      </w:r>
    </w:p>
    <w:p>
      <w:pPr>
        <w:spacing w:after="0" w:before="0" w:line="240"/>
      </w:pPr>
      <w:r>
        <w:rPr>
          <w:rFonts w:ascii="Calibri" w:cs="Calibri" w:eastAsia="Calibri" w:hAnsi="Calibri"/>
          <w:sz w:val="28"/>
          <w:szCs w:val="28"/>
        </w:rPr>
        <w:t xml:space="preserve"/>
      </w:r>
    </w:p>
    <w:tbl>
      <w:tblPr>
        <w:tblW w:type="dxa" w:w="830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079"/>
        <w:gridCol w:w="2907"/>
        <w:gridCol w:w="4320"/>
      </w:tblGrid>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Provision</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Detailed explanation</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16</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Processing of personal data outside India</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The Central Government may restrict transfer of personal data to specified countries or territories. Transfers are generally permitted unless restricted by notification.</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17</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Exemptions</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Certain provisions of the Act do not apply in situations such as judicial functions, law enforcement, national security, corporate transactions and research.</w:t>
            </w:r>
          </w:p>
        </w:tc>
      </w:tr>
    </w:tbl>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4. Relevant case laws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Justice K.S. Puttaswamy (Retd.) v. Union of India</w:t>
      </w:r>
    </w:p>
    <w:p>
      <w:pPr>
        <w:spacing w:after="0" w:before="0" w:line="240"/>
        <w:ind w:left="0" w:right="0"/>
        <w:jc w:val="both"/>
      </w:pPr>
      <w:r>
        <w:rPr>
          <w:rFonts w:ascii="Calibri" w:cs="Calibri" w:eastAsia="Calibri" w:hAnsi="Calibri"/>
          <w:b w:val="false"/>
          <w:bCs w:val="false"/>
          <w:color w:val="000000"/>
          <w:sz w:val="28"/>
          <w:szCs w:val="28"/>
        </w:rPr>
        <w:t xml:space="preserve">Citation: (2017) 10 SCC 1</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A nine-judge constitutional bench examined whether privacy is a fundamental right under the Constitution of India.</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privacy is a fundamental right.</w:t>
      </w:r>
    </w:p>
    <w:p>
      <w:pPr>
        <w:spacing w:after="0" w:before="0" w:line="240"/>
        <w:ind w:left="0" w:right="0"/>
        <w:jc w:val="both"/>
      </w:pPr>
      <w:r>
        <w:rPr>
          <w:rFonts w:ascii="Calibri" w:cs="Calibri" w:eastAsia="Calibri" w:hAnsi="Calibri"/>
          <w:b w:val="false"/>
          <w:bCs w:val="false"/>
          <w:color w:val="000000"/>
          <w:sz w:val="28"/>
          <w:szCs w:val="28"/>
        </w:rPr>
        <w:t xml:space="preserve">Whether the State can process personal information and what limitations apply.</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held that the right to privacy is a fundamental right under Article 21. Privacy is not absolute and restrictions are permissible if they satisfy legality, a legitimate State aim and proportionality. Section 17 exemptions must be interpreted in light of these principles: exemptions must be necessary and proportionate, not broad.</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Anuradha Bhasin v. Union of India</w:t>
      </w:r>
    </w:p>
    <w:p>
      <w:pPr>
        <w:spacing w:after="0" w:before="0" w:line="240"/>
        <w:ind w:left="0" w:right="0"/>
        <w:jc w:val="both"/>
      </w:pPr>
      <w:r>
        <w:rPr>
          <w:rFonts w:ascii="Calibri" w:cs="Calibri" w:eastAsia="Calibri" w:hAnsi="Calibri"/>
          <w:b w:val="false"/>
          <w:bCs w:val="false"/>
          <w:color w:val="000000"/>
          <w:sz w:val="28"/>
          <w:szCs w:val="28"/>
        </w:rPr>
        <w:t xml:space="preserve">Citation: (2020) 3 SCC 637</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Internet restrictions imposed in Jammu and Kashmir were challenged as affecting fundamental rights including the right to access information and to carry on business.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government restrictions on digital communication require legal safeguards.</w:t>
      </w:r>
    </w:p>
    <w:p>
      <w:pPr>
        <w:spacing w:after="0" w:before="0" w:line="240"/>
        <w:ind w:left="0" w:right="0"/>
        <w:jc w:val="both"/>
      </w:pPr>
      <w:r>
        <w:rPr>
          <w:rFonts w:ascii="Calibri" w:cs="Calibri" w:eastAsia="Calibri" w:hAnsi="Calibri"/>
          <w:b w:val="false"/>
          <w:bCs w:val="false"/>
          <w:color w:val="000000"/>
          <w:sz w:val="28"/>
          <w:szCs w:val="28"/>
        </w:rPr>
        <w:t xml:space="preserve">Whether such restrictions must be necessary and proportionate.</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held that any government action affecting digital rights must satisfy reasonableness, necessity and proportionality. Restrictions must be temporary, justified and subject to review. The decision is directly relevant to Section 17(2) exemptions: government agencies claiming exemptions for security purposes must still exercise powers proportionately and not arbitrarily.</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People's Union for Civil Liberties v. Union of India</w:t>
      </w:r>
    </w:p>
    <w:p>
      <w:pPr>
        <w:spacing w:after="0" w:before="0" w:line="240"/>
        <w:ind w:left="0" w:right="0"/>
        <w:jc w:val="both"/>
      </w:pPr>
      <w:r>
        <w:rPr>
          <w:rFonts w:ascii="Calibri" w:cs="Calibri" w:eastAsia="Calibri" w:hAnsi="Calibri"/>
          <w:b w:val="false"/>
          <w:bCs w:val="false"/>
          <w:color w:val="000000"/>
          <w:sz w:val="28"/>
          <w:szCs w:val="28"/>
        </w:rPr>
        <w:t xml:space="preserve">Citation: (1997) 1 SCC 301</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case involved telephone interception by government authorities without adequate safeguards.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surveillance activities violate privacy.</w:t>
      </w:r>
    </w:p>
    <w:p>
      <w:pPr>
        <w:spacing w:after="0" w:before="0" w:line="240"/>
        <w:ind w:left="0" w:right="0"/>
        <w:jc w:val="both"/>
      </w:pPr>
      <w:r>
        <w:rPr>
          <w:rFonts w:ascii="Calibri" w:cs="Calibri" w:eastAsia="Calibri" w:hAnsi="Calibri"/>
          <w:b w:val="false"/>
          <w:bCs w:val="false"/>
          <w:color w:val="000000"/>
          <w:sz w:val="28"/>
          <w:szCs w:val="28"/>
        </w:rPr>
        <w:t xml:space="preserve">Whether legal safeguards are required before intercepting communications.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held that communication privacy is protected and surveillance requires legal authority and procedural safeguards. The Court issued guidelines to prevent arbitrary surveillance. This decision is relevant to the government exemptions under Section 17(2): security agencies cannot use the exemption as an open licence to collect data without legal authority.</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Internet and Mobile Association of India v. Reserve Bank of India</w:t>
      </w:r>
    </w:p>
    <w:p>
      <w:pPr>
        <w:spacing w:after="0" w:before="0" w:line="240"/>
        <w:ind w:left="0" w:right="0"/>
        <w:jc w:val="both"/>
      </w:pPr>
      <w:r>
        <w:rPr>
          <w:rFonts w:ascii="Calibri" w:cs="Calibri" w:eastAsia="Calibri" w:hAnsi="Calibri"/>
          <w:b w:val="false"/>
          <w:bCs w:val="false"/>
          <w:color w:val="000000"/>
          <w:sz w:val="28"/>
          <w:szCs w:val="28"/>
        </w:rPr>
        <w:t xml:space="preserve">Citation: (2020) 10 SCC 274</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Reserve Bank imposed restrictions affecting virtual currency activities, which were challenged as disproportionate.</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regulatory restrictions affecting digital activities must be proportionate.</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held that State regulation must satisfy the doctrine of proportionality. Restrictions that exceed what is necessary are invalid. The decision supports a balanced and proportionate exercise of the Central Government's power under Section 16 to restrict cross-border data transfers.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5. Conclusion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special provisions under Sections 16 and 17 of the Digital Personal Data Protection Act, 2023 provide necessary flexibility within India's data protection framework. Section 16 governs cross-border data flows, permitting international transfers while giving the Central Government power to restrict them where necessary. Section 17 grants bounded exemptions for judicial functions, law enforcement, national security and research, ensuring that data protection requirements do not impede the legitimate operations of the justice system and the State. Judgments including Justice K.S. Puttaswamy v. Union of India, Anuradha Bhasin v. Union of India and PUCL v. Union of India establish that all exemptions and restrictions must be exercised proportionately and with adequate legal safeguards. Sections 16 and 17 therefore ensure that the DPDP Act remains practical and effective by maintaining a careful balance between individual privacy, public interest, national security and the growth of India's digital economy.</w:t>
      </w:r>
    </w:p>
    <w:p>
      <w:pPr>
        <w:spacing w:after="0" w:before="0" w:line="240"/>
      </w:pPr>
      <w:r>
        <w:rPr>
          <w:rFonts w:ascii="Calibri" w:cs="Calibri" w:eastAsia="Calibri" w:hAnsi="Calibri"/>
          <w:sz w:val="28"/>
          <w:szCs w:val="28"/>
        </w:rPr>
        <w:t xml:space="preserve"/>
      </w:r>
    </w:p>
    <w:p>
      <w:r>
        <w:br w:type="page"/>
      </w:r>
    </w:p>
    <w:p>
      <w:pPr>
        <w:spacing w:after="0" w:before="0" w:line="240"/>
        <w:ind w:left="0" w:right="0"/>
        <w:jc w:val="both"/>
      </w:pPr>
      <w:r>
        <w:rPr>
          <w:rFonts w:ascii="Calibri" w:cs="Calibri" w:eastAsia="Calibri" w:hAnsi="Calibri"/>
          <w:b/>
          <w:bCs/>
          <w:color w:val="000000"/>
          <w:sz w:val="28"/>
          <w:szCs w:val="28"/>
        </w:rPr>
        <w:t xml:space="preserve">Chapter V</w:t>
      </w:r>
    </w:p>
    <w:p>
      <w:pPr>
        <w:spacing w:after="0" w:before="0" w:line="240"/>
        <w:ind w:left="0" w:right="0"/>
        <w:jc w:val="both"/>
      </w:pPr>
      <w:r>
        <w:rPr>
          <w:rFonts w:ascii="Calibri" w:cs="Calibri" w:eastAsia="Calibri" w:hAnsi="Calibri"/>
          <w:b/>
          <w:bCs/>
          <w:color w:val="000000"/>
          <w:sz w:val="28"/>
          <w:szCs w:val="28"/>
        </w:rPr>
        <w:t xml:space="preserve">Data Protection Board of India under the Digital Personal Data Protection Act, 2023 (Sections 18–26)</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Synopsis</w:t>
      </w:r>
    </w:p>
    <w:p>
      <w:pPr>
        <w:spacing w:after="0" w:before="0" w:line="240"/>
        <w:ind w:left="0" w:right="0"/>
        <w:jc w:val="both"/>
      </w:pPr>
      <w:r>
        <w:rPr>
          <w:rFonts w:ascii="Calibri" w:cs="Calibri" w:eastAsia="Calibri" w:hAnsi="Calibri"/>
          <w:b w:val="false"/>
          <w:bCs w:val="false"/>
          <w:color w:val="000000"/>
          <w:sz w:val="28"/>
          <w:szCs w:val="28"/>
        </w:rPr>
        <w:t xml:space="preserve">Introduction</w:t>
      </w:r>
    </w:p>
    <w:p>
      <w:pPr>
        <w:spacing w:after="0" w:before="0" w:line="240"/>
        <w:ind w:left="0" w:right="0"/>
        <w:jc w:val="both"/>
      </w:pPr>
      <w:r>
        <w:rPr>
          <w:rFonts w:ascii="Calibri" w:cs="Calibri" w:eastAsia="Calibri" w:hAnsi="Calibri"/>
          <w:b w:val="false"/>
          <w:bCs w:val="false"/>
          <w:color w:val="000000"/>
          <w:sz w:val="28"/>
          <w:szCs w:val="28"/>
        </w:rPr>
        <w:t xml:space="preserve">Data Protection Board of India (Sections 18–26 explained in detail with illustrations)</w:t>
      </w:r>
    </w:p>
    <w:p>
      <w:pPr>
        <w:spacing w:after="0" w:before="0" w:line="240"/>
        <w:ind w:left="0" w:right="0"/>
        <w:jc w:val="both"/>
      </w:pPr>
      <w:r>
        <w:rPr>
          <w:rFonts w:ascii="Calibri" w:cs="Calibri" w:eastAsia="Calibri" w:hAnsi="Calibri"/>
          <w:b w:val="false"/>
          <w:bCs w:val="false"/>
          <w:color w:val="000000"/>
          <w:sz w:val="28"/>
          <w:szCs w:val="28"/>
        </w:rPr>
        <w:t xml:space="preserve">Quick summary in tabular format</w:t>
      </w:r>
    </w:p>
    <w:p>
      <w:pPr>
        <w:spacing w:after="0" w:before="0" w:line="240"/>
        <w:ind w:left="0" w:right="0"/>
        <w:jc w:val="both"/>
      </w:pPr>
      <w:r>
        <w:rPr>
          <w:rFonts w:ascii="Calibri" w:cs="Calibri" w:eastAsia="Calibri" w:hAnsi="Calibri"/>
          <w:b w:val="false"/>
          <w:bCs w:val="false"/>
          <w:color w:val="000000"/>
          <w:sz w:val="28"/>
          <w:szCs w:val="28"/>
        </w:rPr>
        <w:t xml:space="preserve">Relevant case laws</w:t>
      </w:r>
    </w:p>
    <w:p>
      <w:pPr>
        <w:spacing w:after="0" w:before="0" w:line="240"/>
        <w:ind w:left="0" w:right="0"/>
        <w:jc w:val="both"/>
      </w:pPr>
      <w:r>
        <w:rPr>
          <w:rFonts w:ascii="Calibri" w:cs="Calibri" w:eastAsia="Calibri" w:hAnsi="Calibri"/>
          <w:b w:val="false"/>
          <w:bCs w:val="false"/>
          <w:color w:val="000000"/>
          <w:sz w:val="28"/>
          <w:szCs w:val="28"/>
        </w:rPr>
        <w:t xml:space="preserve">Conclusion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1. Introduction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A legal right becomes meaningful only when there is an effective enforcement mechanism. The Digital Personal Data Protection Act, 2023 therefore establishes the Data Protection Board of India as an independent statutory authority responsible for enforcing the Act's provisions. The Board performs administrative, regulatory and quasi-judicial functions. It monitors compliance, investigates violations, protects Data Principals and ensures accountability of Data Fiduciaries.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2. Data Protection Board of India (Sections 18–26 explained in detail with illustrations)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18 – Establishment of Data Protection Board of India</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18(1): With effect from such date as the Central Government may, by notification, appoint, there shall be established, for the purposes of this Act, a Board to be called the Data Protection Board of India.</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18(2): The Board shall be a body corporate by the name aforesaid, having perpetual succession and a common seal, with power, subject to the provisions of this Act, to acquire, hold and dispose of property, both movable and immovable, and to contract and shall, by the said name, sue or be sued.</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18 creates the Data Protection Board as a statutory body corporate with perpetual succession. Being a body corporate means the Board has a legal identity separate from its members; it can enter contracts, hold property, sue and be sued in its own name. Perpetual succession ensures that the Board's existence and powers continue despite changes in its membership, providing institutional continuity.</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19 – Composition and qualifications for appointment of Chairperson and Members</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19(1): The Board shall consist of a Chairperson and such number of other Members as the Central Government may notify.</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19(2): The Chairperson and other Members shall be appointed by the Central Government in such manner as may be prescribed.</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19(3): The Chairperson and other Members shall be a person of ability, integrity and standing who possesses special knowledge or practical experience in the fields of data governance, administration or implementation of laws related to social or consumer protection, dispute resolution, information and communication technology, digital economy, law, regulation or techno-regulation, or in any other field which in the opinion of the Central Government may be useful to the Board, and at least one among them shall be an expert in the field of law.</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19 ensures the Board has expert and credible leadership. Members must have relevant expertise in technology, law, data governance or consumer protection. The requirement that at least one member be a legal expert ensures that legal questions in adjudication receive proper attention. The emphasis on ability, integrity and standing prevents appointment of persons lacking relevant qualifications or whose impartiality might be questionable.</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20 – Salary, allowances payable to and term of office</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20(1): The salary, allowances and other terms and conditions of service of the Chairperson and other Members shall be such as may be prescribed, and shall not be varied to their disadvantage after their appointment.</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20(2): The Chairperson and other Members shall hold office for a term of two years and shall be eligible for re-appointment.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20 protects the independence of Board members by ensuring their service conditions cannot be varied to their disadvantage after appointment. This prevents the Government from using financial pressure to influence decisions. The two-year term with eligibility for re-appointment balances continuity of expertise against the need for periodic renewal of the institution.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21 – Disqualifications for appointment and continuation</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21(1): A person shall be disqualified for being appointed and continued as the Chairperson or a Member, if she — (a) has been adjudged as an insolvent; (b) has been convicted of an offence involving moral turpitude; (c) has become physically or mentally incapable of acting as a Member; (d) has acquired such financial or other interest as is likely to affect prejudicially her functions as a Member; or (e) has so abused her position as to render her continuance in office prejudicial to the public interest.</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21(2): The Chairperson or Member shall not be removed from her office by the Central Government unless she has been given an opportunity of being heard in the matter.</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21 safeguards the integrity and credibility of the Board by listing grounds for disqualification including insolvency, criminal conviction involving moral turpitude and financial conflicts of interest. The protection against removal without hearing reflects the principles of natural justice and prevents the Government from arbitrarily removing inconvenient members.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23 – Proceedings of Board</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23(1): The Board shall observe such procedure in regard to the holding of and transaction of business at its meetings, including by digital means, and authenticate its orders, directions and instruments in such manner as may be prescribed.</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23(2): No act or proceeding of the Board shall be invalid merely by reason of — (a) any vacancy in or any defect in the constitution of the Board; (b) any defect in the appointment of a person acting as the Chairperson or other Member; or (c) any irregularity in the procedure, which does not affect the merits of the case.</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23 recognises the Board as a modern digital-first institution: proceedings may be held through digital means, making the Board accessible without requiring physical appearance. The savings provision in subsection (2) ensures that technical constitutional deficiencies do not invalidate otherwise meritorious decisions, providing procedural robustness.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26 – Powers of Chairperson</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26: The Chairperson shall exercise the following powers, namely — (a) general superintendence and giving direction in respect of all administrative matters of the Board; (b) authorise any officer of the Board to scrutinise any intimation, complaint, reference or correspondence addressed to the Board; and (c) authorise performance of any of the functions of the Board and conduct any of its proceedings, by an individual Member or groups of Members and to allocate proceedings among them.</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26 grants the Chairperson both administrative and functional authority. The Chairperson oversees the Board's operations, can authorise officers to examine incoming matters and can allocate cases among Members. This enables the Board to function efficiently even when dealing with a large volume of complaints and inquiries.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3. Quick summary in tabular format</w:t>
      </w:r>
    </w:p>
    <w:p>
      <w:pPr>
        <w:spacing w:after="0" w:before="0" w:line="240"/>
      </w:pPr>
      <w:r>
        <w:rPr>
          <w:rFonts w:ascii="Calibri" w:cs="Calibri" w:eastAsia="Calibri" w:hAnsi="Calibri"/>
          <w:sz w:val="28"/>
          <w:szCs w:val="28"/>
        </w:rPr>
        <w:t xml:space="preserve"/>
      </w:r>
    </w:p>
    <w:tbl>
      <w:tblPr>
        <w:tblW w:type="dxa" w:w="830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079"/>
        <w:gridCol w:w="2907"/>
        <w:gridCol w:w="4320"/>
      </w:tblGrid>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Provision</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Detailed explanation</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18</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Establishment of Data Protection Board of India</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Establishes the Board as a statutory body corporate with perpetual succession, enforcement authority under the DPDP Act, 2023.</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19</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Composition and qualifications</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Chairperson and Members appointed by the Central Government; must have expertise in data governance, technology, law or consumer protection.</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20</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Salary, allowances and terms of service</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Service conditions cannot be varied to a member's disadvantage after appointment; term of two years with eligibility for re-appointment.</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21</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Disqualifications</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Grounds for disqualification include insolvency, criminal conviction, incapacity, conflict of interest and abuse of position; removal requires hearing.</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22</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Resignation</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Chairperson and Members may resign by submitting resignation in accordance with the prescribed procedure.</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23</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Proceedings of Board</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Proceedings may be held by digital means; constitutional deficiencies not affecting merit do not invalidate decisions.</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24</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Officers and employees</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Central Government may appoint officers and employees to assist the Board on prescribed terms.</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25</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Members and officers to be public servants</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Chairperson, Members, officers and employees are deemed public servants under Section 21 of the Indian Penal Code.</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26</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Powers of Chairperson</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Chairperson exercises general superintendence, authorises officers to examine matters and allocates proceedings among Members.</w:t>
            </w:r>
          </w:p>
        </w:tc>
      </w:tr>
    </w:tbl>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4. Relevant case laws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Justice K.S. Puttaswamy (Retd.) v. Union of India</w:t>
      </w:r>
    </w:p>
    <w:p>
      <w:pPr>
        <w:spacing w:after="0" w:before="0" w:line="240"/>
        <w:ind w:left="0" w:right="0"/>
        <w:jc w:val="both"/>
      </w:pPr>
      <w:r>
        <w:rPr>
          <w:rFonts w:ascii="Calibri" w:cs="Calibri" w:eastAsia="Calibri" w:hAnsi="Calibri"/>
          <w:b w:val="false"/>
          <w:bCs w:val="false"/>
          <w:color w:val="000000"/>
          <w:sz w:val="28"/>
          <w:szCs w:val="28"/>
        </w:rPr>
        <w:t xml:space="preserve">Citation: (2017) 10 SCC 1</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A nine-judge bench examined whether the right to privacy is protected as a fundamental right under the Constitution of India.</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the Constitution protects the right to privacy.</w:t>
      </w:r>
    </w:p>
    <w:p>
      <w:pPr>
        <w:spacing w:after="0" w:before="0" w:line="240"/>
        <w:ind w:left="0" w:right="0"/>
        <w:jc w:val="both"/>
      </w:pPr>
      <w:r>
        <w:rPr>
          <w:rFonts w:ascii="Calibri" w:cs="Calibri" w:eastAsia="Calibri" w:hAnsi="Calibri"/>
          <w:b w:val="false"/>
          <w:bCs w:val="false"/>
          <w:color w:val="000000"/>
          <w:sz w:val="28"/>
          <w:szCs w:val="28"/>
        </w:rPr>
        <w:t xml:space="preserve">Whether individuals require institutional protection for their personal data.</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unanimously held that the right to privacy is a fundamental right under Article 21. The judgment emphasised the need for proper regulation, accountability and institutional safeguards for personal data. The Data Protection Board established under Section 18 directly responds to this constitutional imperative.</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L. Chandra Kumar v. Union of India</w:t>
      </w:r>
    </w:p>
    <w:p>
      <w:pPr>
        <w:spacing w:after="0" w:before="0" w:line="240"/>
        <w:ind w:left="0" w:right="0"/>
        <w:jc w:val="both"/>
      </w:pPr>
      <w:r>
        <w:rPr>
          <w:rFonts w:ascii="Calibri" w:cs="Calibri" w:eastAsia="Calibri" w:hAnsi="Calibri"/>
          <w:b w:val="false"/>
          <w:bCs w:val="false"/>
          <w:color w:val="000000"/>
          <w:sz w:val="28"/>
          <w:szCs w:val="28"/>
        </w:rPr>
        <w:t xml:space="preserve">Citation: (1997) 3 SCC 261</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constitutional validity and role of administrative tribunals were examined, including whether their decisions could displace judicial review.</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specialised authorities can exercise adjudicatory functions.</w:t>
      </w:r>
    </w:p>
    <w:p>
      <w:pPr>
        <w:spacing w:after="0" w:before="0" w:line="240"/>
        <w:ind w:left="0" w:right="0"/>
        <w:jc w:val="both"/>
      </w:pPr>
      <w:r>
        <w:rPr>
          <w:rFonts w:ascii="Calibri" w:cs="Calibri" w:eastAsia="Calibri" w:hAnsi="Calibri"/>
          <w:b w:val="false"/>
          <w:bCs w:val="false"/>
          <w:color w:val="000000"/>
          <w:sz w:val="28"/>
          <w:szCs w:val="28"/>
        </w:rPr>
        <w:t xml:space="preserve">Whether judicial review of tribunal decisions can be excluded.</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held that tribunals may perform specialised adjudicatory functions but judicial review by High Courts and the Supreme Court is part of the basic structure of the Constitution. Tribunal decisions remain subject to constitutional supervision. This principle applies to the Data Protection Board: its decisions can be challenged before courts notwithstanding internal appeal mechanisms.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Union of India v. Madras Bar Association</w:t>
      </w:r>
    </w:p>
    <w:p>
      <w:pPr>
        <w:spacing w:after="0" w:before="0" w:line="240"/>
        <w:ind w:left="0" w:right="0"/>
        <w:jc w:val="both"/>
      </w:pPr>
      <w:r>
        <w:rPr>
          <w:rFonts w:ascii="Calibri" w:cs="Calibri" w:eastAsia="Calibri" w:hAnsi="Calibri"/>
          <w:b w:val="false"/>
          <w:bCs w:val="false"/>
          <w:color w:val="000000"/>
          <w:sz w:val="28"/>
          <w:szCs w:val="28"/>
        </w:rPr>
        <w:t xml:space="preserve">Citation: (2010) 11 SCC 1</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structure, independence and functioning of administrative tribunals were examined.</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specialised adjudicating authorities require independence comparable to courts.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held that bodies performing judicial functions must maintain independence, expertise and fair decision-making. Tribunal structures are valid but must protect constitutional standards. The Board must therefore function with genuine independence from Government pressure to be constitutionally valid.</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5. Conclusion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establishment of the Data Protection Board of India under Sections 18 to 26 of the Digital Personal Data Protection Act, 2023 is one of the most important features of India's data protection framework. Privacy rights cannot be effectively protected without a strong enforcement authority. The Board monitors compliance, investigates violations, protects Data Principals and ensures accountability of Data Fiduciaries. Sections 18 to 26 provide a complete institutional framework regarding establishment, composition, qualifications, service conditions, proceedings and administrative powers. Judicial decisions in Justice K.S. Puttaswamy v. Union of India, Union of India v. Madras Bar Association and L. Chandra Kumar v. Union of India emphasise that regulatory authorities must work according to principles of independence, fairness, transparency and natural justice. The Data Protection Board thus plays a central role in achieving the objectives of the DPDP Act by ensuring protection of personal data, accountability of organisations, enforcement of privacy rights and public trust in India's digital ecosystem.</w:t>
      </w:r>
    </w:p>
    <w:p>
      <w:pPr>
        <w:spacing w:after="0" w:before="0" w:line="240"/>
      </w:pPr>
      <w:r>
        <w:rPr>
          <w:rFonts w:ascii="Calibri" w:cs="Calibri" w:eastAsia="Calibri" w:hAnsi="Calibri"/>
          <w:sz w:val="28"/>
          <w:szCs w:val="28"/>
        </w:rPr>
        <w:t xml:space="preserve"/>
      </w:r>
    </w:p>
    <w:p>
      <w:r>
        <w:br w:type="page"/>
      </w:r>
    </w:p>
    <w:p>
      <w:pPr>
        <w:spacing w:after="0" w:before="0" w:line="240"/>
        <w:ind w:left="0" w:right="0"/>
        <w:jc w:val="both"/>
      </w:pPr>
      <w:r>
        <w:rPr>
          <w:rFonts w:ascii="Calibri" w:cs="Calibri" w:eastAsia="Calibri" w:hAnsi="Calibri"/>
          <w:b/>
          <w:bCs/>
          <w:color w:val="000000"/>
          <w:sz w:val="28"/>
          <w:szCs w:val="28"/>
        </w:rPr>
        <w:t xml:space="preserve">Chapter VI</w:t>
      </w:r>
    </w:p>
    <w:p>
      <w:pPr>
        <w:spacing w:after="0" w:before="0" w:line="240"/>
        <w:ind w:left="0" w:right="0"/>
        <w:jc w:val="both"/>
      </w:pPr>
      <w:r>
        <w:rPr>
          <w:rFonts w:ascii="Calibri" w:cs="Calibri" w:eastAsia="Calibri" w:hAnsi="Calibri"/>
          <w:b/>
          <w:bCs/>
          <w:color w:val="000000"/>
          <w:sz w:val="28"/>
          <w:szCs w:val="28"/>
        </w:rPr>
        <w:t xml:space="preserve">Powers, functions and procedure to be followed by the Data Protection Board of India (Sections 27–28)</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Synopsis</w:t>
      </w:r>
    </w:p>
    <w:p>
      <w:pPr>
        <w:spacing w:after="0" w:before="0" w:line="240"/>
        <w:ind w:left="0" w:right="0"/>
        <w:jc w:val="both"/>
      </w:pPr>
      <w:r>
        <w:rPr>
          <w:rFonts w:ascii="Calibri" w:cs="Calibri" w:eastAsia="Calibri" w:hAnsi="Calibri"/>
          <w:b w:val="false"/>
          <w:bCs w:val="false"/>
          <w:color w:val="000000"/>
          <w:sz w:val="28"/>
          <w:szCs w:val="28"/>
        </w:rPr>
        <w:t xml:space="preserve">Introduction</w:t>
      </w:r>
    </w:p>
    <w:p>
      <w:pPr>
        <w:spacing w:after="0" w:before="0" w:line="240"/>
        <w:ind w:left="0" w:right="0"/>
        <w:jc w:val="both"/>
      </w:pPr>
      <w:r>
        <w:rPr>
          <w:rFonts w:ascii="Calibri" w:cs="Calibri" w:eastAsia="Calibri" w:hAnsi="Calibri"/>
          <w:b w:val="false"/>
          <w:bCs w:val="false"/>
          <w:color w:val="000000"/>
          <w:sz w:val="28"/>
          <w:szCs w:val="28"/>
        </w:rPr>
        <w:t xml:space="preserve">Powers, functions and procedure (Sections 27–28 explained in detail with illustrations)</w:t>
      </w:r>
    </w:p>
    <w:p>
      <w:pPr>
        <w:spacing w:after="0" w:before="0" w:line="240"/>
        <w:ind w:left="0" w:right="0"/>
        <w:jc w:val="both"/>
      </w:pPr>
      <w:r>
        <w:rPr>
          <w:rFonts w:ascii="Calibri" w:cs="Calibri" w:eastAsia="Calibri" w:hAnsi="Calibri"/>
          <w:b w:val="false"/>
          <w:bCs w:val="false"/>
          <w:color w:val="000000"/>
          <w:sz w:val="28"/>
          <w:szCs w:val="28"/>
        </w:rPr>
        <w:t xml:space="preserve">Quick summary in tabular format</w:t>
      </w:r>
    </w:p>
    <w:p>
      <w:pPr>
        <w:spacing w:after="0" w:before="0" w:line="240"/>
        <w:ind w:left="0" w:right="0"/>
        <w:jc w:val="both"/>
      </w:pPr>
      <w:r>
        <w:rPr>
          <w:rFonts w:ascii="Calibri" w:cs="Calibri" w:eastAsia="Calibri" w:hAnsi="Calibri"/>
          <w:b w:val="false"/>
          <w:bCs w:val="false"/>
          <w:color w:val="000000"/>
          <w:sz w:val="28"/>
          <w:szCs w:val="28"/>
        </w:rPr>
        <w:t xml:space="preserve">Relevant case laws</w:t>
      </w:r>
    </w:p>
    <w:p>
      <w:pPr>
        <w:spacing w:after="0" w:before="0" w:line="240"/>
        <w:ind w:left="0" w:right="0"/>
        <w:jc w:val="both"/>
      </w:pPr>
      <w:r>
        <w:rPr>
          <w:rFonts w:ascii="Calibri" w:cs="Calibri" w:eastAsia="Calibri" w:hAnsi="Calibri"/>
          <w:b w:val="false"/>
          <w:bCs w:val="false"/>
          <w:color w:val="000000"/>
          <w:sz w:val="28"/>
          <w:szCs w:val="28"/>
        </w:rPr>
        <w:t xml:space="preserve">Conclusion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1. Introduction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Data Protection Board of India performs regulatory, investigative and quasi-judicial functions. Merely recognising rights and creating the Board is insufficient unless the Board has defined powers and follows fair procedures. Sections 27 and 28 provide the powers and functions of the Board and the procedure it must follow when exercising those powers. Together they ensure that the Board can investigate violations effectively while respecting the rights of persons under inquiry.</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2. Powers, functions and procedure (Sections 27–28 explained in detail with illustrations)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27 – Powers and functions of the Board</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27(1): The Board shall exercise and perform the following powers and functions, namely —</w:t>
      </w:r>
    </w:p>
    <w:p>
      <w:pPr>
        <w:spacing w:after="0" w:before="0" w:line="240"/>
        <w:ind w:left="0"/>
      </w:pPr>
      <w:r>
        <w:rPr>
          <w:rFonts w:ascii="Calibri" w:cs="Calibri" w:eastAsia="Calibri" w:hAnsi="Calibri"/>
          <w:color w:val="000000"/>
          <w:sz w:val="28"/>
          <w:szCs w:val="28"/>
        </w:rPr>
        <w:t xml:space="preserve">(a) on receipt of an intimation of personal data breach under sub-section (6) of section 8, to direct any urgent remedial or mitigation measures in the event of a personal data breach, and to inquire into such personal data breach and impose penalty as provided in this Act;</w:t>
      </w:r>
    </w:p>
    <w:p>
      <w:pPr>
        <w:spacing w:after="0" w:before="0" w:line="240"/>
        <w:ind w:left="0"/>
      </w:pPr>
      <w:r>
        <w:rPr>
          <w:rFonts w:ascii="Calibri" w:cs="Calibri" w:eastAsia="Calibri" w:hAnsi="Calibri"/>
          <w:color w:val="000000"/>
          <w:sz w:val="28"/>
          <w:szCs w:val="28"/>
        </w:rPr>
        <w:t xml:space="preserve">(b) on a complaint made by a Data Principal in respect of a personal data breach or a breach in observance by a Data Fiduciary of its obligations in relation to her personal data or the exercise of her rights under the provisions of this Act, or on a reference made to it by the Central Government or a State Government, or in compliance of the directions of any court, to inquire into such breach and impose penalty as provided in this Act;</w:t>
      </w:r>
    </w:p>
    <w:p>
      <w:pPr>
        <w:spacing w:after="0" w:before="0" w:line="240"/>
        <w:ind w:left="0"/>
      </w:pPr>
      <w:r>
        <w:rPr>
          <w:rFonts w:ascii="Calibri" w:cs="Calibri" w:eastAsia="Calibri" w:hAnsi="Calibri"/>
          <w:color w:val="000000"/>
          <w:sz w:val="28"/>
          <w:szCs w:val="28"/>
        </w:rPr>
        <w:t xml:space="preserve">(c) on a complaint made by a Data Principal in respect of a breach in observance by a Consent Manager of its obligations, to inquire into such breach and impose penalty;</w:t>
      </w:r>
    </w:p>
    <w:p>
      <w:pPr>
        <w:spacing w:after="0" w:before="0" w:line="240"/>
        <w:ind w:left="0"/>
      </w:pPr>
      <w:r>
        <w:rPr>
          <w:rFonts w:ascii="Calibri" w:cs="Calibri" w:eastAsia="Calibri" w:hAnsi="Calibri"/>
          <w:color w:val="000000"/>
          <w:sz w:val="28"/>
          <w:szCs w:val="28"/>
        </w:rPr>
        <w:t xml:space="preserve">(d) on receipt of an intimation of breach of any condition of registration of a Consent Manager, to inquire into such breach and impose penalty; and</w:t>
      </w:r>
    </w:p>
    <w:p>
      <w:pPr>
        <w:spacing w:after="0" w:before="0" w:line="240"/>
        <w:ind w:left="0"/>
      </w:pPr>
      <w:r>
        <w:rPr>
          <w:rFonts w:ascii="Calibri" w:cs="Calibri" w:eastAsia="Calibri" w:hAnsi="Calibri"/>
          <w:color w:val="000000"/>
          <w:sz w:val="28"/>
          <w:szCs w:val="28"/>
        </w:rPr>
        <w:t xml:space="preserve">(e) on a reference made by the Central Government in respect of the breach in observance of the provisions relating to intermediaries, to inquire into such breach and impose penalty.</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27(2): The Board may, after giving the person concerned an opportunity of being heard and after recording reasons in writing, issue such directions as it may consider necessary.</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27(3): The Board may, on a representation, modify, suspend, withdraw or cancel such direction.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27 defines the Board's mandate. The Board can act upon breach notifications from Data Fiduciaries, complaints from Data Principals, government references and court directions. On receiving a breach notification, the Board may immediately direct mitigation measures while also investigating whether the fiduciary was negligent. The power to issue directions allows the Board to require corrective action proactively rather than only imposing penalties retrospectively. The Board may also modify or withdraw directions on application, providing procedural flexibility.</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28 – Procedure to be followed by the Board</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28(1): The Board shall function as an independent body and shall, as far as practicable, function as a digital office, with the receipt of complaints and the allocation, hearing and pronouncement of decisions in respect of the same being digital by design.</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28(3): The Board shall determine whether there are sufficient grounds to proceed with an inquiry.</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28(4): In case the Board determines that there are insufficient grounds, it may, for reasons to be recorded in writing, close the proceedings.</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28(5): In case the Board determines that there are sufficient grounds to proceed with inquiry, it may inquire into the affairs of any person for ascertaining whether such person is complying with or has complied with the provisions of this Act.</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28(6): The Board shall conduct such inquiry following the principles of natural justice and shall record reasons for its actions during the course of such inquiry.</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28(7): For the purposes of discharging its functions, the Board shall have the same powers as are vested in a civil court under the Code of Civil Procedure, 1908, in respect of matters relating to — (a) summoning and enforcing the attendance of any person; (b) receiving evidence on affidavit; (c) inspecting any data, book, document, register or books of account; and (d) such other matters as may be prescribed.</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28(10): During the course of the inquiry, if the Board considers it necessary, it may issue interim orders after giving the person concerned an opportunity of being heard.</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28(11): On completion of the inquiry and after giving the person concerned an opportunity of being heard, the Board may close the proceedings or proceed in accordance with section 33.</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28 imposes a digital-first approach and procedural fairness as core requirements. The Board must function as a digital office, making proceedings accessible without physical presence. Before any adverse order, it must determine whether sufficient grounds exist and give the person concerned a fair hearing. The Board can summon witnesses, receive affidavit evidence and inspect documents — powers modelled on civil courts. This ensures investigation is thorough and legally credible. The requirement to record reasons prevents arbitrary decisions. Interim orders are available to prevent harm during investigation.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Relationship between Section 27 and Section 28</w:t>
      </w:r>
    </w:p>
    <w:p>
      <w:pPr>
        <w:spacing w:after="0" w:before="0" w:line="240"/>
      </w:pPr>
      <w:r>
        <w:rPr>
          <w:rFonts w:ascii="Calibri" w:cs="Calibri" w:eastAsia="Calibri" w:hAnsi="Calibri"/>
          <w:sz w:val="28"/>
          <w:szCs w:val="28"/>
        </w:rPr>
        <w:t xml:space="preserve"/>
      </w:r>
    </w:p>
    <w:tbl>
      <w:tblPr>
        <w:tblW w:type="dxa" w:w="830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 27</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 28</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Provides powers and functions of the Board</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Provides the procedure the Board must follow</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Deals with what the Board can do</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Deals with how the Board must act</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Enforcement provision</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Fairness provision</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Empowers inquiry, directions and penalties</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Requires natural justice, reasons and fair hearing</w:t>
            </w:r>
          </w:p>
        </w:tc>
      </w:tr>
    </w:tbl>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3. Quick summary in tabular format</w:t>
      </w:r>
    </w:p>
    <w:p>
      <w:pPr>
        <w:spacing w:after="0" w:before="0" w:line="240"/>
      </w:pPr>
      <w:r>
        <w:rPr>
          <w:rFonts w:ascii="Calibri" w:cs="Calibri" w:eastAsia="Calibri" w:hAnsi="Calibri"/>
          <w:sz w:val="28"/>
          <w:szCs w:val="28"/>
        </w:rPr>
        <w:t xml:space="preserve"/>
      </w:r>
    </w:p>
    <w:tbl>
      <w:tblPr>
        <w:tblW w:type="dxa" w:w="830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079"/>
        <w:gridCol w:w="2907"/>
        <w:gridCol w:w="4320"/>
      </w:tblGrid>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Provision</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Detailed explanation</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27</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Powers and functions of the Data Protection Board</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Empowers the Board to conduct inquiries into personal data breaches, non-compliance by Data Fiduciaries and Consent Managers, issue corrective directions and impose penalties. The Board may also accept voluntary undertakings and handle complaints from Data Principals.</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28</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Procedure to be followed by the Board</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Requires the Board to function as a digital office, follow principles of natural justice, record reasons, grant fair hearings before adverse orders and use civil court powers for investigation.</w:t>
            </w:r>
          </w:p>
        </w:tc>
      </w:tr>
    </w:tbl>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4. Relevant case laws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Justice K.S. Puttaswamy (Retd.) v. Union of India</w:t>
      </w:r>
    </w:p>
    <w:p>
      <w:pPr>
        <w:spacing w:after="0" w:before="0" w:line="240"/>
        <w:ind w:left="0" w:right="0"/>
        <w:jc w:val="both"/>
      </w:pPr>
      <w:r>
        <w:rPr>
          <w:rFonts w:ascii="Calibri" w:cs="Calibri" w:eastAsia="Calibri" w:hAnsi="Calibri"/>
          <w:b w:val="false"/>
          <w:bCs w:val="false"/>
          <w:color w:val="000000"/>
          <w:sz w:val="28"/>
          <w:szCs w:val="28"/>
        </w:rPr>
        <w:t xml:space="preserve">Citation: (2017) 10 SCC 1</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A nine-judge bench of the Supreme Court examined whether privacy is a fundamental right and whether adequate institutional mechanisms for its protection are necessary.</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privacy is a fundamental right.</w:t>
      </w:r>
    </w:p>
    <w:p>
      <w:pPr>
        <w:spacing w:after="0" w:before="0" w:line="240"/>
        <w:ind w:left="0" w:right="0"/>
        <w:jc w:val="both"/>
      </w:pPr>
      <w:r>
        <w:rPr>
          <w:rFonts w:ascii="Calibri" w:cs="Calibri" w:eastAsia="Calibri" w:hAnsi="Calibri"/>
          <w:b w:val="false"/>
          <w:bCs w:val="false"/>
          <w:color w:val="000000"/>
          <w:sz w:val="28"/>
          <w:szCs w:val="28"/>
        </w:rPr>
        <w:t xml:space="preserve">Whether effective safeguards and enforcement institutions are required for data protection.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held that privacy is a fundamental right under Article 21. The judgment emphasised accountability, transparency and institutional safeguards. The Data Protection Board's powers under Section 27 and the procedural protections in Section 28 directly implement the constitutional mandate recognised in this case.</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Maneka Gandhi v. Union of India</w:t>
      </w:r>
    </w:p>
    <w:p>
      <w:pPr>
        <w:spacing w:after="0" w:before="0" w:line="240"/>
        <w:ind w:left="0" w:right="0"/>
        <w:jc w:val="both"/>
      </w:pPr>
      <w:r>
        <w:rPr>
          <w:rFonts w:ascii="Calibri" w:cs="Calibri" w:eastAsia="Calibri" w:hAnsi="Calibri"/>
          <w:b w:val="false"/>
          <w:bCs w:val="false"/>
          <w:color w:val="000000"/>
          <w:sz w:val="28"/>
          <w:szCs w:val="28"/>
        </w:rPr>
        <w:t xml:space="preserve">Citation: (1978) 1 SCC 248</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petitioner's passport was impounded without providing an opportunity of being heard, raising the question of what procedural standards must be observed by administrative authorities.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administrative authorities affecting individual rights must follow fair procedure.</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held that any procedure affecting rights must be fair, just and reasonable. Article 21 requires procedural due process. Section 28 of the DPDP Act reflects this principle: the Board must give persons an opportunity of being heard before taking adverse action and must record reasons.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A.K. Kraipak v. Union of India</w:t>
      </w:r>
    </w:p>
    <w:p>
      <w:pPr>
        <w:spacing w:after="0" w:before="0" w:line="240"/>
        <w:ind w:left="0" w:right="0"/>
        <w:jc w:val="both"/>
      </w:pPr>
      <w:r>
        <w:rPr>
          <w:rFonts w:ascii="Calibri" w:cs="Calibri" w:eastAsia="Calibri" w:hAnsi="Calibri"/>
          <w:b w:val="false"/>
          <w:bCs w:val="false"/>
          <w:color w:val="000000"/>
          <w:sz w:val="28"/>
          <w:szCs w:val="28"/>
        </w:rPr>
        <w:t xml:space="preserve">Citation: (1969) 2 SCC 262</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case involved alleged bias in administrative decision-making and whether administrative bodies exercising significant powers must observe natural justice.</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administrative authorities affecting rights must follow natural justice.</w:t>
      </w:r>
    </w:p>
    <w:p>
      <w:pPr>
        <w:spacing w:after="0" w:before="0" w:line="240"/>
        <w:ind w:left="0" w:right="0"/>
        <w:jc w:val="both"/>
      </w:pPr>
      <w:r>
        <w:rPr>
          <w:rFonts w:ascii="Calibri" w:cs="Calibri" w:eastAsia="Calibri" w:hAnsi="Calibri"/>
          <w:b w:val="false"/>
          <w:bCs w:val="false"/>
          <w:color w:val="000000"/>
          <w:sz w:val="28"/>
          <w:szCs w:val="28"/>
        </w:rPr>
        <w:t xml:space="preserve">Whether decisions vitiated by bias are valid.</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held that administrative authorities affecting rights must act fairly. Two essential requirements are the rule against bias and the right to a fair hearing. Section 28(6) incorporates these requirements by mandating that the Board's inquiries follow principles of natural justice.</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Union of India v. Tulsiram Patel</w:t>
      </w:r>
    </w:p>
    <w:p>
      <w:pPr>
        <w:spacing w:after="0" w:before="0" w:line="240"/>
        <w:ind w:left="0" w:right="0"/>
        <w:jc w:val="both"/>
      </w:pPr>
      <w:r>
        <w:rPr>
          <w:rFonts w:ascii="Calibri" w:cs="Calibri" w:eastAsia="Calibri" w:hAnsi="Calibri"/>
          <w:b w:val="false"/>
          <w:bCs w:val="false"/>
          <w:color w:val="000000"/>
          <w:sz w:val="28"/>
          <w:szCs w:val="28"/>
        </w:rPr>
        <w:t xml:space="preserve">Citation: (1985) 3 SCC 398</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case examined the scope of natural justice principles in administrative proceedings.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When and how must natural justice apply to administrative actions.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held that fair procedure is an essential element of administrative law and that natural justice principles protect individuals against arbitrary decisions. Section 28 of the DPDP Act applies these principles to the Board's inquiry and adjudication process.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5. Conclusion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provisions relating to powers, functions and procedure of the Data Protection Board under Sections 27 and 28 of the Digital Personal Data Protection Act, 2023 establish the enforcement foundation of India's data protection system. Section 27 gives the Board authority to conduct inquiries, deal with personal data breaches, issue directions and impose penalties. Section 28 ensures that while exercising such powers, the Board follows fair procedure, transparency and the principles of natural justice. The judgments in Justice K.S. Puttaswamy v. Union of India, Maneka Gandhi v. Union of India and A.K. Kraipak v. Union of India confirm that every authority affecting rights must act fairly and reasonably. The Board thus acts as a bridge between the privacy rights of individuals and the responsibilities of organisations handling personal data, strengthening India's digital governance framework.</w:t>
      </w:r>
    </w:p>
    <w:p>
      <w:pPr>
        <w:spacing w:after="0" w:before="0" w:line="240"/>
      </w:pPr>
      <w:r>
        <w:rPr>
          <w:rFonts w:ascii="Calibri" w:cs="Calibri" w:eastAsia="Calibri" w:hAnsi="Calibri"/>
          <w:sz w:val="28"/>
          <w:szCs w:val="28"/>
        </w:rPr>
        <w:t xml:space="preserve"/>
      </w:r>
    </w:p>
    <w:p>
      <w:r>
        <w:br w:type="page"/>
      </w:r>
    </w:p>
    <w:p>
      <w:pPr>
        <w:spacing w:after="0" w:before="0" w:line="240"/>
        <w:ind w:left="0" w:right="0"/>
        <w:jc w:val="both"/>
      </w:pPr>
      <w:r>
        <w:rPr>
          <w:rFonts w:ascii="Calibri" w:cs="Calibri" w:eastAsia="Calibri" w:hAnsi="Calibri"/>
          <w:b/>
          <w:bCs/>
          <w:color w:val="000000"/>
          <w:sz w:val="28"/>
          <w:szCs w:val="28"/>
        </w:rPr>
        <w:t xml:space="preserve">Chapter VII</w:t>
      </w:r>
    </w:p>
    <w:p>
      <w:pPr>
        <w:spacing w:after="0" w:before="0" w:line="240"/>
        <w:ind w:left="0" w:right="0"/>
        <w:jc w:val="both"/>
      </w:pPr>
      <w:r>
        <w:rPr>
          <w:rFonts w:ascii="Calibri" w:cs="Calibri" w:eastAsia="Calibri" w:hAnsi="Calibri"/>
          <w:b/>
          <w:bCs/>
          <w:color w:val="000000"/>
          <w:sz w:val="28"/>
          <w:szCs w:val="28"/>
        </w:rPr>
        <w:t xml:space="preserve">Appeal and alternate dispute resolution under the Digital Personal Data Protection Act, 2023 (Sections 29–32)</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Synopsis</w:t>
      </w:r>
    </w:p>
    <w:p>
      <w:pPr>
        <w:spacing w:after="0" w:before="0" w:line="240"/>
        <w:ind w:left="0" w:right="0"/>
        <w:jc w:val="both"/>
      </w:pPr>
      <w:r>
        <w:rPr>
          <w:rFonts w:ascii="Calibri" w:cs="Calibri" w:eastAsia="Calibri" w:hAnsi="Calibri"/>
          <w:b w:val="false"/>
          <w:bCs w:val="false"/>
          <w:color w:val="000000"/>
          <w:sz w:val="28"/>
          <w:szCs w:val="28"/>
        </w:rPr>
        <w:t xml:space="preserve">Introduction</w:t>
      </w:r>
    </w:p>
    <w:p>
      <w:pPr>
        <w:spacing w:after="0" w:before="0" w:line="240"/>
        <w:ind w:left="0" w:right="0"/>
        <w:jc w:val="both"/>
      </w:pPr>
      <w:r>
        <w:rPr>
          <w:rFonts w:ascii="Calibri" w:cs="Calibri" w:eastAsia="Calibri" w:hAnsi="Calibri"/>
          <w:b w:val="false"/>
          <w:bCs w:val="false"/>
          <w:color w:val="000000"/>
          <w:sz w:val="28"/>
          <w:szCs w:val="28"/>
        </w:rPr>
        <w:t xml:space="preserve">Appeal and alternate dispute resolution (Sections 29–32 explained in detail with illustrations)</w:t>
      </w:r>
    </w:p>
    <w:p>
      <w:pPr>
        <w:spacing w:after="0" w:before="0" w:line="240"/>
        <w:ind w:left="0" w:right="0"/>
        <w:jc w:val="both"/>
      </w:pPr>
      <w:r>
        <w:rPr>
          <w:rFonts w:ascii="Calibri" w:cs="Calibri" w:eastAsia="Calibri" w:hAnsi="Calibri"/>
          <w:b w:val="false"/>
          <w:bCs w:val="false"/>
          <w:color w:val="000000"/>
          <w:sz w:val="28"/>
          <w:szCs w:val="28"/>
        </w:rPr>
        <w:t xml:space="preserve">Quick summary in tabular format</w:t>
      </w:r>
    </w:p>
    <w:p>
      <w:pPr>
        <w:spacing w:after="0" w:before="0" w:line="240"/>
        <w:ind w:left="0" w:right="0"/>
        <w:jc w:val="both"/>
      </w:pPr>
      <w:r>
        <w:rPr>
          <w:rFonts w:ascii="Calibri" w:cs="Calibri" w:eastAsia="Calibri" w:hAnsi="Calibri"/>
          <w:b w:val="false"/>
          <w:bCs w:val="false"/>
          <w:color w:val="000000"/>
          <w:sz w:val="28"/>
          <w:szCs w:val="28"/>
        </w:rPr>
        <w:t xml:space="preserve">Relevant case laws</w:t>
      </w:r>
    </w:p>
    <w:p>
      <w:pPr>
        <w:spacing w:after="0" w:before="0" w:line="240"/>
        <w:ind w:left="0" w:right="0"/>
        <w:jc w:val="both"/>
      </w:pPr>
      <w:r>
        <w:rPr>
          <w:rFonts w:ascii="Calibri" w:cs="Calibri" w:eastAsia="Calibri" w:hAnsi="Calibri"/>
          <w:b w:val="false"/>
          <w:bCs w:val="false"/>
          <w:color w:val="000000"/>
          <w:sz w:val="28"/>
          <w:szCs w:val="28"/>
        </w:rPr>
        <w:t xml:space="preserve">Conclusion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1. Introduction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principle of justice requires that any person dissatisfied with the decision of an authority should have an opportunity to challenge that decision before a higher forum. Beyond formal appeals, modern dispute resolution systems also provide alternative mechanisms that can resolve disputes faster and with less cost than full adjudication. The Digital Personal Data Protection Act, 2023 provides both formal appeal rights and alternative dispute resolution mechanisms under Sections 29 to 32.</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2. Appeal and alternate dispute resolution (Sections 29–32 explained in detail with illustrations)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29 – Appeal to Appellate Tribunal</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29(1): Any person aggrieved by an order or direction made by the Board under this Act may prefer an appeal before the Appellate Tribunal.</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29(2): Every appeal under sub-section (1) shall be filed within a period of sixty days from the date of receipt of the order or direction appealed against and it shall be in such form and manner and shall be accompanied by such fee as may be prescribed.</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29(3): The Appellate Tribunal may entertain an appeal after the expiry of the period specified in sub-section (2), if it is satisfied that there was sufficient cause for not preferring the appeal within that period.</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29(4): On receipt of an appeal, the Appellate Tribunal may, after giving the parties an opportunity of being heard, pass such orders as it thinks fit, confirming, modifying or setting aside the order appealed against.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29 provides the right to appeal against Board orders to the Telecom Disputes Settlement and Appellate Tribunal. Any aggrieved person, whether a Data Fiduciary penalised by the Board or a Data Principal whose complaint was dismissed, may file an appeal within sixty days. The Appellate Tribunal can hear late appeals on sufficient cause shown. It may confirm, modify or set aside the Board's order after hearing both parties. This two-tier structure — Board followed by Appellate Tribunal — ensures independent review of enforcement decisions.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30 – Orders passed by Appellate Tribunal to be executable as decree</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30(1): An order passed by the Appellate Tribunal under this Act shall be executable by it as a decree of civil court, and for this purpose, the Appellate Tribunal shall have all the powers of a civil court.</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30(2): Notwithstanding anything contained in sub-section (1), the Appellate Tribunal may transmit any order made by it to a civil court having local jurisdiction and such civil court shall execute the order as if it were a decree made by that court.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30 ensures that Appellate Tribunal orders have real-world enforceability. An order executable as a civil court decree can be enforced through the full machinery of civil execution including attachment of property. The ability to transmit orders to local civil courts for execution makes enforcement practical across the country, preventing parties from evading tribunal orders by ignoring them.</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31 – Alternate dispute resolution</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31: If the Board is of the opinion that any complaint may be resolved by mediation, it may direct the parties concerned to attempt resolution of the dispute through such mediation by such mediator as the parties may mutually agree upon, or as provided for under any law for the time being in force in India.</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31 introduces mediation as a tool for resolving data protection disputes. Not every complaint requires full adjudication. When a company has refused to correct inaccurate data, or where there is a dispute over a data breach notification, mediation can achieve a quicker and mutually acceptable resolution. The mediator may be chosen by agreement between the parties, preserving party autonomy in the resolution process.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32 – Voluntary undertaking</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32(1): The Board may accept a voluntary undertaking in respect of any matter related to observance of the provisions of this Act from any person at any stage of a proceeding under section 28.</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32(4): The acceptance of the voluntary undertaking by the Board shall constitute a bar on proceedings under the provisions of this Act as regards the contents of the voluntary undertaking, except in cases where the person fails to adhere to any term of the voluntary undertaking.</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32(5): Where a person fails to adhere to any term of the voluntary undertaking accepted by the Board, such breach shall be deemed to be breach of the provisions of this Act.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32 enables a compliance-centred approach to enforcement. Rather than always proceeding to penalty, the Board may accept a voluntary undertaking from a Data Fiduciary that it will take corrective steps, improve security systems or adopt better practices. Once accepted, further proceedings on those matters are barred unless the undertaking is breached. Breach of an accepted undertaking is treated as a breach of the Act itself, maintaining the deterrent effect.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Comparative overview of Sections 29–32</w:t>
      </w:r>
    </w:p>
    <w:p>
      <w:pPr>
        <w:spacing w:after="0" w:before="0" w:line="240"/>
      </w:pPr>
      <w:r>
        <w:rPr>
          <w:rFonts w:ascii="Calibri" w:cs="Calibri" w:eastAsia="Calibri" w:hAnsi="Calibri"/>
          <w:sz w:val="28"/>
          <w:szCs w:val="28"/>
        </w:rPr>
        <w:t xml:space="preserve"/>
      </w:r>
    </w:p>
    <w:tbl>
      <w:tblPr>
        <w:tblW w:type="dxa" w:w="830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Provision</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Objective</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29 – Appeal</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Independent review of Board decisions by the Appellate Tribunal</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30 – Execution</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Enforcement of Appellate Tribunal orders as civil court decrees</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31 – Alternate dispute resolution</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Speedy settlement of disputes through mediation</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32 – Voluntary undertaking</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Encouraging compliance and corrective action without penalty</w:t>
            </w:r>
          </w:p>
        </w:tc>
      </w:tr>
    </w:tbl>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3. Quick summary in tabular format</w:t>
      </w:r>
    </w:p>
    <w:p>
      <w:pPr>
        <w:spacing w:after="0" w:before="0" w:line="240"/>
      </w:pPr>
      <w:r>
        <w:rPr>
          <w:rFonts w:ascii="Calibri" w:cs="Calibri" w:eastAsia="Calibri" w:hAnsi="Calibri"/>
          <w:sz w:val="28"/>
          <w:szCs w:val="28"/>
        </w:rPr>
        <w:t xml:space="preserve"/>
      </w:r>
    </w:p>
    <w:tbl>
      <w:tblPr>
        <w:tblW w:type="dxa" w:w="830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079"/>
        <w:gridCol w:w="2907"/>
        <w:gridCol w:w="4320"/>
      </w:tblGrid>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Provision</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Detailed explanation</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29</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Appeal to Appellate Tribunal</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Any person aggrieved by a Board order may appeal to TDSAT within sixty days; Tribunal may confirm, modify or set aside the order.</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30</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Orders of Appellate Tribunal executable as decree</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Tribunal orders are enforceable as civil court decrees; may be transmitted to local civil courts for execution.</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31</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Alternate dispute resolution</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Board may direct mediation for suitable complaints, enabling faster and cost-effective resolution.</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32</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Voluntary undertaking</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Board may accept voluntary corrective undertakings; breach of undertaking amounts to breach of the Act.</w:t>
            </w:r>
          </w:p>
        </w:tc>
      </w:tr>
    </w:tbl>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4. Relevant case laws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L. Chandra Kumar v. Union of India</w:t>
      </w:r>
    </w:p>
    <w:p>
      <w:pPr>
        <w:spacing w:after="0" w:before="0" w:line="240"/>
        <w:ind w:left="0" w:right="0"/>
        <w:jc w:val="both"/>
      </w:pPr>
      <w:r>
        <w:rPr>
          <w:rFonts w:ascii="Calibri" w:cs="Calibri" w:eastAsia="Calibri" w:hAnsi="Calibri"/>
          <w:b w:val="false"/>
          <w:bCs w:val="false"/>
          <w:color w:val="000000"/>
          <w:sz w:val="28"/>
          <w:szCs w:val="28"/>
        </w:rPr>
        <w:t xml:space="preserve">Citation: (1997) 3 SCC 261</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constitutional validity and functioning of administrative tribunals were challenged, with questions about whether they could fully displace judicial review.</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tribunals can exercise adjudicatory functions.</w:t>
      </w:r>
    </w:p>
    <w:p>
      <w:pPr>
        <w:spacing w:after="0" w:before="0" w:line="240"/>
        <w:ind w:left="0" w:right="0"/>
        <w:jc w:val="both"/>
      </w:pPr>
      <w:r>
        <w:rPr>
          <w:rFonts w:ascii="Calibri" w:cs="Calibri" w:eastAsia="Calibri" w:hAnsi="Calibri"/>
          <w:b w:val="false"/>
          <w:bCs w:val="false"/>
          <w:color w:val="000000"/>
          <w:sz w:val="28"/>
          <w:szCs w:val="28"/>
        </w:rPr>
        <w:t xml:space="preserve">Whether judicial review of tribunal decisions can be excluded.</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held that tribunals may exercise specialised adjudicatory functions but judicial review by constitutional courts is part of the basic structure of the Constitution. Tribunal decisions remain subject to scrutiny by High Courts and the Supreme Court. This principle ensures that Board and Appellate Tribunal decisions under the DPDP Act can be judicially reviewed.</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Maneka Gandhi v. Union of India</w:t>
      </w:r>
    </w:p>
    <w:p>
      <w:pPr>
        <w:spacing w:after="0" w:before="0" w:line="240"/>
        <w:ind w:left="0" w:right="0"/>
        <w:jc w:val="both"/>
      </w:pPr>
      <w:r>
        <w:rPr>
          <w:rFonts w:ascii="Calibri" w:cs="Calibri" w:eastAsia="Calibri" w:hAnsi="Calibri"/>
          <w:b w:val="false"/>
          <w:bCs w:val="false"/>
          <w:color w:val="000000"/>
          <w:sz w:val="28"/>
          <w:szCs w:val="28"/>
        </w:rPr>
        <w:t xml:space="preserve">Citation: (1978) 1 SCC 248</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petitioner's passport was impounded without providing an adequate opportunity of being heard.</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administrative decisions affecting rights require fair procedure.</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held that any procedure affecting rights must be fair, just and reasonable. Section 29(4) reflects this: the Appellate Tribunal must give both parties an opportunity of being heard before passing an order. Arbitrary appellate procedure would violate the constitutional standard.</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Salem Advocate Bar Association v. Union of India</w:t>
      </w:r>
    </w:p>
    <w:p>
      <w:pPr>
        <w:spacing w:after="0" w:before="0" w:line="240"/>
        <w:ind w:left="0" w:right="0"/>
        <w:jc w:val="both"/>
      </w:pPr>
      <w:r>
        <w:rPr>
          <w:rFonts w:ascii="Calibri" w:cs="Calibri" w:eastAsia="Calibri" w:hAnsi="Calibri"/>
          <w:b w:val="false"/>
          <w:bCs w:val="false"/>
          <w:color w:val="000000"/>
          <w:sz w:val="28"/>
          <w:szCs w:val="28"/>
        </w:rPr>
        <w:t xml:space="preserve">Citation: (2005) 6 SCC 344</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case considered amendments to the Code of Civil Procedure encouraging alternative dispute resolution.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ADR mechanisms improve access to justice and reduce court burden.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recognised that ADR mechanisms reduce court burden, provide speedy justice and encourage settlement. Section 31 of the DPDP Act incorporates this understanding by directing parties to mediation in suitable cases, giving the Act a modern dispute resolution architecture.</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Afcons Infrastructure Ltd. v. Cherian Varkey Construction Co. Pvt. Ltd.</w:t>
      </w:r>
    </w:p>
    <w:p>
      <w:pPr>
        <w:spacing w:after="0" w:before="0" w:line="240"/>
        <w:ind w:left="0" w:right="0"/>
        <w:jc w:val="both"/>
      </w:pPr>
      <w:r>
        <w:rPr>
          <w:rFonts w:ascii="Calibri" w:cs="Calibri" w:eastAsia="Calibri" w:hAnsi="Calibri"/>
          <w:b w:val="false"/>
          <w:bCs w:val="false"/>
          <w:color w:val="000000"/>
          <w:sz w:val="28"/>
          <w:szCs w:val="28"/>
        </w:rPr>
        <w:t xml:space="preserve">Citation: (2010) 8 SCC 24</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case dealt with the scope and appropriate application of alternative dispute resolution methods in civil disputes.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Which disputes are suitable for ADR.</w:t>
      </w:r>
    </w:p>
    <w:p>
      <w:pPr>
        <w:spacing w:after="0" w:before="0" w:line="240"/>
        <w:ind w:left="0" w:right="0"/>
        <w:jc w:val="both"/>
      </w:pPr>
      <w:r>
        <w:rPr>
          <w:rFonts w:ascii="Calibri" w:cs="Calibri" w:eastAsia="Calibri" w:hAnsi="Calibri"/>
          <w:b w:val="false"/>
          <w:bCs w:val="false"/>
          <w:color w:val="000000"/>
          <w:sz w:val="28"/>
          <w:szCs w:val="28"/>
        </w:rPr>
        <w:t xml:space="preserve">How courts should encourage settlement.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explained the importance of mediation, conciliation and settlement procedures and held that courts should encourage suitable disputes to be resolved through ADR. This approach supports Section 31 of the DPDP Act, which empowers the Board to direct mediation for appropriate data protection complaints.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5. Conclusion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provisions relating to appeal and alternative dispute resolution under Sections 29 to 32 of the Digital Personal Data Protection Act, 2023 create an effective and complete remedial framework. Section 29 provides a formal right of appeal before the Appellate Tribunal, ensuring independent review of Board decisions. Section 30 makes tribunal orders enforceable as civil court decrees, giving them practical effect. Section 31 introduces mediation as a faster and less adversarial alternative, while Section 32 promotes voluntary compliance through corrective undertakings. Principles from L. Chandra Kumar v. Union of India, Maneka Gandhi v. Union of India and Afcons Infrastructure v. Cherian Varkey confirm the importance of fair procedure, access to justice and efficient dispute resolution. Together these provisions ensure that the DPDP Act's enforcement system is balanced, accessible and practical.</w:t>
      </w:r>
    </w:p>
    <w:p>
      <w:pPr>
        <w:spacing w:after="0" w:before="0" w:line="240"/>
      </w:pPr>
      <w:r>
        <w:rPr>
          <w:rFonts w:ascii="Calibri" w:cs="Calibri" w:eastAsia="Calibri" w:hAnsi="Calibri"/>
          <w:sz w:val="28"/>
          <w:szCs w:val="28"/>
        </w:rPr>
        <w:t xml:space="preserve"/>
      </w:r>
    </w:p>
    <w:p>
      <w:r>
        <w:br w:type="page"/>
      </w:r>
    </w:p>
    <w:p>
      <w:pPr>
        <w:spacing w:after="0" w:before="0" w:line="240"/>
        <w:ind w:left="0" w:right="0"/>
        <w:jc w:val="both"/>
      </w:pPr>
      <w:r>
        <w:rPr>
          <w:rFonts w:ascii="Calibri" w:cs="Calibri" w:eastAsia="Calibri" w:hAnsi="Calibri"/>
          <w:b/>
          <w:bCs/>
          <w:color w:val="000000"/>
          <w:sz w:val="28"/>
          <w:szCs w:val="28"/>
        </w:rPr>
        <w:t xml:space="preserve">Chapter VIII</w:t>
      </w:r>
    </w:p>
    <w:p>
      <w:pPr>
        <w:spacing w:after="0" w:before="0" w:line="240"/>
        <w:ind w:left="0" w:right="0"/>
        <w:jc w:val="both"/>
      </w:pPr>
      <w:r>
        <w:rPr>
          <w:rFonts w:ascii="Calibri" w:cs="Calibri" w:eastAsia="Calibri" w:hAnsi="Calibri"/>
          <w:b/>
          <w:bCs/>
          <w:color w:val="000000"/>
          <w:sz w:val="28"/>
          <w:szCs w:val="28"/>
        </w:rPr>
        <w:t xml:space="preserve">Penalties and adjudication under the Digital Personal Data Protection Act, 2023 (Sections 33–34)</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Synopsis</w:t>
      </w:r>
    </w:p>
    <w:p>
      <w:pPr>
        <w:spacing w:after="0" w:before="0" w:line="240"/>
        <w:ind w:left="0" w:right="0"/>
        <w:jc w:val="both"/>
      </w:pPr>
      <w:r>
        <w:rPr>
          <w:rFonts w:ascii="Calibri" w:cs="Calibri" w:eastAsia="Calibri" w:hAnsi="Calibri"/>
          <w:b w:val="false"/>
          <w:bCs w:val="false"/>
          <w:color w:val="000000"/>
          <w:sz w:val="28"/>
          <w:szCs w:val="28"/>
        </w:rPr>
        <w:t xml:space="preserve">Introduction</w:t>
      </w:r>
    </w:p>
    <w:p>
      <w:pPr>
        <w:spacing w:after="0" w:before="0" w:line="240"/>
        <w:ind w:left="0" w:right="0"/>
        <w:jc w:val="both"/>
      </w:pPr>
      <w:r>
        <w:rPr>
          <w:rFonts w:ascii="Calibri" w:cs="Calibri" w:eastAsia="Calibri" w:hAnsi="Calibri"/>
          <w:b w:val="false"/>
          <w:bCs w:val="false"/>
          <w:color w:val="000000"/>
          <w:sz w:val="28"/>
          <w:szCs w:val="28"/>
        </w:rPr>
        <w:t xml:space="preserve">Penalties and adjudication (Sections 33–34 explained in detail with illustrations)</w:t>
      </w:r>
    </w:p>
    <w:p>
      <w:pPr>
        <w:spacing w:after="0" w:before="0" w:line="240"/>
        <w:ind w:left="0" w:right="0"/>
        <w:jc w:val="both"/>
      </w:pPr>
      <w:r>
        <w:rPr>
          <w:rFonts w:ascii="Calibri" w:cs="Calibri" w:eastAsia="Calibri" w:hAnsi="Calibri"/>
          <w:b w:val="false"/>
          <w:bCs w:val="false"/>
          <w:color w:val="000000"/>
          <w:sz w:val="28"/>
          <w:szCs w:val="28"/>
        </w:rPr>
        <w:t xml:space="preserve">Quick summary in tabular format</w:t>
      </w:r>
    </w:p>
    <w:p>
      <w:pPr>
        <w:spacing w:after="0" w:before="0" w:line="240"/>
        <w:ind w:left="0" w:right="0"/>
        <w:jc w:val="both"/>
      </w:pPr>
      <w:r>
        <w:rPr>
          <w:rFonts w:ascii="Calibri" w:cs="Calibri" w:eastAsia="Calibri" w:hAnsi="Calibri"/>
          <w:b w:val="false"/>
          <w:bCs w:val="false"/>
          <w:color w:val="000000"/>
          <w:sz w:val="28"/>
          <w:szCs w:val="28"/>
        </w:rPr>
        <w:t xml:space="preserve">Relevant case laws</w:t>
      </w:r>
    </w:p>
    <w:p>
      <w:pPr>
        <w:spacing w:after="0" w:before="0" w:line="240"/>
        <w:ind w:left="0" w:right="0"/>
        <w:jc w:val="both"/>
      </w:pPr>
      <w:r>
        <w:rPr>
          <w:rFonts w:ascii="Calibri" w:cs="Calibri" w:eastAsia="Calibri" w:hAnsi="Calibri"/>
          <w:b w:val="false"/>
          <w:bCs w:val="false"/>
          <w:color w:val="000000"/>
          <w:sz w:val="28"/>
          <w:szCs w:val="28"/>
        </w:rPr>
        <w:t xml:space="preserve">Conclusion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1. Introduction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A law without consequences for violation cannot effectively protect individuals. The Digital Personal Data Protection Act, 2023 creates duties upon Data Fiduciaries and rights for Data Principals. To ensure these duties are followed, the Act provides a system of inquiry, adjudication and monetary penalties through the Data Protection Board. Sections 33 and 34 provide the penalty framework and the destination of collected penalties. Together they constitute the financial enforcement backbone of the Act.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2. Penalties and adjudication (Sections 33–34 explained in detail with illustrations)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33 – Penalties</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33(1): If the Board determines on conclusion of an inquiry that breach of the provisions of this Act or the rules made thereunder by a person is significant, it may, after giving the person an opportunity of being heard, impose such monetary penalty as is specified in the Schedule.</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33(2): While determining the amount of monetary penalty to be imposed, the Board shall have regard to the following matters, namely —</w:t>
      </w:r>
    </w:p>
    <w:p>
      <w:pPr>
        <w:spacing w:after="0" w:before="0" w:line="240"/>
        <w:ind w:left="0"/>
      </w:pPr>
      <w:r>
        <w:rPr>
          <w:rFonts w:ascii="Calibri" w:cs="Calibri" w:eastAsia="Calibri" w:hAnsi="Calibri"/>
          <w:color w:val="000000"/>
          <w:sz w:val="28"/>
          <w:szCs w:val="28"/>
        </w:rPr>
        <w:t xml:space="preserve">(a) the nature, gravity and duration of the breach;</w:t>
      </w:r>
    </w:p>
    <w:p>
      <w:pPr>
        <w:spacing w:after="0" w:before="0" w:line="240"/>
        <w:ind w:left="0"/>
      </w:pPr>
      <w:r>
        <w:rPr>
          <w:rFonts w:ascii="Calibri" w:cs="Calibri" w:eastAsia="Calibri" w:hAnsi="Calibri"/>
          <w:color w:val="000000"/>
          <w:sz w:val="28"/>
          <w:szCs w:val="28"/>
        </w:rPr>
        <w:t xml:space="preserve">(b) the type and nature of the personal data affected by the breach;</w:t>
      </w:r>
    </w:p>
    <w:p>
      <w:pPr>
        <w:spacing w:after="0" w:before="0" w:line="240"/>
        <w:ind w:left="0"/>
      </w:pPr>
      <w:r>
        <w:rPr>
          <w:rFonts w:ascii="Calibri" w:cs="Calibri" w:eastAsia="Calibri" w:hAnsi="Calibri"/>
          <w:color w:val="000000"/>
          <w:sz w:val="28"/>
          <w:szCs w:val="28"/>
        </w:rPr>
        <w:t xml:space="preserve">(c) repetitive nature of the breach;</w:t>
      </w:r>
    </w:p>
    <w:p>
      <w:pPr>
        <w:spacing w:after="0" w:before="0" w:line="240"/>
        <w:ind w:left="0"/>
      </w:pPr>
      <w:r>
        <w:rPr>
          <w:rFonts w:ascii="Calibri" w:cs="Calibri" w:eastAsia="Calibri" w:hAnsi="Calibri"/>
          <w:color w:val="000000"/>
          <w:sz w:val="28"/>
          <w:szCs w:val="28"/>
        </w:rPr>
        <w:t xml:space="preserve">(d) whether the person, as a result of the breach, has realised a gain or avoided any loss;</w:t>
      </w:r>
    </w:p>
    <w:p>
      <w:pPr>
        <w:spacing w:after="0" w:before="0" w:line="240"/>
        <w:ind w:left="0"/>
      </w:pPr>
      <w:r>
        <w:rPr>
          <w:rFonts w:ascii="Calibri" w:cs="Calibri" w:eastAsia="Calibri" w:hAnsi="Calibri"/>
          <w:color w:val="000000"/>
          <w:sz w:val="28"/>
          <w:szCs w:val="28"/>
        </w:rPr>
        <w:t xml:space="preserve">(e) whether the person took any action to mitigate the effects and consequences of the breach, and the timeliness and effectiveness of such action;</w:t>
      </w:r>
    </w:p>
    <w:p>
      <w:pPr>
        <w:spacing w:after="0" w:before="0" w:line="240"/>
        <w:ind w:left="0"/>
      </w:pPr>
      <w:r>
        <w:rPr>
          <w:rFonts w:ascii="Calibri" w:cs="Calibri" w:eastAsia="Calibri" w:hAnsi="Calibri"/>
          <w:color w:val="000000"/>
          <w:sz w:val="28"/>
          <w:szCs w:val="28"/>
        </w:rPr>
        <w:t xml:space="preserve">(f) whether the monetary penalty to be imposed is proportionate and effective, having regard to the need to secure observance of and deter breach of the provisions of this Act; and</w:t>
      </w:r>
    </w:p>
    <w:p>
      <w:pPr>
        <w:spacing w:after="0" w:before="0" w:line="240"/>
        <w:ind w:left="0"/>
      </w:pPr>
      <w:r>
        <w:rPr>
          <w:rFonts w:ascii="Calibri" w:cs="Calibri" w:eastAsia="Calibri" w:hAnsi="Calibri"/>
          <w:color w:val="000000"/>
          <w:sz w:val="28"/>
          <w:szCs w:val="28"/>
        </w:rPr>
        <w:t xml:space="preserve">(g) the likely impact of the imposition of the monetary penalty on the person.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33 empowers the Board to impose monetary penalties that are significant enough to deter violations. The penalty must be proportionate: factors such as the gravity and duration of the breach, the sensitivity of data affected, whether the violator profited, and whether corrective steps were taken all influence the amount. The requirement that the Board consider the impact of the penalty on the person prevents penalties that would destroy an otherwise compliant business for a single technical violation. A company that immediately discloses a breach, notifies users and improves security may receive a lower penalty than one that conceals it.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Penalty schedule under the DPDP Act, 2023</w:t>
      </w:r>
    </w:p>
    <w:p>
      <w:pPr>
        <w:spacing w:after="0" w:before="0" w:line="240"/>
      </w:pPr>
      <w:r>
        <w:rPr>
          <w:rFonts w:ascii="Calibri" w:cs="Calibri" w:eastAsia="Calibri" w:hAnsi="Calibri"/>
          <w:sz w:val="28"/>
          <w:szCs w:val="28"/>
        </w:rPr>
        <w:t xml:space="preserve"/>
      </w:r>
    </w:p>
    <w:tbl>
      <w:tblPr>
        <w:tblW w:type="dxa" w:w="830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079"/>
        <w:gridCol w:w="2907"/>
        <w:gridCol w:w="4320"/>
      </w:tblGrid>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Breach</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Provision violated</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Maximum penalty</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Failure to maintain reasonable security safeguards to prevent data breach</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8(5)</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Up to Rs. 250 crore</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Failure to notify data breach to the Board or affected Data Principal</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8(6)</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Up to Rs. 200 crore</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Breach of obligations relating to processing of children's data</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9</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Up to Rs. 200 crore</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Failure to observe additional obligations of Significant Data Fiduciary</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10</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Up to Rs. 150 crore</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Breach of duties by Data Principal (false complaint, false information)</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15</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Up to Rs. 10,000</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Breach of voluntary undertaking</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32</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Up to applicable penalty for the original breach</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Any other breach</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Other provisions</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Up to Rs. 50 crore</w:t>
            </w:r>
          </w:p>
        </w:tc>
      </w:tr>
    </w:tbl>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Section 34 – Crediting sums realised by way of penalties to Consolidated Fund of India</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34: All sums realised by way of penalties imposed by the Board under this Act, shall be credited to the Consolidated Fund of India.</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34 ensures financial transparency and public accountability. Penalties collected by the Board do not become private revenue of the Board itself. Instead, all amounts are credited to the Consolidated Fund of India, the Government's main revenue account, subject to parliamentary oversight. This prevents any suggestion that the Board has a financial incentive to impose higher penalties and ensures that enforcement actions are not commercially motivated.</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Relationship between Sections 33 and 34</w:t>
      </w:r>
    </w:p>
    <w:p>
      <w:pPr>
        <w:spacing w:after="0" w:before="0" w:line="240"/>
      </w:pPr>
      <w:r>
        <w:rPr>
          <w:rFonts w:ascii="Calibri" w:cs="Calibri" w:eastAsia="Calibri" w:hAnsi="Calibri"/>
          <w:sz w:val="28"/>
          <w:szCs w:val="28"/>
        </w:rPr>
        <w:t xml:space="preserve"/>
      </w:r>
    </w:p>
    <w:tbl>
      <w:tblPr>
        <w:tblW w:type="dxa" w:w="830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 33</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 34</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Deals with imposing penalties</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Deals with handling penalty amounts</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Enforcement provision</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Financial management provision</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Ensures compliance through deterrence</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Ensures transparency and public accountability</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Determines the quantum of penalty</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Determines the destination of collected amounts</w:t>
            </w:r>
          </w:p>
        </w:tc>
      </w:tr>
    </w:tbl>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3. Quick summary in tabular format</w:t>
      </w:r>
    </w:p>
    <w:p>
      <w:pPr>
        <w:spacing w:after="0" w:before="0" w:line="240"/>
      </w:pPr>
      <w:r>
        <w:rPr>
          <w:rFonts w:ascii="Calibri" w:cs="Calibri" w:eastAsia="Calibri" w:hAnsi="Calibri"/>
          <w:sz w:val="28"/>
          <w:szCs w:val="28"/>
        </w:rPr>
        <w:t xml:space="preserve"/>
      </w:r>
    </w:p>
    <w:tbl>
      <w:tblPr>
        <w:tblW w:type="dxa" w:w="830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079"/>
        <w:gridCol w:w="2907"/>
        <w:gridCol w:w="4320"/>
      </w:tblGrid>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Provision</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Detailed explanation</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33</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Penalties</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Empowers the Board to impose monetary penalties for significant breaches after inquiry and hearing. Factors including gravity, duration, type of data affected, gain obtained and mitigation steps taken determine the quantum.</w:t>
            </w:r>
          </w:p>
        </w:tc>
      </w:tr>
      <w:tr>
        <w:tc>
          <w:tcPr>
            <w:tcW w:type="dxa" w:w="107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34</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Crediting sums realised by way of penalties to Consolidated Fund of India</w:t>
            </w:r>
          </w:p>
        </w:tc>
        <w:tc>
          <w:tcPr>
            <w:tcW w:type="dxa" w:w="43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All penalties collected by the Board are credited to the Consolidated Fund of India, ensuring transparency and preventing commercial motivation in enforcement.</w:t>
            </w:r>
          </w:p>
        </w:tc>
      </w:tr>
    </w:tbl>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4. Relevant case laws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Justice K.S. Puttaswamy (Retd.) v. Union of India</w:t>
      </w:r>
    </w:p>
    <w:p>
      <w:pPr>
        <w:spacing w:after="0" w:before="0" w:line="240"/>
        <w:ind w:left="0" w:right="0"/>
        <w:jc w:val="both"/>
      </w:pPr>
      <w:r>
        <w:rPr>
          <w:rFonts w:ascii="Calibri" w:cs="Calibri" w:eastAsia="Calibri" w:hAnsi="Calibri"/>
          <w:b w:val="false"/>
          <w:bCs w:val="false"/>
          <w:color w:val="000000"/>
          <w:sz w:val="28"/>
          <w:szCs w:val="28"/>
        </w:rPr>
        <w:t xml:space="preserve">Citation: (2017) 10 SCC 1</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A constitutional bench examined whether privacy is a fundamental right and whether effective remedies including penalties are necessary for its protection.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privacy is a fundamental right.</w:t>
      </w:r>
    </w:p>
    <w:p>
      <w:pPr>
        <w:spacing w:after="0" w:before="0" w:line="240"/>
        <w:ind w:left="0" w:right="0"/>
        <w:jc w:val="both"/>
      </w:pPr>
      <w:r>
        <w:rPr>
          <w:rFonts w:ascii="Calibri" w:cs="Calibri" w:eastAsia="Calibri" w:hAnsi="Calibri"/>
          <w:b w:val="false"/>
          <w:bCs w:val="false"/>
          <w:color w:val="000000"/>
          <w:sz w:val="28"/>
          <w:szCs w:val="28"/>
        </w:rPr>
        <w:t xml:space="preserve">Whether penalties for data misuse have constitutional foundation.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unanimously held that privacy is a fundamental right under Article 21. Rights require effective remedies. The penalty provisions in Section 33 give practical effect to the constitutional protection of informational privacy recognised in this judgment.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K.S. Puttaswamy (Aadhaar judgment) v. Union of India</w:t>
      </w:r>
    </w:p>
    <w:p>
      <w:pPr>
        <w:spacing w:after="0" w:before="0" w:line="240"/>
        <w:ind w:left="0" w:right="0"/>
        <w:jc w:val="both"/>
      </w:pPr>
      <w:r>
        <w:rPr>
          <w:rFonts w:ascii="Calibri" w:cs="Calibri" w:eastAsia="Calibri" w:hAnsi="Calibri"/>
          <w:b w:val="false"/>
          <w:bCs w:val="false"/>
          <w:color w:val="000000"/>
          <w:sz w:val="28"/>
          <w:szCs w:val="28"/>
        </w:rPr>
        <w:t xml:space="preserve">Citation: (2019) 1 SCC 1</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Aadhaar scheme involving large-scale biometric and demographic data collection was challenged on privacy grounds.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large-scale data processing requires accountability mechanisms and enforcement penalties.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upheld the Aadhaar scheme with restrictions including requirements of accountability and security safeguards. The decision supports the principle that organisations processing personal data must be held accountable through financial penalties when they fail their obligations.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Maneka Gandhi v. Union of India</w:t>
      </w:r>
    </w:p>
    <w:p>
      <w:pPr>
        <w:spacing w:after="0" w:before="0" w:line="240"/>
        <w:ind w:left="0" w:right="0"/>
        <w:jc w:val="both"/>
      </w:pPr>
      <w:r>
        <w:rPr>
          <w:rFonts w:ascii="Calibri" w:cs="Calibri" w:eastAsia="Calibri" w:hAnsi="Calibri"/>
          <w:b w:val="false"/>
          <w:bCs w:val="false"/>
          <w:color w:val="000000"/>
          <w:sz w:val="28"/>
          <w:szCs w:val="28"/>
        </w:rPr>
        <w:t xml:space="preserve">Citation: (1978) 1 SCC 248</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petitioner's passport was impounded without a fair opportunity of hearing.</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administrative authorities imposing adverse consequences on individuals must follow fair procedure.</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held that any procedure affecting rights must be fair, just and reasonable. Section 33(1) requires the Board to give the person an opportunity of being heard before imposing a penalty, directly applying the Maneka Gandhi principle to data protection enforcement.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R. Rajagopal v. State of Tamil Nadu</w:t>
      </w:r>
    </w:p>
    <w:p>
      <w:pPr>
        <w:spacing w:after="0" w:before="0" w:line="240"/>
        <w:ind w:left="0" w:right="0"/>
        <w:jc w:val="both"/>
      </w:pPr>
      <w:r>
        <w:rPr>
          <w:rFonts w:ascii="Calibri" w:cs="Calibri" w:eastAsia="Calibri" w:hAnsi="Calibri"/>
          <w:b w:val="false"/>
          <w:bCs w:val="false"/>
          <w:color w:val="000000"/>
          <w:sz w:val="28"/>
          <w:szCs w:val="28"/>
        </w:rPr>
        <w:t xml:space="preserve">Citation: (1994) 6 SCC 632</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case involved unauthorised publication of personal information and the right to control it.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individuals have a right to remedy against misuse of personal information.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recognised the right to be let alone and held that unauthorised use of private information may violate privacy. This decision supports the justification for imposing significant penalties on Data Fiduciaries who misuse or fail to protect personal data.</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Shreya Singhal v. Union of India</w:t>
      </w:r>
    </w:p>
    <w:p>
      <w:pPr>
        <w:spacing w:after="0" w:before="0" w:line="240"/>
        <w:ind w:left="0" w:right="0"/>
        <w:jc w:val="both"/>
      </w:pPr>
      <w:r>
        <w:rPr>
          <w:rFonts w:ascii="Calibri" w:cs="Calibri" w:eastAsia="Calibri" w:hAnsi="Calibri"/>
          <w:b w:val="false"/>
          <w:bCs w:val="false"/>
          <w:color w:val="000000"/>
          <w:sz w:val="28"/>
          <w:szCs w:val="28"/>
        </w:rPr>
        <w:t xml:space="preserve">Citation: (2015) 5 SCC 1</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Section 66A of the Information Technology Act, 2000 was challenged as unconstitutional.</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digital regulation including penalties must conform to constitutional limits.</w:t>
      </w:r>
    </w:p>
    <w:p>
      <w:pPr>
        <w:spacing w:after="0" w:before="0" w:line="240"/>
        <w:ind w:left="0" w:right="0"/>
        <w:jc w:val="both"/>
      </w:pPr>
      <w:r>
        <w:rPr>
          <w:rFonts w:ascii="Calibri" w:cs="Calibri" w:eastAsia="Calibri" w:hAnsi="Calibri"/>
          <w:b w:val="false"/>
          <w:bCs w:val="false"/>
          <w:color w:val="000000"/>
          <w:sz w:val="28"/>
          <w:szCs w:val="28"/>
        </w:rPr>
        <w:t xml:space="preserve">Whether overbroad regulatory provisions in digital law can be struck down.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Supreme Court struck down Section 66A of the IT Act as unconstitutional. The decision shows that digital penalties must be reasonable and proportionate. The DPDP Act's penalty framework, which requires consideration of proportionality under Section 33(2)(f), reflects this requirement.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bCs/>
          <w:color w:val="000000"/>
          <w:sz w:val="28"/>
          <w:szCs w:val="28"/>
        </w:rPr>
        <w:t xml:space="preserve">5. Conclusion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penalty and adjudication provisions under Sections 33 and 34 of the Digital Personal Data Protection Act, 2023 provide the enforcement foundation of India's data protection framework. Privacy rights become meaningful only when there are real consequences for violation. Section 33 empowers the Data Protection Board to impose monetary penalties scaled to the gravity of the breach, the sensitivity of data affected, whether harm was caused and whether the violator took corrective action. The penalty schedule reaches up to Rs. 250 crore for the most serious failures, creating genuine deterrence for large organisations. Section 34 ensures that collected penalties are credited to the Consolidated Fund of India, maintaining financial transparency and ensuring enforcement is motivated by compliance rather than revenue. Judicial principles from Justice K.S. Puttaswamy v. Union of India, Maneka Gandhi v. Union of India and Shreya Singhal v. Union of India confirm that penalties must be grounded in constitutional values of privacy, fair procedure and proportionality. Together Sections 33 and 34 ensure that the DPDP Act operates not merely as a declaration of rights but as an enforceable legal framework built on privacy protection, accountability, compliance and trust in India's digital future.</w:t>
      </w:r>
    </w:p>
    <w:p>
      <w:pPr>
        <w:spacing w:after="0" w:before="0" w:line="240"/>
      </w:pPr>
      <w:r>
        <w:rPr>
          <w:rFonts w:ascii="Calibri" w:cs="Calibri" w:eastAsia="Calibri" w:hAnsi="Calibri"/>
          <w:sz w:val="28"/>
          <w:szCs w:val="28"/>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8"/>
        <w:szCs w:val="28"/>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2026-06-17T11:30:26.645Z</dcterms:created>
  <dcterms:modified xsi:type="dcterms:W3CDTF">2026-06-17T11:30:26.658Z</dcterms:modified>
</cp:coreProperties>
</file>

<file path=docProps/custom.xml><?xml version="1.0" encoding="utf-8"?>
<Properties xmlns="http://schemas.openxmlformats.org/officeDocument/2006/custom-properties" xmlns:vt="http://schemas.openxmlformats.org/officeDocument/2006/docPropsVTypes"/>
</file>