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line="240" w:before="0" w:after="0"/>
      </w:pPr>
      <w:r>
        <w:rPr>
          <w:rFonts w:ascii="Calibri" w:hAnsi="Calibri"/>
          <w:b/>
          <w:i w:val="0"/>
          <w:color w:val="000000"/>
          <w:sz w:val="28"/>
        </w:rPr>
        <w:t>Module VI – Cyber laws in India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Chapter I – Introduction, need for cyber law, cyber crimes, cyber fraud and history of cyber law in India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Need for cyber law</w:t>
      </w:r>
    </w:p>
    <w:p>
      <w:pPr>
        <w:jc w:val="both"/>
        <w:spacing w:line="240" w:before="0" w:after="0"/>
        <w:ind w:left="767" w:right="567"/>
      </w:pPr>
      <w:r>
        <w:rPr>
          <w:rFonts w:ascii="Calibri" w:hAnsi="Calibri"/>
          <w:b w:val="0"/>
          <w:i w:val="0"/>
          <w:color w:val="000000"/>
          <w:sz w:val="28"/>
        </w:rPr>
        <w:t>–  Cyber crimes and reasons for rise</w:t>
      </w:r>
    </w:p>
    <w:p>
      <w:pPr>
        <w:jc w:val="both"/>
        <w:spacing w:line="240" w:before="0" w:after="0"/>
        <w:ind w:left="767" w:right="567"/>
      </w:pPr>
      <w:r>
        <w:rPr>
          <w:rFonts w:ascii="Calibri" w:hAnsi="Calibri"/>
          <w:b w:val="0"/>
          <w:i w:val="0"/>
          <w:color w:val="000000"/>
          <w:sz w:val="28"/>
        </w:rPr>
        <w:t>–  Cyber fraud and reasons for rise</w:t>
      </w:r>
    </w:p>
    <w:p>
      <w:pPr>
        <w:jc w:val="both"/>
        <w:spacing w:line="240" w:before="0" w:after="0"/>
        <w:ind w:left="767" w:right="567"/>
      </w:pPr>
      <w:r>
        <w:rPr>
          <w:rFonts w:ascii="Calibri" w:hAnsi="Calibri"/>
          <w:b w:val="0"/>
          <w:i w:val="0"/>
          <w:color w:val="000000"/>
          <w:sz w:val="28"/>
        </w:rPr>
        <w:t>–  Types of cyber fraud</w:t>
      </w:r>
    </w:p>
    <w:p>
      <w:pPr>
        <w:jc w:val="both"/>
        <w:spacing w:line="240" w:before="0" w:after="0"/>
        <w:ind w:left="767" w:right="567"/>
      </w:pPr>
      <w:r>
        <w:rPr>
          <w:rFonts w:ascii="Calibri" w:hAnsi="Calibri"/>
          <w:b w:val="0"/>
          <w:i w:val="0"/>
          <w:color w:val="000000"/>
          <w:sz w:val="28"/>
        </w:rPr>
        <w:t>–  History of cyber law in India</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rapid development of science, technology and the internet has transformed human society into a digital society. Computers, smartphones and internet-based technologies have become an essential part of everyday life. Communication, banking, education, business, governance and social interaction are increasingly dependent upon digital platforms. This transformation created what is commonly known as cyberspace — the virtual environment created by computer systems, internet networks and digital communication technologies where individuals interact, exchange information and conduct transactions.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With the growth of cyberspace, traditional concepts of law faced new challenges because activities that earlier occurred physically began occurring electronically. Online contracts, digital payments, electronic communication and online businesses became commonplace. However, technological advancement also resulted in misuse of computers and the internet for criminal purposes such as online fraud, identity theft, hacking, data theft, cyber terrorism and financial scams. Traditional laws were insufficient to regulate such activities because cyber offences have no geographical boundaries, can be committed anonymously, occur at high speed and involve complex technology. Therefore, a specialised branch of law known as cyber law developed.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Cyber law refers to the legal framework that governs internet activities, computer systems, digital communication, electronic transactions and cyber offences. It regulates the relationship between individuals using technology, organisations operating digitally, government authorities and cyber criminals. In India, the primary legislation governing cyberspace is the Information Technology Act, 2000, which was enacted to provide legal recognition to electronic records, recognise digital signatures, promote e-commerce, prevent cyber crimes and establish cyber regulation mechanisms. The Act was later amended by the Information Technology (Amendment) Act, 2008, which introduced several provisions relating to modern cyber offences.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Cyber law has multiple characteristics. It functions as regulatory law, controlling digital activities and online transactions. It operates as penal law by providing punishment for cyber offences. It supports commercial law by enabling e-commerce, electronic agreements and digital signatures. It also serves as protective law by guarding data, privacy and digital identity. In the modern world dependent upon internet banking, online shopping, cloud storage, digital governance and artificial intelligence, cyber laws provide the essential framework within which all digital activity securely operates.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Need for cyber law</w:t>
      </w:r>
    </w:p>
    <w:p>
      <w:pPr>
        <w:jc w:val="both"/>
        <w:spacing w:line="240" w:before="0" w:after="0"/>
      </w:pPr>
      <w:r>
        <w:rPr>
          <w:rFonts w:ascii="Calibri" w:hAnsi="Calibri"/>
          <w:b w:val="0"/>
          <w:i w:val="0"/>
          <w:color w:val="000000"/>
          <w:sz w:val="28"/>
        </w:rPr>
        <w:t>The need for cyber law arose because traditional legal principles were inadequate to address digital challenges. Several specific reasons explain this necessity.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growth of internet usage created millions of daily users conducting communication, banking, business and education online, generating greater chances of misuse that traditional law could not address. Cyber law provides rules for responsible use. Technology can be used for illegal activities such as hacking, identity theft, online cheating and data stealing — cyber law creates specific offences and punishments. Modern business depends on online contracts, digital payments and electronic documents, and cyber law gives legal recognition to such transactions. Data has become the most valuable asset of the digital age, containing financial details, health records and identity information, which cyber laws protect against misuse.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Online business requires rules relating to validity of contracts, authentication and consumer protection, making cyber law essential for the regulation of e-commerce. Cyber attacks may target government systems, defence networks and critical infrastructure, and cyber laws help prevent cyber terrorism and cyber warfare. Modern crimes often involve emails, messages and electronic records, requiring cyber laws to provide recognition to digital evidence. Cyber crimes frequently cross national borders, making international legal cooperation necessary — and cyber law provides the framework for such cooperation.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Cyber crimes and reasons for rise</w:t>
      </w:r>
    </w:p>
    <w:p>
      <w:pPr>
        <w:jc w:val="both"/>
        <w:spacing w:line="240" w:before="0" w:after="0"/>
      </w:pPr>
      <w:r>
        <w:rPr>
          <w:rFonts w:ascii="Calibri" w:hAnsi="Calibri"/>
          <w:b w:val="0"/>
          <w:i w:val="0"/>
          <w:color w:val="000000"/>
          <w:sz w:val="28"/>
        </w:rPr>
        <w:t>Cyber crime refers to unlawful activities where a computer is either the target of crime or a tool used to commit crime. It may be defined as any illegal act committed using a computer, computer network or digital technology, or directed against computer systems and data.</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Cyber crime has several distinct characteristics. Its borderless nature means a criminal may operate from one country while affecting victims worldwide. Anonymity allows cyber criminals to hide identity using technology. Speed means cyber crimes occur within seconds. Large-scale impact means one cyber attack can affect millions of users. Common categories include hacking (unauthorised access to computer systems), identity theft (stealing personal information for fraudulent use), phishing (obtaining sensitive information through fake communication), cyber stalking (using technology to harass or threaten individuals) and cyber terrorism (use of cyberspace to threaten national security).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Several factors explain the rise of cyber crimes. Rapid growth of technology means development outpaces awareness and regulation. Increased internet dependency creates more opportunities for criminals. Lack of awareness among users about security practices, privacy protection and online threats makes them vulnerable. Anonymity of the internet allows criminals to hide through fake accounts and technical methods. Financial motivation drives cyber crime because it provides illegal financial benefits through fraud, data theft and online scams. The global nature of the internet creates different jurisdictions that make investigation difficult. Weak security practices such as weak passwords, lack of software updates and sharing of confidential information facilitate criminal activity.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Cyber fraud and reasons for rise</w:t>
      </w:r>
    </w:p>
    <w:p>
      <w:pPr>
        <w:jc w:val="both"/>
        <w:spacing w:line="240" w:before="0" w:after="0"/>
      </w:pPr>
      <w:r>
        <w:rPr>
          <w:rFonts w:ascii="Calibri" w:hAnsi="Calibri"/>
          <w:b w:val="0"/>
          <w:i w:val="0"/>
          <w:color w:val="000000"/>
          <w:sz w:val="28"/>
        </w:rPr>
        <w:t>Cyber fraud is one of the most common forms of cyber crime. It refers to dishonest or deceptive activities committed through computers, internet services or digital communication systems with the intention of causing wrongful loss to another person or gaining wrongful benefit. Cyber fraud involves false representation, dishonest intention, manipulation of digital systems and unauthorised financial benefit.</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4500"/>
        <w:gridCol w:w="4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Cyber crime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Cyber fraud</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Wider concept that includes all crimes involving computers</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Narrower concept focused on deception-based online crimes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May involve hacking, cyber terrorism, data theft, etc.</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Mainly involves cheating or financial loss through digital means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Motive may vary widely</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Motive is usually financial gain or wrongful benefit</w:t>
            </w:r>
          </w:p>
        </w:tc>
      </w:tr>
    </w:tbl>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essential elements of cyber fraud are: deception, where the offender creates a false belief in the victim; dishonest intention to obtain unlawful advantage; use of a digital medium such as computer, internet, mobile applications or electronic communication; and wrongful gain to the offender or loss to the victim.</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reasons for the rise of cyber fraud include growth of digital transactions through UPI payments, online shopping and digital wallets, which create more opportunities for fraud. Lack of digital awareness about fake websites, fraudulent links and online security practices makes users vulnerable. Increase in social media usage provides criminals access to personal information, photographs and contact details. Technological advancement gives criminals access to artificial intelligence, malware, fake applications and advanced hacking techniques. Difficulty in identification of criminals who hide behind fake accounts, international servers and anonymous communication frustrates law enforcement. The significant financial benefits of cyber fraud with comparatively low risk incentivise criminal activity. The cross-border nature of fraud, where a fraudster in one country targets victims anywhere, creates difficulties in investigation, arrest and prosecution.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Types of cyber fraud</w:t>
      </w:r>
    </w:p>
    <w:p>
      <w:pPr>
        <w:jc w:val="both"/>
        <w:spacing w:line="240" w:before="0" w:after="0"/>
      </w:pPr>
      <w:r>
        <w:rPr>
          <w:rFonts w:ascii="Calibri" w:hAnsi="Calibri"/>
          <w:b w:val="0"/>
          <w:i w:val="0"/>
          <w:color w:val="000000"/>
          <w:sz w:val="28"/>
        </w:rPr>
        <w:t>Cyber fraud exists in several forms. Phishing fraud involves sending fake messages, emails or websites to obtain confidential information such as passwords, OTPs and card details, with the purpose of stealing financial or personal information. Identity theft means stealing another person's personal information — such as Aadhaar details, bank details or login credentials — and using it illegally. Identity theft is punishable under Section 66C of the Information Technology Act, 2000. Online banking fraud involves illegal activities targeting online financial transactions through fake payment links, internet banking fraud and OTP fraud.</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Credit card and debit card fraud involves unauthorised use of card information through methods such as card cloning, data stealing and fake payment gateways. Online shopping fraud is perpetrated by fraudsters who create fake websites, fake seller accounts or false advertisements, taking payment but delivering nothing or counterfeit products. Investment fraud uses fake investment schemes, fraud applications or fake trading platforms to promise unrealistic returns. Lottery and prize fraud involves false messages claiming lottery winnings or rewards, with money demanded as processing fee, tax or registration charges. Job fraud involves fake employment offers with money collected for registration, training or verification.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Romance fraud uses fake online relationships to emotionally manipulate victims into providing money. Social media fraud includes fake accounts, impersonation and financial requests through hacked profiles. Malware and ransomware fraud involves criminal software installed to steal information, lock systems or demand ransom. SIM swap fraud occurs when fraudsters obtain duplicate SIM cards to access OTPs, banking services and personal accounts.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History of cyber law in India</w:t>
      </w:r>
    </w:p>
    <w:p>
      <w:pPr>
        <w:jc w:val="both"/>
        <w:spacing w:line="240" w:before="0" w:after="0"/>
      </w:pPr>
      <w:r>
        <w:rPr>
          <w:rFonts w:ascii="Calibri" w:hAnsi="Calibri"/>
          <w:b w:val="0"/>
          <w:i w:val="0"/>
          <w:color w:val="000000"/>
          <w:sz w:val="28"/>
        </w:rPr>
        <w:t>The development of cyber law in India occurred in direct response to the growth of computers, internet technology and electronic commerce. Before specific cyber legislation, traditional laws governed offences but no proper recognition existed for electronic records, and digital signatures lacked legal validity.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Internationally, the United Nations Commission on International Trade Law adopted the UNCITRAL Model Law on Electronic Commerce in 1996, which aimed to promote recognition of electronic records, facilitate international e-commerce, provide legal acceptance of electronic communication and remove barriers caused by paper-based requirements. This model law influenced cyber legislation worldwide, including in India.</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India enacted the Information Technology Act, 2000, which came into force on 17 October 2000. The Act aimed to give legal recognition to electronic records and digital signatures, promote electronic commerce, prevent cyber offences and establish cyber regulatory authorities. Important features of the Act include: legal recognition of electronic records treating digital documents equivalent to paper documents; recognition of digital signatures providing an authentication mechanism; creation of cyber offences with punishments for hacking, data theft and unauthorised access; and establishment of authorities for digital certification and regulation.</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Due to rapid technological changes after 2000, the Information Technology (Amendment) Act, 2008 made significant changes. The concept of electronic signature was expanded beyond digital signatures to include broader authentication methods. New cyber offences were added including identity theft (Section 66C), cheating by personation using computer resource (Section 66D), violation of privacy (Section 66E) and cyber terrorism (Section 66F). A stronger data protection framework was introduced placing greater responsibility on organisations handling data.</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Later developments include the Digital Personal Data Protection Act, 2023, which deals specifically with protection and processing of digital personal data. India's cyber law framework today includes the Information Technology Act, 2000, IT Rules, data protection laws, criminal law provisions and electronic evidence rules. These developments collectively represent India's evolving response to the challenges of the digital age.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Shreya Singhal v. Union of India</w:t>
      </w:r>
    </w:p>
    <w:p>
      <w:pPr>
        <w:jc w:val="both"/>
        <w:spacing w:line="240" w:before="0" w:after="0"/>
      </w:pPr>
      <w:r>
        <w:rPr>
          <w:rFonts w:ascii="Calibri" w:hAnsi="Calibri"/>
          <w:b w:val="0"/>
          <w:i w:val="0"/>
          <w:color w:val="000000"/>
          <w:sz w:val="28"/>
        </w:rPr>
        <w:t>Citation: (2015) 5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Section 66A of the Information Technology Act, 2000 was challenged as unconstitutional. The provision punished any person who sent information through a computer resource or communication device that was "grossly offensive" or had "menacing character." Several persons had been arrested for social media posts. The constitutional validity of the provision was challenged before the Supreme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Section 66A of the Information Technology Act, 2000 violated the right to freedom of speech and expression under Article 19(1)(a) of the Constitution? Whether the restrictions imposed under Section 66A satisfied the requirements of Article 19(2)?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unanimously declared Section 66A of the IT Act unconstitutional. The Court held that the terms used in Section 66A — such as "grossly offensive," "menacing character" and "causing annoyance or inconvenience" — were vague and undefined, making the provision incapable of being applied with any certainty. The provision suffered from overbreadth and had a chilling effect on the exercise of the fundamental right to free speech. Restrictions on fundamental rights must be precise, narrowly drawn and must fall within the grounds specified in Article 19(2). Section 66A failed all these tests and could not be saved. The Court held that the section must be struck down in its entirety.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Tamil Nadu v. Suhas Katti</w:t>
      </w:r>
    </w:p>
    <w:p>
      <w:pPr>
        <w:jc w:val="both"/>
        <w:spacing w:line="240" w:before="0" w:after="0"/>
      </w:pPr>
      <w:r>
        <w:rPr>
          <w:rFonts w:ascii="Calibri" w:hAnsi="Calibri"/>
          <w:b w:val="0"/>
          <w:i w:val="0"/>
          <w:color w:val="000000"/>
          <w:sz w:val="28"/>
        </w:rPr>
        <w:t>Citation: C.C. No. 4680 of 2004, Chief Metropolitan Magistrate, Egmore, Chennai (2004)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a known person to the victim, posted obscene, vulgar and harassing messages about a woman on a Yahoo group, attributing false and defamatory content to her. He also made calls on mobile phones using obscene language. A complaint was filed under provisions of the IT Act, 2000.</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posting of obscene and defamatory messages about a person on an internet platform constitutes a cyber offence under the Information Technology Act, 2000? Whether such conduct attracts criminal liability?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This was one of the first cases to result in a conviction under the Information Technology Act, 2000 in India. The court held that posting obscene content and harassing messages on the internet amounts to a punishable offence under the IT Act. The accused was convicted under Section 67 of the IT Act (publishing obscene material in electronic form) and under Section 509 of the Indian Penal Code (word, gesture or act intended to insult the modesty of a woman). The case established an early precedent that cyber offences committed through electronic communication carry criminal liability.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Anvar P.V. v. P.K. Basheer</w:t>
      </w:r>
    </w:p>
    <w:p>
      <w:pPr>
        <w:jc w:val="both"/>
        <w:spacing w:line="240" w:before="0" w:after="0"/>
      </w:pPr>
      <w:r>
        <w:rPr>
          <w:rFonts w:ascii="Calibri" w:hAnsi="Calibri"/>
          <w:b w:val="0"/>
          <w:i w:val="0"/>
          <w:color w:val="000000"/>
          <w:sz w:val="28"/>
        </w:rPr>
        <w:t>Citation: (2014) 10 SCC 473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 an election dispute, the petitioner sought to rely upon electronic records — including CDs and pen drives — as evidence. The question was whether electronic evidence could be admitted without following the procedure prescribed under Section 65B of the Indian Evidence Act, 1872.</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electronic records can be admitted as evidence without compliance with the certification requirements of Section 65B of the Indian Evidence Act? What is the proper procedure for proving electronic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electronic records are a distinct category of evidence governed by the specific provisions of Section 65B of the Indian Evidence Act, 1872. Electronic evidence cannot be admitted without a certificate issued under Section 65B(4) by a person in a responsible official position in relation to the device from which the electronic record was produced. Secondary evidence of electronic records under Sections 63 and 65 of the Indian Evidence Act is not permissible. This landmark judgment fundamentally changed the approach to electronic evidence in Indian courts.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Arjun Panditrao Khotkar v. Kailash Kushanrao Gorantyal</w:t>
      </w:r>
    </w:p>
    <w:p>
      <w:pPr>
        <w:jc w:val="both"/>
        <w:spacing w:line="240" w:before="0" w:after="0"/>
      </w:pPr>
      <w:r>
        <w:rPr>
          <w:rFonts w:ascii="Calibri" w:hAnsi="Calibri"/>
          <w:b w:val="0"/>
          <w:i w:val="0"/>
          <w:color w:val="000000"/>
          <w:sz w:val="28"/>
        </w:rPr>
        <w:t>Citation: (2020) 7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case involved a dispute regarding the production and admissibility of electronic evidence. Earlier in the same case, the High Court had admitted electronic evidence without a proper certificate under Section 65B(4) of the Indian Evidence Act. The Supreme Court was asked to revisit and clarify the law on the admissibility of electronic evidence in light of the Anvar P.V. judgment.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certificate requirement under Section 65B(4) of the Indian Evidence Act is mandatory for admission of electronic records? Can the court direct production of such a certificate at a later stage of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reaffirmed and clarified Anvar P.V. v. P.K. Basheer. The Court held that the requirement of a certificate under Section 65B(4) is mandatory when the original electronic record itself is not produced. Where the original is produced, no certificate is required. The Court also held that the court has the power to direct that a certificate be produced at a later stage if it was not filed initially, to prevent injustice. The judgment established a clear and workable framework for the production and proof of electronic evidence in Indian courts.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Trimex International FZE Ltd., Dubai v. Vedanta Aluminium Ltd.</w:t>
      </w:r>
    </w:p>
    <w:p>
      <w:pPr>
        <w:jc w:val="both"/>
        <w:spacing w:line="240" w:before="0" w:after="0"/>
      </w:pPr>
      <w:r>
        <w:rPr>
          <w:rFonts w:ascii="Calibri" w:hAnsi="Calibri"/>
          <w:b w:val="0"/>
          <w:i w:val="0"/>
          <w:color w:val="000000"/>
          <w:sz w:val="28"/>
        </w:rPr>
        <w:t>Citation: (2010) 3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Trimex and Vedanta engaged in commercial negotiations for the supply of bauxite. During the negotiations, several emails were exchanged between the parties. A dispute arose regarding whether a valid and binding contract had been concluded through these email communications, with one party contending that no formal signed agreement had been executed.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electronic communication through emails can create a legally binding contract? Whether the principles of contract formation apply to electronic correspondence?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 binding contract can be concluded through electronic communication, including emails, if the essential elements of a valid contract — offer, acceptance, consideration and intention to create legal relations — are present. The Court held that the failure to execute a formal physical document does not necessarily prevent a contract from arising if the communications between the parties establish that all essential terms were agreed upon. The judgment affirmed that the Information Technology Act, 2000 supports the legal recognition of electronic communication and contracts.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National Association of Software and Service Companies (NASSCOM) v. Ajay Sood</w:t>
      </w:r>
    </w:p>
    <w:p>
      <w:pPr>
        <w:jc w:val="both"/>
        <w:spacing w:line="240" w:before="0" w:after="0"/>
      </w:pPr>
      <w:r>
        <w:rPr>
          <w:rFonts w:ascii="Calibri" w:hAnsi="Calibri"/>
          <w:b w:val="0"/>
          <w:i w:val="0"/>
          <w:color w:val="000000"/>
          <w:sz w:val="28"/>
        </w:rPr>
        <w:t>Citation: 116 (2005) DLT 96, Delhi High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plaintiffs, a trade association, filed a suit against the defendants who were engaged in the practice of phishing — sending bulk emails to unsuspecting recipients falsely representing them to be from the plaintiffs, and misusing the plaintiffs' name and logo to obtain responses from potential victims.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"phishing" constitutes a tort under Indian law? Whether an injunction may be granted against phishing activity targeting a trade association's identity and reputation?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Delhi High Court held that phishing is a form of internet fraud constituting a tort. The Court granted an injunction restraining the defendants from engaging in phishing activities and from representing themselves as NASSCOM or any of its members. The Court held that phishing causes harm to both the persons whose identity is misused and to the victims who are deceived. The judgment was one of the first Indian judicial pronouncements specifically addressing phishing as a distinct form of cyber fraud.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Cyber law has become one of the most important branches of modern legal systems. The growth of computers, internet technology and digital communication has created new opportunities as well as significant challenges. Cyber crimes and cyber frauds have increased due to increased internet dependency, digital payments, lack of awareness and advanced criminal methods. The development of cyber laws in India, especially through the Information Technology Act, 2000 and its 2008 amendment, provided a legal foundation for regulating cyberspace. Cyber laws protect digital transactions, prevent cyber crimes, secure personal data, promote electronic commerce and protect national security. As technology continuously evolves, cyber laws must also develop to address emerging challenges such as artificial intelligence misuse, data breaches, online financial crimes and cyber warfare. Cyber law represents the balance between technological advancement and the protection of individual rights, security and justice in the digital age.</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II – The Information Technology Act, 2000 – Digital signatures and electronic signatures (Sections 3 to 3A)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Legislative background</w:t>
      </w:r>
    </w:p>
    <w:p>
      <w:pPr>
        <w:jc w:val="both"/>
        <w:spacing w:line="240" w:before="0" w:after="0"/>
        <w:ind w:left="767" w:right="567"/>
      </w:pPr>
      <w:r>
        <w:rPr>
          <w:rFonts w:ascii="Calibri" w:hAnsi="Calibri"/>
          <w:b w:val="0"/>
          <w:i w:val="0"/>
          <w:color w:val="000000"/>
          <w:sz w:val="28"/>
        </w:rPr>
        <w:t>–  Important definitions under the IT Act, 2000</w:t>
      </w:r>
    </w:p>
    <w:p>
      <w:pPr>
        <w:jc w:val="both"/>
        <w:spacing w:line="240" w:before="0" w:after="0"/>
        <w:ind w:left="767" w:right="567"/>
      </w:pPr>
      <w:r>
        <w:rPr>
          <w:rFonts w:ascii="Calibri" w:hAnsi="Calibri"/>
          <w:b w:val="0"/>
          <w:i w:val="0"/>
          <w:color w:val="000000"/>
          <w:sz w:val="28"/>
        </w:rPr>
        <w:t>–  Section 3 – Authentication of electronic records (digital signature)</w:t>
      </w:r>
    </w:p>
    <w:p>
      <w:pPr>
        <w:jc w:val="both"/>
        <w:spacing w:line="240" w:before="0" w:after="0"/>
        <w:ind w:left="767" w:right="567"/>
      </w:pPr>
      <w:r>
        <w:rPr>
          <w:rFonts w:ascii="Calibri" w:hAnsi="Calibri"/>
          <w:b w:val="0"/>
          <w:i w:val="0"/>
          <w:color w:val="000000"/>
          <w:sz w:val="28"/>
        </w:rPr>
        <w:t>–  Section 3A – Electronic signature</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growth of computers, the internet and electronic communication has changed the manner in which individuals, businesses and governments function. Transactions that were traditionally performed through paper documents are now increasingly conducted electronically. Modern society depends upon electronic communication, online banking, e-commerce, digital contracts, electronic governance and cloud-based storage.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emergence of electronic transactions created several legal challenges. Questions arose about whether electronic documents have legal validity, whether electronic agreements are enforceable, how the identity of a person signing electronically can be verified and how cyber crimes can be controlled. Traditional laws were mainly designed for physical documents and handwritten signatures and were therefore inadequate for the digital environment. To address these issues, Parliament enacted the Information Technology Act, 2000, which came into force on 17 October 2000. It is the primary legislation governing cyberspace and electronic transactions in India. The Act was enacted to provide legal recognition to electronic commerce and electronic records and to prevent misuse of information technology.</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 IT Act, 2000 is enabling legislation (enabling digital transactions), regulatory legislation (regulating cyberspace activities), penal legislation (punishing cyber offences) and technology-based legislation (dealing with electronic communication and information systems). Sections 3 and 3A are among the most important provisions because they establish the legal foundation for digital signatures and electronic signatures — the basic authentication mechanisms that underpin all electronic commerce and governance.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Legislative background</w:t>
      </w:r>
    </w:p>
    <w:p>
      <w:pPr>
        <w:jc w:val="both"/>
        <w:spacing w:line="240" w:before="0" w:after="0"/>
      </w:pPr>
      <w:r>
        <w:rPr>
          <w:rFonts w:ascii="Calibri" w:hAnsi="Calibri"/>
          <w:b w:val="0"/>
          <w:i w:val="0"/>
          <w:color w:val="000000"/>
          <w:sz w:val="28"/>
        </w:rPr>
        <w:t>The development of cyber law was influenced by the rapid expansion of global electronic commerce. Traditional contract and evidence laws required written documents and physical signatures, creating difficulty for online transactions. The United Nations Commission on International Trade Law adopted the UNCITRAL Model Law on Electronic Commerce in 1996, aiming to secure recognition of electronic records, promote international e-commerce, provide legal acceptance of electronic communication and remove barriers caused by paper-based requirements. India adopted principles of this Model Law and enacted the Information Technology Act, 2000.</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Before the Act, electronic records had uncertain legal value, digital signatures were not recognised, cyber offences lacked specific regulation and online contracts faced difficulties. The IT Act, 2000 addressed all these gaps. The Information Technology (Amendment) Act, 2008 subsequently introduced Section 3A (electronic signature), new cyber offences including identity theft (Section 66C), cyber terrorism (Section 66F) and privacy violations (Section 66E), and a stronger data protection framework with greater responsibility placed on organisations handling data.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Important definitions under the Information Technology Act, 2000</w:t>
      </w:r>
    </w:p>
    <w:p>
      <w:pPr>
        <w:jc w:val="both"/>
        <w:spacing w:line="240" w:before="0" w:after="0"/>
      </w:pPr>
      <w:r>
        <w:rPr>
          <w:rFonts w:ascii="Calibri" w:hAnsi="Calibri"/>
          <w:b w:val="0"/>
          <w:i w:val="0"/>
          <w:color w:val="000000"/>
          <w:sz w:val="28"/>
        </w:rPr>
        <w:t>Definitions are provided under Section 2 of the IT Act, 2000. They determine the scope and application of the Act.</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600"/>
        <w:gridCol w:w="2000"/>
        <w:gridCol w:w="44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Term</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Definition</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2(1)(i)</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Computer</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Any electronic, magnetic, optical or other high-speed data processing device performing logical, arithmetic and memory functions; includes input, output, processing, storage, software and communication facilities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2(1)(j)</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Computer network</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Interconnection of one or more computers or computer systems or communication devices through satellite, microwave, terrestrial line, wire, wireless or other communication media</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2(1)(k)</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Computer resource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Means computer, computer system, computer network, data, computer database or software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2(1)(o)</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Data</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Representation of information, knowledge, facts, concepts or instructions prepared in a formalised manner and intended to be processed, being processed or having been processed in a computer system or computer network</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2(1)(p)</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Digital signature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Authentication of any electronic record by a subscriber by means of an electronic method or procedure in accordance with the provisions of section 3</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2(1)(r)</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Electronic form</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With reference to information, means any information generated, sent, received or stored in media, magnetic, optical, computer memory, micro film, computer generated micro fiche or similar device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Electronic record</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Data, record or data generated, image or sound stored, received or sent in an electronic form or micro film or computer generated micro fiche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2(1)(ta)</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Electronic signature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Authentication of any electronic record by a subscriber by means of the electronic technique specified in the Second Schedule; includes digital signature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2(1)(ze)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Secure system</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Computer hardware, software and procedure that are reasonably secure from unauthorised access and misuse; provide a reasonable level of reliability and correct operation; and adhere to generally accepted security procedures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2(1)(zg)</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Subscriber</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 person in whose name the electronic signature certificate is issued</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Section 3 – Authentication of electronic records (digital signature)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 Authentication of electronic records.—(1) Subject to the provisions of this section any subscriber may authenticate an electronic record by affixing his digital signature.</w:t>
        <w:br/>
        <w:t>(2) The authentication of the electronic record shall be effected by the use of asymmetric crypto system and hash function which envelop and transform the initial electronic record into another electronic record.</w:t>
        <w:br/>
        <w:t>Explanation.—For the purposes of this sub-section, "hash function" means an algorithm mapping or translation of one sequence of bits into another, generally smaller, set known as "hash result" such that an electronic record yields the same hash result every time the algorithm is executed with the same electronic record as its input making it computationally infeasible—</w:t>
        <w:br/>
        <w:t>(a) to derive or reconstruct the original electronic record from the hash result produced by the algorithm;</w:t>
        <w:br/>
        <w:t>(b) that two electronic records can produce the same hash result using the algorithm.</w:t>
        <w:br/>
        <w:t>(3) Any person by the use of a public key of the subscriber can verify the electronic record.</w:t>
        <w:br/>
        <w:t>(4) The private key and the public key are unique to the subscriber and constitute a functioning key pair.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 provides legal recognition to digital signatures and establishes the technical method by which authentication of electronic records is to be achieved. The section uses an asymmetric crypto system — a two-key cryptographic system in which a private key known only to the subscriber is used to create the digital signature, and a corresponding public key is made available to anyone who wishes to verify the signature. A hash function — a mathematical algorithm that converts the electronic record into a fixed-size "hash result" — ensures that any alteration to the signed document after signing is detectable, since the altered record will produce a different hash result. The digital signature thus achieves three objectives simultaneously: authentication (confirming the identity of the signer), integrity (ensuring the document has not been altered after signing) and non-repudiation (preventing the signer from later denying that he signed the document). The private and public keys together constitute a unique functioning key pair specific to the subscriber.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Section 3A – Electronic signature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3A. Electronic signature.—(1) Notwithstanding anything contained in section 3, but subject to the provisions of sub-section (2), a subscriber may authenticate any electronic record by such electronic signature or electronic authentication technique which—</w:t>
        <w:br/>
        <w:t>(a) is considered reliable; and</w:t>
        <w:br/>
        <w:t>(b) may be specified in the Second Schedule.</w:t>
        <w:br/>
        <w:t>(2) For the purposes of this section any electronic signature or electronic authentication technique shall be considered reliable if—</w:t>
        <w:br/>
        <w:t>(a) the signature creation data or the authentication data are, within the context in which they are used, linked to the signatory or, as the case may be, the authenticator and to no other person;</w:t>
        <w:br/>
        <w:t>(b) the signature creation data or the authentication data were, at the time of signing, under the control of the signatory or, as the case may be, the authenticator and of no other person;</w:t>
        <w:br/>
        <w:t>(c) any alteration to the electronic signature made after affixing such signature is detectable;</w:t>
        <w:br/>
        <w:t>(d) any alteration to the information made after its authentication by electronic signature is detectable; and</w:t>
        <w:br/>
        <w:t>(e) it fulfils such other conditions which may be prescribed.</w:t>
        <w:br/>
        <w:t>(3) The Central Government may prescribe the procedure for the purpose of ascertaining whether electronic signature is that of the person by whom it is purported to have been affixed or authenticated.</w:t>
        <w:br/>
        <w:t>(4) The Central Government may, by notification in the Official Gazette, add to or omit any electronic signature or electronic authentication technique and the procedure for affixing such signature from the Second Schedule:</w:t>
        <w:br/>
        <w:t>Provided that no electronic signature or authentication technique shall be specified in the Second Schedule unless such signature or technique is reliable.</w:t>
        <w:br/>
        <w:t>(5) Every notification issued under sub-section (4) shall be laid before each House of Parliament.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3A was inserted by the Information Technology (Amendment) Act, 2008. While Section 3 confines digital signature authentication to the specific asymmetric cryptography and hash function method, Section 3A takes a more flexible, technology-neutral approach by allowing authentication through any electronic signature or authentication technique that satisfies the reliability criteria specified in sub-section (2) and is listed in the Second Schedule. The reliability criteria require that the signature method is uniquely linked to the signatory, was under the signatory's control at the time of signing, and that any alteration to either the signature or the signed content after the fact is detectable. The Central Government has power to add or remove authentication techniques from the Second Schedule, enabling the Act to adapt to technological evolution without requiring amendment of the statute. Section 3A thus provides technology-neutral legal recognition to a broad range of evolving electronic authentication methods.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Comparison between digital signature and electronic signature</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4500"/>
        <w:gridCol w:w="4500"/>
      </w:tblGrid>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Digital signature</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Electronic signature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Covered under Section 3</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Covered under Section 3A of the IT Act, 2000</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Specific technology-based method using asymmetric cryptography and hash function</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Broader technology-neutral concept; may include different authentication methods</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Uses private key and public key mechanism specifically</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Uses any reliable electronic authentication technique specified in the Second Schedule</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Introduced in the original Information Technology Act, 2000</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Added by the Information Technology (Amendment) Act, 2008</w:t>
            </w:r>
          </w:p>
        </w:tc>
      </w:tr>
      <w:tr>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Single technology mandated</w:t>
            </w:r>
          </w:p>
        </w:tc>
        <w:tc>
          <w:tcPr>
            <w:tcW w:type="dxa" w:w="481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Multiple technologies may qualify if they satisfy reliability criteria</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200"/>
        <w:gridCol w:w="2800"/>
        <w:gridCol w:w="4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Provision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points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Authentication of electronic records (digital signature)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Provides legal recognition to digital signatures using asymmetric crypto system and hash function. Achieves authentication, integrity and non-repudiation. Private key creates signature; public key verifies it. Private and public keys are unique to each subscriber.</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3A</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Electronic signature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Inserted by 2008 Amendment. Provides recognition to broader electronic authentication methods that are reliable and specified in the Second Schedule. Reliability requires unique linkage to signatory, control by signatory at time of signing, and detectability of any post-signing alterations. Central Government may update the Second Schedule.</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Trimex International FZE Ltd., Dubai v. Vedanta Aluminium Ltd.</w:t>
      </w:r>
    </w:p>
    <w:p>
      <w:pPr>
        <w:jc w:val="both"/>
        <w:spacing w:line="240" w:before="0" w:after="0"/>
      </w:pPr>
      <w:r>
        <w:rPr>
          <w:rFonts w:ascii="Calibri" w:hAnsi="Calibri"/>
          <w:b w:val="0"/>
          <w:i w:val="0"/>
          <w:color w:val="000000"/>
          <w:sz w:val="28"/>
        </w:rPr>
        <w:t>Citation: (2010) 3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Trimex and Vedanta engaged in commercial negotiations for the supply of bauxite. Emails were exchanged between the parties during these negotiations. A dispute arose regarding whether the email communications constituted a concluded and enforceable contract, with Vedanta denying the existence of a valid agreement on the ground that no formal signed physical document had been executed.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contracts concluded through electronic communication including emails are legally binding? Whether electronic records created through digital communication have the same validity as paper documents?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 valid and binding contract may be concluded through electronic communication when all essential elements of contract law are present. The Court held that the absence of a formal physical signed document does not prevent a contract from arising if the exchange of communications establishes agreement on all essential terms. The judgment affirmed that electronic records, including emails, may create enforceable legal obligations and that the Information Technology Act, 2000 provides the necessary legal framework for recognising such communications.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Anvar P.V. v. P.K. Basheer</w:t>
      </w:r>
    </w:p>
    <w:p>
      <w:pPr>
        <w:jc w:val="both"/>
        <w:spacing w:line="240" w:before="0" w:after="0"/>
      </w:pPr>
      <w:r>
        <w:rPr>
          <w:rFonts w:ascii="Calibri" w:hAnsi="Calibri"/>
          <w:b w:val="0"/>
          <w:i w:val="0"/>
          <w:color w:val="000000"/>
          <w:sz w:val="28"/>
        </w:rPr>
        <w:t>Citation: (2014) 10 SCC 473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 an election petition, the petitioner sought to rely upon electronic records produced on CDs as evidence of alleged corrupt practices. The question was whether these electronic records could be admitted and relied upon without a certificate under Section 65B(4) of the Indian Evidence Act, 1872. The respondent objected to the admissibility of the electronic records.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is the proper mode of proving electronic records in legal proceedings? Whether the certificate requirement under Section 65B(4) of the Indian Evidence Act is mandatory for admission of secondary electronic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electronic records are a special category of evidence governed by the provisions of Section 65B of the Indian Evidence Act, 1872. Secondary evidence of electronic records — that is, copies or printouts — can only be proved through a certificate issued under Section 65B(4) by a person occupying a responsible official position in relation to the device. The Court held that the general provisions on secondary evidence in Sections 63 and 65 of the Indian Evidence Act do not apply to electronic records. This landmark judgment significantly shaped the law on electronic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Arjun Panditrao Khotkar v. Kailash Kushanrao Gorantyal</w:t>
      </w:r>
    </w:p>
    <w:p>
      <w:pPr>
        <w:jc w:val="both"/>
        <w:spacing w:line="240" w:before="0" w:after="0"/>
      </w:pPr>
      <w:r>
        <w:rPr>
          <w:rFonts w:ascii="Calibri" w:hAnsi="Calibri"/>
          <w:b w:val="0"/>
          <w:i w:val="0"/>
          <w:color w:val="000000"/>
          <w:sz w:val="28"/>
        </w:rPr>
        <w:t>Citation: (2020) 7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case arose out of a prior Supreme Court judgment in the same matter (reported at (2018) 8 SCC 124) where electronic evidence had been admitted at the High Court level without a Section 65B certificate. The matter was referred to a three-judge bench to clarify the law on electronic evidence, particularly whether the Section 65B certificate requirement is mandatory and whether it can be dispensed with in any circumstances.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certificate requirement under Section 65B(4) of the Indian Evidence Act, 1872 is mandatory when electronic records are produced as secondary evidence? Can courts direct production of such certificate at a later stage?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A three-judge bench reaffirmed Anvar P.V. v. P.K. Basheer and clarified several important aspects of the law on electronic evidence. The Court held that where the original electronic record is produced, no certificate is required. Where secondary evidence of an electronic record is relied upon, the Section 65B(4) certificate is mandatory. The Court also held that courts have the power to direct production of the certificate at a later stage to prevent injustice, but parties should ordinarily file it at the earliest opportunity. The judgment provides a clear and comprehensive framework for the admission and proof of electronic evidence in Indian courts.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Shafhi Mohammad v. State of Himachal Pradesh</w:t>
      </w:r>
    </w:p>
    <w:p>
      <w:pPr>
        <w:jc w:val="both"/>
        <w:spacing w:line="240" w:before="0" w:after="0"/>
      </w:pPr>
      <w:r>
        <w:rPr>
          <w:rFonts w:ascii="Calibri" w:hAnsi="Calibri"/>
          <w:b w:val="0"/>
          <w:i w:val="0"/>
          <w:color w:val="000000"/>
          <w:sz w:val="28"/>
        </w:rPr>
        <w:t>Citation: (2018) 2 SCC 801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 a criminal case, mobile phone call records and electronic evidence were relied upon by the prosecution. The accused raised objections regarding the admissibility of electronic evidence without a certificate under Section 65B(4) of the Indian Evidence Act. The High Court had convicted the accused relying on electronic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electronic evidence in criminal cases must satisfy the certification requirements under Section 65B(4) even when the accused does not have the means to produce such a certificate, and whether the requirement can be relaxed in such circumstances?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A two-judge bench of the Supreme Court held that the certificate requirement under Section 65B(4) should not be applied too rigidly so as to cause injustice, particularly in criminal cases where the party seeking to rely on electronic evidence may not have control over the device. The Court observed that a fair and practical approach should be adopted. However, this decision was subsequently considered by the three-judge bench in Arjun Panditrao Khotkar v. Kailash Kushanrao Gorantyal (2020), which clarified that the certificate requirement remains mandatory but courts can direct its production.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Shreya Singhal v. Union of India</w:t>
      </w:r>
    </w:p>
    <w:p>
      <w:pPr>
        <w:jc w:val="both"/>
        <w:spacing w:line="240" w:before="0" w:after="0"/>
      </w:pPr>
      <w:r>
        <w:rPr>
          <w:rFonts w:ascii="Calibri" w:hAnsi="Calibri"/>
          <w:b w:val="0"/>
          <w:i w:val="0"/>
          <w:color w:val="000000"/>
          <w:sz w:val="28"/>
        </w:rPr>
        <w:t>Citation: (2015) 5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Section 66A of the IT Act punished sending information through computer resources that was "grossly offensive" or of "menacing character." Numerous persons were arrested under this provision for social media posts and messages. The constitutional validity of the provision was challenged before the Supreme Court as violating the fundamental right to freedom of speech and expression.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Section 66A of the IT Act, 2000 was constitutionally valid? Whether the provision satisfies the requirements of Article 19(2) as a reasonable restriction on freedom of speech?</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unanimously struck down Section 66A of the IT Act as unconstitutional. The Court held that the terms used in the provision were hopelessly vague and overbroad — what constitutes "grossly offensive," "menacing" or "causing annoyance" could not be determined with any certainty and would have a chilling effect on legitimate free speech. The Court held that while Parliament may impose reasonable restrictions on free speech under Article 19(2), such restrictions must be clearly defined and proportionate. Section 66A failed this test and was declared void in its entirety. The judgment establishes that cyber regulation must comply with constitutional guarantees.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Tamil Nadu v. Suhas Katti</w:t>
      </w:r>
    </w:p>
    <w:p>
      <w:pPr>
        <w:jc w:val="both"/>
        <w:spacing w:line="240" w:before="0" w:after="0"/>
      </w:pPr>
      <w:r>
        <w:rPr>
          <w:rFonts w:ascii="Calibri" w:hAnsi="Calibri"/>
          <w:b w:val="0"/>
          <w:i w:val="0"/>
          <w:color w:val="000000"/>
          <w:sz w:val="28"/>
        </w:rPr>
        <w:t>Citation: C.C. No. 4680 of 2004, Chief Metropolitan Magistrate, Egmore, Chennai (2004)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accused posted obscene and defamatory messages about a woman on a Yahoo internet group without her consent, using electronic communication to harass her. The case was one of the first prosecutions under the Information Technology Act, 2000 in India following the Act's commencement.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offence of publishing obscene content and harassment through electronic communication attracts criminal liability under the IT Act? Whether digital signatures and electronic evidence are admissible in cyber crime prosecutions?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Chief Metropolitan Magistrate's Court convicted the accused under Section 67 of the IT Act, 2000 for publishing obscene material in electronic form, and also under Section 509 of the Indian Penal Code for outraging the modesty of a woman. The court accepted electronic evidence including printouts of the offensive messages. The case was significant as one of the first convictions under the IT Act in India and demonstrated that cyber offences through electronic communication carry real criminal consequences. The case also illustrated the importance of Sections 3 and 3A in authenticating electronic records used in legal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8. Conclusion</w:t>
      </w:r>
    </w:p>
    <w:p>
      <w:pPr>
        <w:jc w:val="both"/>
        <w:spacing w:line="240" w:before="0" w:after="0"/>
      </w:pPr>
      <w:r>
        <w:rPr>
          <w:rFonts w:ascii="Calibri" w:hAnsi="Calibri"/>
          <w:b w:val="0"/>
          <w:i w:val="0"/>
          <w:color w:val="000000"/>
          <w:sz w:val="28"/>
        </w:rPr>
        <w:t>The Information Technology Act, 2000 represents India's first comprehensive attempt to regulate cyberspace and electronic transactions. Sections 3 and 3A are foundational provisions that establish the legal basis for authentication of electronic records through digital signatures and electronic signatures respectively. Section 3 introduced digital signatures using asymmetric cryptography and hash functions — a specific, technically robust method that simultaneously achieves authentication, integrity and non-repudiation. Section 3A, inserted by the 2008 Amendment, expanded the concept by recognising broader electronic authentication technologies that satisfy defined reliability criteria, enabling the law to remain technology-neutral and adaptable to future innovation. Together these provisions support e-commerce, digital governance, paperless transactions and online legal recognition. Judicial decisions have reinforced the importance of electronic records and digital evidence, confirming that the legal framework must evolve with technological progress to deliver justice effectively in the digital age.</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III – Electronic governance under the Information Technology Act, 2000 (Sections 4 to 10A)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Electronic governance – Sections 4 to 10A explained in detail</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advancement of information technology has transformed the relationship between citizens, businesses and government institutions. Traditionally, governance depended upon physical documents, handwritten signatures and manual administrative processes. The development of computers, the internet and digital communication created opportunities for faster, more transparent and more accessible governance — a transformation embodied in the concept of electronic governance, or e-governance.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Electronic governance means the use of information and communication technology by government authorities for delivering services, exchanging information, maintaining records and conducting administrative functions electronically. Examples include online filing of forms, digital certificates, electronic tax filing, online government services, digital payments and electronic records. The Information Technology Act, 2000 provides the legal foundation for electronic governance in India through Sections 4 to 10A. These provisions remove the legal barriers between paper-based governance and digital governance. They serve to promote efficiency in administration (reducing delay, paperwork and administrative burden), increase transparency and accountability, make government services accessible to citizens anytime and anywhere, reduce costs related to storage and printing, and drive digital transformation of the public sector.</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Electronic governance – Sections 4 to 10A explained in detail</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4 of the IT Act, 2000 – Legal recognition of electronic records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4. Legal recognition of electronic records.—Where any law provides that information or any other matter shall be in writing or in the typewritten or printed form, then, notwithstanding anything contained in such law, such requirement shall be deemed to have been satisfied if such information or matter is—</w:t>
        <w:br/>
        <w:t>(a) rendered or made available in an electronic form; and</w:t>
        <w:br/>
        <w:t>(b) accessible so as to be usable for a subsequent reference.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4 is the foundational provision of electronic governance. It removes the legal requirement that information must be in physical written or printed form by providing that wherever law requires information to be "in writing," that requirement is satisfied if the information is available in electronic form and accessible for future reference. This establishes the legal equivalence between paper documents and electronic documents. The provision has two conditions: the information must be rendered in electronic form, and it must remain accessible for future reference. Without this section, no electronic record could satisfy any statutory writing requirement, making the entire digital governance infrastructure legally uncertain. Section 4 is the legislative keystone that makes e-governance legally possible.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5 of the IT Act, 2000 – Legal recognition of electronic signatures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5. Legal recognition of electronic signatures.—Where any law provides that information or any other matter shall be authenticated by affixing the signature or any document shall be signed or bear the signature of any person then, notwithstanding anything contained in such law, such requirement shall be deemed to have been satisfied, if such information or matter is authenticated by means of electronic signature affixed in such manner as may be prescribed by the Central Government.</w:t>
        <w:br/>
        <w:t>Explanation.—For the purposes of this section, "signed", with its grammatical variations and cognate expressions, shall, with reference to a person, mean affixing of his hand written signature or any mark on any document and the expression "signature" shall be construed accordingly.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5 complements Section 4 by providing that wherever law requires a person's signature on a document, that requirement is satisfied if the document is authenticated by an electronic signature in the prescribed manner. The Explanation clarifies that "signed" includes both a handwritten signature and any mark on a document, making clear that the legislature intended to equate traditional and electronic authentication. This provision enables digital approvals, online contracts and government filings using electronic signatures as legal equivalents of handwritten signatures. Together, Sections 4 and 5 establish the complete legal framework for paperless transactions — Section 4 addressing the document itself and Section 5 addressing its authentication.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6 of the IT Act, 2000 – Use of electronic records and electronic signatures in government and its agencies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6. Use of electronic records and electronic signatures in Government and its agencies.—(1) Where any law provides for—</w:t>
        <w:br/>
        <w:t>(a) the filing of any form, application or any other document with any office, authority, body or agency owned or controlled by the appropriate Government in a particular manner;</w:t>
        <w:br/>
        <w:t>(b) the issue or grant of any licence, permit, sanction or approval by whatever name called in a particular manner;</w:t>
        <w:br/>
        <w:t>(c) the receipt or payment of money in a particular manner,</w:t>
        <w:br/>
        <w:t>then, notwithstanding anything contained in any other law for the time being in force, such requirement shall be deemed to have been satisfied if such filing, issue, grant, receipt or payment, as the case may be, is effected by means of such electronic form as may be prescribed by the appropriate Government.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6 translates the general principles of Sections 4 and 5 into concrete government service delivery. It permits three specific government functions to be performed electronically: filing of forms and applications (covering regulatory filings, applications for licences and all administrative submissions to government), issue or grant of licences, permits, sanctions and approvals (covering the government's service delivery function) and receipt or payment of money (covering all financial transactions between government and citizens). The appropriate Government — central or state — may prescribe the electronic form for each of these functions. The practical effect of Section 6 is to provide the legal framework for the entire range of online government services — income tax filing, GST returns, driving licence applications, birth certificates and all other digital citizen services.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6A of the IT Act, 2000 – Delivery of services by service providers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6A. Delivery of services by service provider.—(1) The appropriate Government may, for the purposes of this Chapter and for efficient delivery of services to the public through electronic means authorise, by order, any service provider to set up, maintain and upgrade the computerised facilities and perform such other services as it may specify, by notification in the Official Gazette.</w:t>
        <w:br/>
        <w:t>(2) The appropriate Government may also authorise any service provider authorised under sub-section (1) to collect, retain and appropriate such service charges, as may be prescribed by the appropriate Government for the purpose of providing such services, from the person availing such service.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6A, inserted by the 2008 Amendment, enables the Government to involve third-party service providers in the delivery of electronic government services. Rather than requiring government departments to directly maintain all digital infrastructure, Section 6A allows authorised private service providers to set up and operate the computer facilities through which government services are delivered. The authorised service providers may also collect service charges from citizens who use their services. This provision underpins models such as Common Service Centres (CSCs) through which government services are made accessible in rural and remote areas through private intermediaries, significantly expanding the reach of e-governance.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7 of the IT Act, 2000 – Retention of electronic records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7. Retention of electronic records.—(1) Where any law provides that documents, records or information shall be retained for any specific period, then, that requirement shall be deemed to have been satisfied if such documents, records or information are retained in the electronic form, if—</w:t>
        <w:br/>
        <w:t>(a) the information contained therein remains accessible so as to be usable for a subsequent reference;</w:t>
        <w:br/>
        <w:t>(b) the electronic record is retained in the format in which it was originally generated, sent or received or in a format which can be demonstrated to represent accurately the information originally generated, sent or received;</w:t>
        <w:br/>
        <w:t>(c) the details which will facilitate the identification of the origin, destination, date and time of despatch or receipt of such electronic record are available in the electronic record.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7 resolves a fundamental practical question: when law requires records to be preserved for a specified period (as company law, tax law and many other statutes require), can electronic storage satisfy this requirement? Section 7 answers yes, subject to three conditions: the information must remain accessible, the record must be in the original format or a format that accurately represents the original, and details facilitating identification of the origin, destination and timing of the record must be maintained. These conditions ensure that electronic records preserved under Section 7 are reliable, authentic and traceable — not merely convenient digital copies that could have been altered or stripped of identifying metadata.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7A of the IT Act, 2000 – Audit of documents maintained in electronic form</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7A. Audit of documents, etc., maintained in electronic form.—Where in any law for the time being in force, there is a provision for audit of documents, records or information, that provision shall also be applicable for audit of documents, records or information processed and maintained in the electronic form.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7A, inserted by the 2008 Amendment, extends statutory audit requirements to documents maintained in electronic form. Where any law requires audit — such as company law requirements for financial statement audit — Section 7A ensures that those audit requirements apply equally to electronically maintained records as to paper records. This provision closes a potential legal gap: without it, an argument could be made that statutory audit requirements do not apply to electronically maintained documents. Section 7A ensures comprehensive accountability and verification across all document formats, supporting digital administration and regulatory compliance.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8 of the IT Act, 2000 – Publication of rules and notifications in Electronic Gazette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8. Publication of rule, regulation, etc., in Electronic Gazette.—Where any law provides that any rule, regulation, order, bye-law, notification or any other matter shall be published in the Official Gazette, then, such requirement shall be deemed to have been satisfied if such rule, regulation, order, bye-law, notification or any other matter is published in the Official Gazette or Electronic Gazette:</w:t>
        <w:br/>
        <w:t>Provided that where any rule, regulation, order, bye-law, notification or any other matter is published in the Official Gazette or Electronic Gazette, the date of publication shall be deemed to be the date of the Gazette which was first published in any form.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8 gives legal recognition to the Electronic Gazette, providing that publication in the Official Gazette requirement is satisfied by publication in the Electronic Gazette. This enables government rules, regulations, orders, bye-laws and notifications to be published electronically with the same legal force as physical publication. The proviso resolves the question of the operative date where both physical and electronic publication occur — the date of the Gazette that was published first (in any form) is the date of publication. Section 8 supports faster communication of government action, reduces costs of physical printing, and makes official government communications more accessible to the public through digital means.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9 of the IT Act, 2000 – Sections 6, 7 and 8 not to confer right to insist on electronic form</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9. Sections 6, 7 and 8 not to confer right to insist document should be accepted in electronic form.—Nothing contained in sections 6, 7 and 8 shall confer a right upon any person to insist that any Ministry or Department of the Central Government or the State Government or any authority or body established by or under any law or controlled or funded by the Central or State Government should accept, issue, create, retain and preserve any document in the form of electronic records or effect any monetary transaction in the electronic form.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9 creates an important limitation on the rights conferred by Sections 6, 7 and 8. Although those sections permit and recognise electronic governance, they do not create a legally enforceable right for any person to demand that government departments or authorities accept or issue documents in electronic form. The decision to implement electronic service delivery remains with the appropriate Government. Section 9 thus protects against premature universal mandating of electronic-only government services — recognising that digital infrastructure must be developed gradually and that not all citizens or areas may have adequate access to digital services. It allows a phased and discretionary transition to full e-governance.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10 of the IT Act, 2000 – Power to make rules by Central Government in respect of electronic signature</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10. Power to make rules by Central Government in respect of electronic signature.—The Central Government may, for the purposes of this Act, by rules, prescribe—</w:t>
        <w:br/>
        <w:t>(a) the type of electronic signature;</w:t>
        <w:br/>
        <w:t>(b) the manner and format in which the electronic signature shall be affixed;</w:t>
        <w:br/>
        <w:t>(c) the manner or procedure which facilitates identification of the person affixing the electronic signature;</w:t>
        <w:br/>
        <w:t>(d) control processes and procedures to ensure adequate integrity, security and confidentiality of electronic records or payments; and</w:t>
        <w:br/>
        <w:t>(e) any other matter which is necessary to give legal effect to electronic signatures.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10 gives the Central Government delegated legislative power to make rules regarding electronic signatures. Technology evolves rapidly and what constitutes a secure and reliable electronic signature method changes over time. Rather than locking specific technical requirements into the body of the statute, Section 10 enables the Government to prescribe the type of electronic signature, its format and manner of affixing, identification procedures, and security controls through subordinate legislation. This ensures the Act can adapt to technological developments without requiring Parliamentary amendment. The power covers all aspects of electronic signature operation — from the technical specifications to the security infrastructure.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Section 10A of the IT Act, 2000 – Validity of contracts formed through electronic means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10A. Validity of contracts formed through electronic means.—Where in a contract formation, the communication of proposals, the acceptance of proposals, the revocation of proposals and acceptances, as the case may be, are expressed in electronic form or by means of an electronic records, such contract shall not be deemed to be unenforceable solely on the ground that such electronic form or means was used for that purpose.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10A, inserted by the 2008 Amendment, directly addresses the enforceability of contracts formed through electronic communication. It provides that a contract cannot be denied enforceability solely on the ground that proposals, acceptances or revocations were communicated electronically. Before this provision, contracts formed entirely through email or other electronic means faced the risk of being challenged as unenforceable. Section 10A removes this risk by establishing that electronic medium does not invalidate contract formation. The section applies to all stages of contract formation — the proposal, the acceptance, and any revocation. It does not override ordinary contract law requirements of offer, acceptance, consideration and intention to create legal relations; it simply ensures that the use of electronic means for communication does not itself defeat enforceability.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200"/>
        <w:gridCol w:w="2800"/>
        <w:gridCol w:w="4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Provision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points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4</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Legal recognition of electronic records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Where law requires information in writing, requirement satisfied if information is in electronic form and accessible for future reference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5</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Legal recognition of electronic signatures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Where law requires signature, requirement satisfied by electronic signature affixed in prescribed manner</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Electronic records and signatures in government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Government authorities may accept electronic filing, create electronic records, issue licences electronically and receive/make payments electronically</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6A</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Delivery of services by service providers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Government may authorise third-party service providers to set up and maintain digital facilities for public service delivery</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7</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Retention of electronic records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Electronic storage satisfies record retention requirements if information remains accessible, is in original format and includes origin/destination details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7A</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Audit of electronic documents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Statutory audit requirements apply equally to documents maintained in electronic form</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8</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Electronic Gazette</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Publication in Electronic Gazette satisfies requirement of publication in Official Gazette; date of first publication (in any form) is operative date</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9</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No right to demand electronic form</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Sections 6, 7 and 8 do not give any person a right to insist that government departments accept or issue documents electronically</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10</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Rule-making power</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Central Government may make rules prescribing type, format, manner and security of electronic signatures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10A</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Validity of electronic contracts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Contracts cannot be denied enforceability solely because proposals, acceptances or revocations were communicated electronically</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Trimex International FZE Ltd., Dubai v. Vedanta Aluminium Ltd.</w:t>
      </w:r>
    </w:p>
    <w:p>
      <w:pPr>
        <w:jc w:val="both"/>
        <w:spacing w:line="240" w:before="0" w:after="0"/>
      </w:pPr>
      <w:r>
        <w:rPr>
          <w:rFonts w:ascii="Calibri" w:hAnsi="Calibri"/>
          <w:b w:val="0"/>
          <w:i w:val="0"/>
          <w:color w:val="000000"/>
          <w:sz w:val="28"/>
        </w:rPr>
        <w:t>Citation: (2010) 3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Trimex and Vedanta engaged in commercial negotiations for the supply of bauxite. The negotiations proceeded through email exchanges, during which various terms were discussed and agreed upon. When a dispute arose, Vedanta contended that no valid and binding contract existed because no formal signed physical agreement had been executed between the parties.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contract can be validly formed through electronic communication such as emails? Whether such a contract is enforceable under Indian law?</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 valid contract can be concluded through electronic communication when all essential elements of contract law — offer, acceptance, consideration and intention to create legal relations — are present. The Court recognised that modern commercial practices involve negotiations and agreement through electronic means and that there is no requirement that a contract must be in a particular form unless a specific statute so requires. The judgment affirmed the purpose of Section 10A of the IT Act, 2000, which recognises the validity of contracts formed through electronic means.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Anvar P.V. v. P.K. Basheer</w:t>
      </w:r>
    </w:p>
    <w:p>
      <w:pPr>
        <w:jc w:val="both"/>
        <w:spacing w:line="240" w:before="0" w:after="0"/>
      </w:pPr>
      <w:r>
        <w:rPr>
          <w:rFonts w:ascii="Calibri" w:hAnsi="Calibri"/>
          <w:b w:val="0"/>
          <w:i w:val="0"/>
          <w:color w:val="000000"/>
          <w:sz w:val="28"/>
        </w:rPr>
        <w:t>Citation: (2014) 10 SCC 473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 an election petition, the petitioner relied upon electronic records to support his challenge. The question arose whether these electronic records were admissible as evidence without a Section 65B certificate, and whether the provisions relating to electronic evidence were properly applied by the lower courts.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procedure must be followed to prove electronic records in legal proceedings? Whether statutory certification requirements apply to all secondary electronic evidence?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Section 65B of the Indian Evidence Act provides a complete and exclusive procedure for proving electronic records. Electronic records can only be admitted as secondary evidence with a certificate under Section 65B(4) from a person in a responsible official position in relation to the computer from which the record was generated. The provisions relating to secondary evidence in Sections 63 and 65 of the Indian Evidence Act have no application to electronic records. This judgment is directly relevant to the electronic governance framework under Sections 4–10A since it defines how electronically maintained government records must be proved in legal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State of Maharashtra v. Dr. Praful B. Desai</w:t>
      </w:r>
    </w:p>
    <w:p>
      <w:pPr>
        <w:jc w:val="both"/>
        <w:spacing w:line="240" w:before="0" w:after="0"/>
      </w:pPr>
      <w:r>
        <w:rPr>
          <w:rFonts w:ascii="Calibri" w:hAnsi="Calibri"/>
          <w:b w:val="0"/>
          <w:i w:val="0"/>
          <w:color w:val="000000"/>
          <w:sz w:val="28"/>
        </w:rPr>
        <w:t>Citation: (2003) 4 SCC 601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 a criminal case, the court needed to record the evidence of a witness located abroad. The question arose whether evidence could be recorded through video conferencing, which would constitute recording through electronic means rather than the traditional in-person examination before the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evidence can be recorded through video conferencing in legal proceedings? Whether Indian courts can adopt electronic technology in the administration of justice?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there is no bar in the Code of Criminal Procedure or in any other law to recording evidence through video conferencing. The Court held that a "virtual presence" through electronic means is as valid as physical presence in the courtroom for the purpose of recording evidence. The Court observed that technology must be used to facilitate justice and that courts must be prepared to adapt their processes to accommodate electronic communication. This progressive judgment supports the spirit of the electronic governance provisions under Sections 4–10A of the IT Act.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Arjun Panditrao Khotkar v. Kailash Kushanrao Gorantyal</w:t>
      </w:r>
    </w:p>
    <w:p>
      <w:pPr>
        <w:jc w:val="both"/>
        <w:spacing w:line="240" w:before="0" w:after="0"/>
      </w:pPr>
      <w:r>
        <w:rPr>
          <w:rFonts w:ascii="Calibri" w:hAnsi="Calibri"/>
          <w:b w:val="0"/>
          <w:i w:val="0"/>
          <w:color w:val="000000"/>
          <w:sz w:val="28"/>
        </w:rPr>
        <w:t>Citation: (2020) 7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case involved the admissibility of electronic records in civil proceedings. The question was whether electronic records relied upon as evidence required a Section 65B(4) certificate and whether the requirement was mandatory in all circumstances.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Section 65B(4) certificate is mandatory for all secondary electronic evidence? When may courts direct production of such certificate if not initially filed?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comprehensively set out the law on electronic evidence. The certificate requirement under Section 65B(4) is mandatory for secondary electronic evidence. Where the original device or the primary electronic record is itself produced, no certificate is required. Courts may direct production of the certificate at a later stage if it was not originally filed, to prevent injustice. The judgment is particularly significant for electronic governance records maintained by government departments and agencies, which must comply with the evidence requirements when such records are produced in legal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Shreya Singhal v. Union of India</w:t>
      </w:r>
    </w:p>
    <w:p>
      <w:pPr>
        <w:jc w:val="both"/>
        <w:spacing w:line="240" w:before="0" w:after="0"/>
      </w:pPr>
      <w:r>
        <w:rPr>
          <w:rFonts w:ascii="Calibri" w:hAnsi="Calibri"/>
          <w:b w:val="0"/>
          <w:i w:val="0"/>
          <w:color w:val="000000"/>
          <w:sz w:val="28"/>
        </w:rPr>
        <w:t>Citation: (2015) 5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Multiple petitions challenged the constitutional validity of Section 66A of the IT Act, 2000 which punished sending of "grossly offensive" or "menacing" information through computer resources. Numerous arrests had been made under the provision for social media posts. The petitioners argued that the provision violated the fundamental right to freedom of speech and expression under Article 19(1)(a).</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Section 66A of the IT Act violated Articles 14, 19 and 21 of the Constitution? Whether cyber regulation may restrict freedom of speech in online spaces?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unanimously struck down Section 66A of the IT Act as unconstitutional. The Court held that the terms "grossly offensive," "menacing character" and "causing annoyance or inconvenience" were so vague as to be incapable of precise judicial application, creating an unacceptable chilling effect on free speech. The provision failed to meet the test of reasonable restriction under Article 19(2). The judgment establishes that while electronic governance and cyber regulation are constitutionally permissible and indeed necessary, regulation of online speech must satisfy the same constitutional requirements as regulation of any other form of expression.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Bhagwandas Goverdhandas Kedia v. Girdharilal Parshottamdas and Co.</w:t>
      </w:r>
    </w:p>
    <w:p>
      <w:pPr>
        <w:jc w:val="both"/>
        <w:spacing w:line="240" w:before="0" w:after="0"/>
      </w:pPr>
      <w:r>
        <w:rPr>
          <w:rFonts w:ascii="Calibri" w:hAnsi="Calibri"/>
          <w:b w:val="0"/>
          <w:i w:val="0"/>
          <w:color w:val="000000"/>
          <w:sz w:val="28"/>
        </w:rPr>
        <w:t>Citation: AIR 1966 SC 543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dispute concerned a contract concluded through telephonic communication and whether the contract was made at the place of offer or the place of acceptance. The question had implications for the jurisdiction of courts to try the dispute and for the legal rules governing contract formation through instantaneous communication.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Where and when is a contract formed when acceptance is communicated through an instantaneous method of communication such as telephone? How should courts determine jurisdiction in such cases?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in the case of instantaneous communication — where acceptance reaches the offeror immediately — the contract is formed at the place where the acceptance is received, not where it is sent. This principle, established in the context of telephonic contracts, has significant relevance to electronic contracts under Section 10A and to the time and place rules for electronic records under Section 13 of the IT Act. The judgment is foundational for understanding when and where electronic contracts take effect and which court has jurisdiction to resolve disputes arising from them.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Conclusion</w:t>
      </w:r>
    </w:p>
    <w:p>
      <w:pPr>
        <w:jc w:val="both"/>
        <w:spacing w:line="240" w:before="0" w:after="0"/>
      </w:pPr>
      <w:r>
        <w:rPr>
          <w:rFonts w:ascii="Calibri" w:hAnsi="Calibri"/>
          <w:b w:val="0"/>
          <w:i w:val="0"/>
          <w:color w:val="000000"/>
          <w:sz w:val="28"/>
        </w:rPr>
        <w:t>Electronic governance provisions under Sections 4 to 10A of the Information Technology Act, 2000 represent the legislative foundation for India's transition from paper-based to digital governance. These provisions achieve legal equivalence between physical and electronic documents (Section 4), authentication through electronic signatures (Section 5), digital government service delivery (Section 6), third-party service provider involvement (Section 6A), lawful retention of electronic records (Section 7), digital audit compliance (Section 7A), electronic official publication (Section 8), and enforceability of online contracts (Section 10A). Section 9 ensures that the transition to digital governance proceeds in a measured and inclusive manner without creating barriers for citizens who may lack digital access. Judicial decisions have confirmed that electronic records have legal validity, that electronic technology must be embraced in the administration of justice, and that cyber regulation must respect constitutional guarantees. The provisions collectively promote efficiency, transparency, accessibility and digital transformation while preserving legal certainty and accountability in all government and commercial interactions.</w:t>
      </w:r>
    </w:p>
    <w:p>
      <w:pPr>
        <w:spacing w:line="240" w:before="0" w:after="0"/>
      </w:pPr>
      <w:r>
        <w:rPr>
          <w:rFonts w:ascii="Calibri" w:hAnsi="Calibri"/>
          <w:b w:val="0"/>
          <w:i w:val="0"/>
          <w:color w:val="000000"/>
          <w:sz w:val="28"/>
        </w:rPr>
      </w:r>
    </w:p>
    <w:p>
      <w:pPr>
        <w:spacing w:line="240" w:before="0" w:after="0"/>
      </w:pPr>
      <w:r>
        <w:br w:type="page"/>
      </w:r>
    </w:p>
    <w:p>
      <w:pPr>
        <w:jc w:val="left"/>
        <w:spacing w:line="240" w:before="0" w:after="0"/>
      </w:pPr>
      <w:r>
        <w:rPr>
          <w:rFonts w:ascii="Calibri" w:hAnsi="Calibri"/>
          <w:b/>
          <w:i w:val="0"/>
          <w:color w:val="000000"/>
          <w:sz w:val="28"/>
        </w:rPr>
        <w:t>Chapter IV – Attribution, acknowledgement and despatch of electronic records under the Information Technology Act, 2000 (Sections 11 to 13)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Synopsis</w:t>
      </w:r>
    </w:p>
    <w:p>
      <w:pPr>
        <w:jc w:val="both"/>
        <w:spacing w:line="240" w:before="0" w:after="0"/>
        <w:ind w:left="767" w:right="567"/>
      </w:pPr>
      <w:r>
        <w:rPr>
          <w:rFonts w:ascii="Calibri" w:hAnsi="Calibri"/>
          <w:b w:val="0"/>
          <w:i w:val="0"/>
          <w:color w:val="000000"/>
          <w:sz w:val="28"/>
        </w:rPr>
        <w:t>–  Introduction</w:t>
      </w:r>
    </w:p>
    <w:p>
      <w:pPr>
        <w:jc w:val="both"/>
        <w:spacing w:line="240" w:before="0" w:after="0"/>
        <w:ind w:left="767" w:right="567"/>
      </w:pPr>
      <w:r>
        <w:rPr>
          <w:rFonts w:ascii="Calibri" w:hAnsi="Calibri"/>
          <w:b w:val="0"/>
          <w:i w:val="0"/>
          <w:color w:val="000000"/>
          <w:sz w:val="28"/>
        </w:rPr>
        <w:t>–  Section 11 – Attribution of electronic records</w:t>
      </w:r>
    </w:p>
    <w:p>
      <w:pPr>
        <w:jc w:val="both"/>
        <w:spacing w:line="240" w:before="0" w:after="0"/>
        <w:ind w:left="767" w:right="567"/>
      </w:pPr>
      <w:r>
        <w:rPr>
          <w:rFonts w:ascii="Calibri" w:hAnsi="Calibri"/>
          <w:b w:val="0"/>
          <w:i w:val="0"/>
          <w:color w:val="000000"/>
          <w:sz w:val="28"/>
        </w:rPr>
        <w:t>–  Section 12 – Acknowledgement of receipt</w:t>
      </w:r>
    </w:p>
    <w:p>
      <w:pPr>
        <w:jc w:val="both"/>
        <w:spacing w:line="240" w:before="0" w:after="0"/>
        <w:ind w:left="767" w:right="567"/>
      </w:pPr>
      <w:r>
        <w:rPr>
          <w:rFonts w:ascii="Calibri" w:hAnsi="Calibri"/>
          <w:b w:val="0"/>
          <w:i w:val="0"/>
          <w:color w:val="000000"/>
          <w:sz w:val="28"/>
        </w:rPr>
        <w:t>–  Section 13 – Time and place of despatch and receipt of electronic records</w:t>
      </w:r>
    </w:p>
    <w:p>
      <w:pPr>
        <w:jc w:val="both"/>
        <w:spacing w:line="240" w:before="0" w:after="0"/>
        <w:ind w:left="767" w:right="567"/>
      </w:pPr>
      <w:r>
        <w:rPr>
          <w:rFonts w:ascii="Calibri" w:hAnsi="Calibri"/>
          <w:b w:val="0"/>
          <w:i w:val="0"/>
          <w:color w:val="000000"/>
          <w:sz w:val="28"/>
        </w:rPr>
        <w:t>–  Quick summary</w:t>
      </w:r>
    </w:p>
    <w:p>
      <w:pPr>
        <w:jc w:val="both"/>
        <w:spacing w:line="240" w:before="0" w:after="0"/>
        <w:ind w:left="767" w:right="567"/>
      </w:pPr>
      <w:r>
        <w:rPr>
          <w:rFonts w:ascii="Calibri" w:hAnsi="Calibri"/>
          <w:b w:val="0"/>
          <w:i w:val="0"/>
          <w:color w:val="000000"/>
          <w:sz w:val="28"/>
        </w:rPr>
        <w:t>–  Relevant case laws</w:t>
      </w:r>
    </w:p>
    <w:p>
      <w:pPr>
        <w:jc w:val="both"/>
        <w:spacing w:line="240" w:before="0" w:after="0"/>
        <w:ind w:left="767" w:right="567"/>
      </w:pPr>
      <w:r>
        <w:rPr>
          <w:rFonts w:ascii="Calibri" w:hAnsi="Calibri"/>
          <w:b w:val="0"/>
          <w:i w:val="0"/>
          <w:color w:val="000000"/>
          <w:sz w:val="28"/>
        </w:rPr>
        <w:t>–  Conclusion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1. Introduction</w:t>
      </w:r>
    </w:p>
    <w:p>
      <w:pPr>
        <w:jc w:val="both"/>
        <w:spacing w:line="240" w:before="0" w:after="0"/>
      </w:pPr>
      <w:r>
        <w:rPr>
          <w:rFonts w:ascii="Calibri" w:hAnsi="Calibri"/>
          <w:b w:val="0"/>
          <w:i w:val="0"/>
          <w:color w:val="000000"/>
          <w:sz w:val="28"/>
        </w:rPr>
        <w:t>The development of information technology has transformed traditional methods of communication and business transactions. In earlier times, legal communication was based on physical documents, handwritten signatures and postal delivery. Modern commercial and governmental activities are increasingly conducted through emails, online contracts, digital documents, electronic notices and online applications. This shift created important legal questions: who is responsible for an electronic record? When is it considered sent? When is it considered received? How can receipt be confirmed? To answer these questions with certainty, the Information Technology Act, 2000 provides rules regarding attribution, acknowledgement and time and place of despatch and receipt in Sections 11 to 13.</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These provisions are essential for several reasons. Responsibility of sender must be determined — someone must be legally accountable for electronic communication. Confirmation of receipt prevents disputes about whether communication reached its destination. Time of communication determines when contracts are formed, when notices take effect and when limitation periods begin to run. Place of communication affects jurisdiction and applicable law in digital disputes. Rules on all these matters create certainty and predictability for e-commerce, e-governance and all electronic transactions.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2. Section 11 – Attribution of electronic records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11. Attribution of electronic records.—An electronic record shall be attributed to the originator—</w:t>
        <w:br/>
        <w:t>(a) if it was sent by the originator himself;</w:t>
        <w:br/>
        <w:t>(b) by a person who had the authority to act on behalf of the originator in respect of that electronic record; or</w:t>
        <w:br/>
        <w:t>(c) by an information system programmed by or on behalf of the originator to operate automatically.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11 determines when an electronic record can be legally treated as originating from a particular person — the originator. Attribution means assigning ownership and responsibility for an electronic record to a person. Three circumstances give rise to attribution: when the originator sends the record personally; when a person authorised by the originator sends it on his behalf (covering employees, agents and all other authorised representatives); and when an automated information system programmed by or for the originator generates and sends the record. The third category is particularly important in modern digital commerce where e-commerce systems, automated transaction platforms and digital service delivery systems routinely generate and transmit electronic records — confirmation emails, payment receipts, electronic invoices and system notifications — without any individual physically composing each message. Section 11 ensures that the originator cannot avoid responsibility for such automatically generated communications by claiming no individual signed or sent them.</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3. Section 12 – Acknowledgement of receipt</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12. Acknowledgment of receipt.—(1) Where the originator has not stipulated that the acknowledgment of receipt of electronic record be given in a particular form or by a particular method, an acknowledgment may be given by—</w:t>
        <w:br/>
        <w:t>(a) any communication by the addressee, automated or otherwise; or</w:t>
        <w:br/>
        <w:t>(b) any conduct of the addressee, sufficient to indicate to the originator that the electronic record has been received.</w:t>
        <w:br/>
        <w:t>(2) Where the originator has stipulated that the electronic record shall be binding only on receipt of an acknowledgment of such electronic record by him, then unless acknowledgment has been so received, the electronic record shall be deemed to have been never sent by the originator.</w:t>
        <w:br/>
        <w:t>(3) Where the originator has not stipulated that the electronic record shall be binding only on receipt of such acknowledgment, and the acknowledgment has not been received by the originator within the time specified or agreed or, if no time has been specified or agreed to within a reasonable time, then the originator may give notice to the addressee stating that no acknowledgment has been received by him and specifying a reasonable time by which the acknowledgment must be received by him and if no acknowledgment is received within the aforesaid time limit he may after giving notice to the addressee, treat the electronic record as though it has never been sent.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12 deals with acknowledgement of receipt — the confirmation by the addressee that an electronic record has been received. The provision creates a flexible framework. Where no specific method of acknowledgement is stipulated, any communication or conduct of the addressee indicating receipt suffices — including automated delivery receipts, read notifications, a reply email or even commencing performance of what the record requested. Sub-section (2) addresses the situation where the sender has expressly made the effectiveness of the electronic record conditional upon receipt of acknowledgement. In such a case, if acknowledgement is not received, the electronic record is treated as if it was never sent — its legal effect is suspended until acknowledged. Sub-section (3) addresses the situation where no acknowledgement requirement was stipulated but acknowledgement has not been received within a reasonable time — the sender may give notice and if acknowledgement still does not come, may treat the record as never sent. This framework gives parties control over the conditions of their electronic communication and prevents exploitation of uncertainties inherent in digital transmission.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4. Section 13 – Time and place of despatch and receipt of electronic records</w:t>
      </w:r>
    </w:p>
    <w:p>
      <w:pPr>
        <w:spacing w:line="240" w:before="0" w:after="0"/>
      </w:pPr>
      <w:r>
        <w:rPr>
          <w:rFonts w:ascii="Calibri" w:hAnsi="Calibri"/>
          <w:b w:val="0"/>
          <w:i w:val="0"/>
          <w:color w:val="000000"/>
          <w:sz w:val="28"/>
        </w:rPr>
      </w:r>
    </w:p>
    <w:p>
      <w:pPr>
        <w:jc w:val="both"/>
        <w:spacing w:line="240" w:before="0" w:after="0"/>
      </w:pPr>
      <w:r>
        <w:rPr>
          <w:rFonts w:ascii="Calibri" w:hAnsi="Calibri"/>
          <w:b w:val="0"/>
          <w:i w:val="0"/>
          <w:color w:val="000000"/>
          <w:sz w:val="28"/>
        </w:rPr>
        <w:t>13. Time and place of despatch and receipt of electronic record.—(1) Save as otherwise agreed to between the originator and the addressee, the despatch of an electronic record occurs when it enters a computer resource outside the control of the originator.</w:t>
        <w:br/>
        <w:t>(2) Save as otherwise agreed between the originator and the addressee, the time of receipt of an electronic record shall be determined as follows, namely:—</w:t>
        <w:br/>
        <w:t>(a) if the addressee has designated a computer resource for the purpose of receiving electronic records,—</w:t>
        <w:br/>
        <w:t>(i) receipt occurs at the time when the electronic record enters the designated computer resource; or</w:t>
        <w:br/>
        <w:t>(ii) if the electronic record is sent to a computer resource of the addressee that is not the designated computer resource, receipt occurs at the time when the electronic record is retrieved by the addressee;</w:t>
        <w:br/>
        <w:t>(b) if the addressee has not designated a computer resource along with specified timings, if any, receipt occurs when the electronic record enters the computer resource of the addressee.</w:t>
        <w:br/>
        <w:t>(3) Save as otherwise agreed to between the originator and the addressee, an electronic record is deemed to be despatched at the place where the originator has his place of business, and is deemed to be received at the place where the addressee has his place of business.</w:t>
        <w:br/>
        <w:t>(4) The provisions of sub-section (2) shall apply notwithstanding that the place where the computer resource is located may be different from the place where the electronic record is deemed to have been received under sub-section (3).</w:t>
        <w:br/>
        <w:t>(5) For the purposes of this section,—</w:t>
        <w:br/>
        <w:t>(a) if the originator or the addressee has more than one place of business, the principal place of business, shall be the place of business;</w:t>
        <w:br/>
        <w:t>(b) if the originator or the addressee does not have a place of business, his usual place of residence shall be deemed to be the place of business;</w:t>
        <w:br/>
        <w:t>(c) "usual place of residence", in relation to a body corporate, means the place where it is registered.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Explanation</w:t>
      </w:r>
    </w:p>
    <w:p>
      <w:pPr>
        <w:jc w:val="both"/>
        <w:spacing w:line="240" w:before="0" w:after="0"/>
      </w:pPr>
      <w:r>
        <w:rPr>
          <w:rFonts w:ascii="Calibri" w:hAnsi="Calibri"/>
          <w:b w:val="0"/>
          <w:i w:val="0"/>
          <w:color w:val="000000"/>
          <w:sz w:val="28"/>
        </w:rPr>
        <w:t>Section 13 resolves the twin questions of when and where an electronic record is considered despatched and received. For despatch, the rule is that it occurs when the record leaves the originator's control — typically when the email is sent from the sender's server. This prevents the sender from manipulating the timing by delaying transmission within his own systems. For receipt, the Act provides a nuanced rule based on whether the addressee has designated a specific computer resource (such as an official email address) for receiving communications. If designated, receipt occurs on entry into that resource; if sent to an undesignated address, receipt is deferred to actual retrieval. For place of despatch and receipt, the Act deems the electronic record despatched at the originator's principal place of business and received at the addressee's principal place of business — regardless of where the computer servers are physically located. This place rule is vital for determining jurisdiction and applicable law in cross-border electronic transactions, and prevents parties from denying responsibility by pointing to offshore servers.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5. Quick summary</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200"/>
        <w:gridCol w:w="2800"/>
        <w:gridCol w:w="4000"/>
      </w:tblGrid>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Provision</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Key points</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11</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Attribution of electronic records</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Electronic record attributed to originator when sent by originator personally, by authorised person on his behalf, or by automated system programmed by or for originator</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12</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Acknowledgement of receipt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Where no method stipulated: any communication or conduct indicating receipt suffices; where receipt stipulated as condition: no acknowledgement means record treated as never sent; where not stipulated but no acknowledgement: sender may give notice and treat as never sent</w:t>
            </w:r>
          </w:p>
        </w:tc>
      </w:tr>
      <w:tr>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13</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Time and place of despatch and receipt</w:t>
            </w:r>
          </w:p>
        </w:tc>
        <w:tc>
          <w:tcPr>
            <w:tcW w:type="dxa" w:w="3213"/>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Despatch: when record enters a resource outside originator's control; Receipt: when record enters designated resource, or when retrieved if sent to undesignated resource; Place: originator's/addressee's principal place of business regardless of server location</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Comparison of three provisions</w:t>
      </w:r>
    </w:p>
    <w:p>
      <w:pPr>
        <w:spacing w:line="240" w:before="0" w:after="0"/>
      </w:pPr>
      <w:r>
        <w:rPr>
          <w:rFonts w:ascii="Calibri" w:hAnsi="Calibri"/>
          <w:b w:val="0"/>
          <w:i w:val="0"/>
          <w:color w:val="000000"/>
          <w:sz w:val="28"/>
        </w:rPr>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000" w:type="dxa"/>
      </w:tblPr>
      <w:tblGrid>
        <w:gridCol w:w="2200"/>
        <w:gridCol w:w="2000"/>
        <w:gridCol w:w="2600"/>
        <w:gridCol w:w="2200"/>
      </w:tblGrid>
      <w:tr>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Section</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Focus</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Question answered</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i w:val="0"/>
                <w:color w:val="000000"/>
                <w:sz w:val="28"/>
              </w:rPr>
              <w:t>Purpose</w:t>
            </w:r>
          </w:p>
        </w:tc>
      </w:tr>
      <w:tr>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11</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Responsibility</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Who is the electronic record from?</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Identifies legal originator of electronic communication</w:t>
            </w:r>
          </w:p>
        </w:tc>
      </w:tr>
      <w:tr>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12</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Confirmation</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Has the record been received?</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Provides rules for acknowledgement of receipt</w:t>
            </w:r>
          </w:p>
        </w:tc>
      </w:tr>
      <w:tr>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Section 13</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Timing and place</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When and where did communication occur?</w:t>
            </w:r>
          </w:p>
        </w:tc>
        <w:tc>
          <w:tcPr>
            <w:tcW w:type="dxa" w:w="2409"/>
            <w:vAlign w:val="center"/>
            <w:tcMar>
              <w:top w:w="80" w:type="dxa"/>
              <w:bottom w:w="80" w:type="dxa"/>
              <w:left w:w="80" w:type="dxa"/>
              <w:right w:w="80" w:type="dxa"/>
            </w:tcMar>
            <w:shd w:val="clear" w:color="auto" w:fill="FFFFFF"/>
          </w:tcPr>
          <w:p>
            <w:pPr>
              <w:jc w:val="left"/>
              <w:spacing w:line="240" w:before="0" w:after="0"/>
            </w:pPr>
            <w:r/>
            <w:r>
              <w:rPr>
                <w:rFonts w:ascii="Calibri" w:hAnsi="Calibri"/>
                <w:b w:val="0"/>
                <w:i w:val="0"/>
                <w:color w:val="000000"/>
                <w:sz w:val="28"/>
              </w:rPr>
              <w:t>Determines time of despatch and receipt; fixes place for jurisdiction purposes</w:t>
            </w:r>
          </w:p>
        </w:tc>
      </w:tr>
    </w:tbl>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6. Relevant case laws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Trimex International FZE Ltd., Dubai v. Vedanta Aluminium Ltd.</w:t>
      </w:r>
    </w:p>
    <w:p>
      <w:pPr>
        <w:jc w:val="both"/>
        <w:spacing w:line="240" w:before="0" w:after="0"/>
      </w:pPr>
      <w:r>
        <w:rPr>
          <w:rFonts w:ascii="Calibri" w:hAnsi="Calibri"/>
          <w:b w:val="0"/>
          <w:i w:val="0"/>
          <w:color w:val="000000"/>
          <w:sz w:val="28"/>
        </w:rPr>
        <w:t>Citation: (2010) 3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Trimex and Vedanta negotiated a commercial contract through email correspondence. Multiple emails were exchanged over a period of time setting out the terms, quantities and prices for bauxite supply. When a dispute arose regarding performance, Vedanta denied the existence of a concluded contract on the ground that no formal physical agreement bearing signatures had been executed.</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 binding contract can arise from electronic correspondence such as emails? Whether such a contract is enforceable and whether the attribution, acknowledgement and timing rules of the IT Act, 2000 support such contracts?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a binding and enforceable contract may arise from electronic communication when the essential elements of contract formation are present. The Court examined the email correspondence and found that all essential terms had been agreed upon, making the contract complete and enforceable. The Court recognised the importance of Sections 11, 12 and 13 of the IT Act in establishing responsibility for electronic communications, confirming receipt, and determining when and where agreements became effective. The judgment is a leading authority supporting the validity of commercial contracts formed through electronic communication.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Bhagwandas Goverdhandas Kedia v. Girdharilal Parshottamdas and Co.</w:t>
      </w:r>
    </w:p>
    <w:p>
      <w:pPr>
        <w:jc w:val="both"/>
        <w:spacing w:line="240" w:before="0" w:after="0"/>
      </w:pPr>
      <w:r>
        <w:rPr>
          <w:rFonts w:ascii="Calibri" w:hAnsi="Calibri"/>
          <w:b w:val="0"/>
          <w:i w:val="0"/>
          <w:color w:val="000000"/>
          <w:sz w:val="28"/>
        </w:rPr>
        <w:t>Citation: AIR 1966 SC 543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contract was formed through telephone communication between parties in different cities. When a dispute arose, a question was raised about whether the contract was formed at the place where the offer was made or at the place where acceptance was received. The answer would determine which court had jurisdiction over the dispute.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Where is a contract formed when acceptance is communicated through instantaneous means of communication? What is the time and place of contract formation for purposes of jurisdiction?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for instantaneous communication, the contract is concluded at the place where the acceptance is communicated to and received by the offeror — not where the acceptance is expressed. This principle predates the IT Act but is directly relevant to Section 13, which provides that an electronic record is deemed received at the addressee's place of business. The judgment helps explain why Section 13 deems receipt at the addressee's principal place of business — the place where the communication enters the addressee's sphere is treated as the place of receipt for all legal purposes including jurisdiction.</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P.R. Transport Agency v. Union of India</w:t>
      </w:r>
    </w:p>
    <w:p>
      <w:pPr>
        <w:jc w:val="both"/>
        <w:spacing w:line="240" w:before="0" w:after="0"/>
      </w:pPr>
      <w:r>
        <w:rPr>
          <w:rFonts w:ascii="Calibri" w:hAnsi="Calibri"/>
          <w:b w:val="0"/>
          <w:i w:val="0"/>
          <w:color w:val="000000"/>
          <w:sz w:val="28"/>
        </w:rPr>
        <w:t>Citation: AIR 2006 All 23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petitioner challenged a tender process, arguing that acceptance of his tender offer had been communicated through email and that this amounted to a binding contract. The government contended that electronic acceptance was not equivalent to a formal written acceptance.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acceptance of a contract communicated through email has legal validity? Whether electronic acceptance under the provisions of the IT Act, 2000 creates enforceable rights?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Allahabad High Court held that acceptance communicated through email creates a valid and legally binding contract under the Information Technology Act, 2000. The Court held that the attribution, acknowledgement and timing rules in Sections 11, 12 and 13 of the IT Act provide the complete legal framework for determining the legal effect of electronic communication. The judgment is an important application of the statutory provisions on electronic contracts and demonstrates how courts use Sections 11 to 13 to resolve disputes about electronic communications in commercial and government transactions.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Shakti Bhog Foods Ltd. v. Kola Shipping Ltd.</w:t>
      </w:r>
    </w:p>
    <w:p>
      <w:pPr>
        <w:jc w:val="both"/>
        <w:spacing w:line="240" w:before="0" w:after="0"/>
      </w:pPr>
      <w:r>
        <w:rPr>
          <w:rFonts w:ascii="Calibri" w:hAnsi="Calibri"/>
          <w:b w:val="0"/>
          <w:i w:val="0"/>
          <w:color w:val="000000"/>
          <w:sz w:val="28"/>
        </w:rPr>
        <w:t>Citation: (2009) 2 SCC 134</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A commercial dispute arose regarding whether a binding contract had been concluded based on correspondence and communications between the parties. The question was whether the series of communications established clear agreement on all essential terms.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contractual obligations can be inferred from a series of communications between parties? What is the legal significance of electronic and written correspondence in establishing contractual intent?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courts must examine the totality of communications between parties to determine whether a binding contract exists. Contractual intent and agreement on essential terms may be inferred from a course of dealing and the entire communication exchange. While this case involved written correspondence rather than purely electronic communication, the principle directly supports the attribution rules in Section 11 and the acknowledgement rules in Section 12, under which the legal significance of electronic communications is determined by examining the conduct and communications of the parties as a whole.</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Anvar P.V. v. P.K. Basheer</w:t>
      </w:r>
    </w:p>
    <w:p>
      <w:pPr>
        <w:jc w:val="both"/>
        <w:spacing w:line="240" w:before="0" w:after="0"/>
      </w:pPr>
      <w:r>
        <w:rPr>
          <w:rFonts w:ascii="Calibri" w:hAnsi="Calibri"/>
          <w:b w:val="0"/>
          <w:i w:val="0"/>
          <w:color w:val="000000"/>
          <w:sz w:val="28"/>
        </w:rPr>
        <w:t>Citation: (2014) 10 SCC 473</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In an election petition, electronic records were produced as evidence. The question arose regarding the admissibility of these records and the proper procedure for proving them in legal proceedings, including the importance of establishing that the electronic records were authentic and had been properly attributed to their claimed originators.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What procedure must be followed to prove electronic records in legal proceedings? Is the certification requirement under Section 65B of the Indian Evidence Act mandatory?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The Supreme Court held that electronic records constitute a special category of evidence. For them to be admitted as secondary evidence, a certificate under Section 65B(4) of the Indian Evidence Act is mandatory. The certificate requirement effectively ensures that the attributions under Section 11 of the IT Act are verifiable — that the person certifying the electronic record can vouch for the computer system from which it originated. The judgment is the leading authority on the intersection between the attribution rules of the IT Act and the evidence law requirements for proving electronic records in court.</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Arjun Panditrao Khotkar v. Kailash Kushanrao Gorantyal</w:t>
      </w:r>
    </w:p>
    <w:p>
      <w:pPr>
        <w:jc w:val="both"/>
        <w:spacing w:line="240" w:before="0" w:after="0"/>
      </w:pPr>
      <w:r>
        <w:rPr>
          <w:rFonts w:ascii="Calibri" w:hAnsi="Calibri"/>
          <w:b w:val="0"/>
          <w:i w:val="0"/>
          <w:color w:val="000000"/>
          <w:sz w:val="28"/>
        </w:rPr>
        <w:t>Citation: (2020) 7 SCC 1</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Facts</w:t>
      </w:r>
    </w:p>
    <w:p>
      <w:pPr>
        <w:jc w:val="both"/>
        <w:spacing w:line="240" w:before="0" w:after="0"/>
      </w:pPr>
      <w:r>
        <w:rPr>
          <w:rFonts w:ascii="Calibri" w:hAnsi="Calibri"/>
          <w:b w:val="0"/>
          <w:i w:val="0"/>
          <w:color w:val="000000"/>
          <w:sz w:val="28"/>
        </w:rPr>
        <w:t>The Supreme Court was asked to clarify and reaffirm the law on electronic evidence following earlier decisions. The question was whether the requirements for proving electronic records — particularly the certificate requirement — are mandatory and how the attribution rules of the IT Act interact with the evidence law framework.</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Issues</w:t>
      </w:r>
    </w:p>
    <w:p>
      <w:pPr>
        <w:jc w:val="both"/>
        <w:spacing w:line="240" w:before="0" w:after="0"/>
      </w:pPr>
      <w:r>
        <w:rPr>
          <w:rFonts w:ascii="Calibri" w:hAnsi="Calibri"/>
          <w:b w:val="0"/>
          <w:i w:val="0"/>
          <w:color w:val="000000"/>
          <w:sz w:val="28"/>
        </w:rPr>
        <w:t>Whether the Section 65B(4) certificate requirement is mandatory for electronic evidence? How should courts handle electronic records where certificates have not been produced initially?</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Held</w:t>
      </w:r>
    </w:p>
    <w:p>
      <w:pPr>
        <w:jc w:val="both"/>
        <w:spacing w:line="240" w:before="0" w:after="0"/>
      </w:pPr>
      <w:r>
        <w:rPr>
          <w:rFonts w:ascii="Calibri" w:hAnsi="Calibri"/>
          <w:b w:val="0"/>
          <w:i w:val="0"/>
          <w:color w:val="000000"/>
          <w:sz w:val="28"/>
        </w:rPr>
        <w:t>Reaffirming Anvar P.V. v. P.K. Basheer, the Supreme Court held that Section 65B(4) certificates are mandatory for secondary electronic evidence. For primary electronic evidence (the original device), no certificate is needed. Courts may direct production of the certificate at a later stage to prevent injustice. The judgment provides the definitive statement on how the attribution, acknowledgement and despatch framework of Sections 11 to 13 of the IT Act interacts with the evidence law in determining the legal weight and admissibility of electronic records in court proceedings.</w:t>
      </w:r>
    </w:p>
    <w:p>
      <w:pPr>
        <w:spacing w:line="240" w:before="0" w:after="0"/>
      </w:pPr>
      <w:r>
        <w:rPr>
          <w:rFonts w:ascii="Calibri" w:hAnsi="Calibri"/>
          <w:b w:val="0"/>
          <w:i w:val="0"/>
          <w:color w:val="000000"/>
          <w:sz w:val="28"/>
        </w:rPr>
      </w:r>
    </w:p>
    <w:p>
      <w:pPr>
        <w:jc w:val="left"/>
        <w:spacing w:line="240" w:before="0" w:after="0"/>
      </w:pPr>
      <w:r>
        <w:rPr>
          <w:rFonts w:ascii="Calibri" w:hAnsi="Calibri"/>
          <w:b/>
          <w:i w:val="0"/>
          <w:color w:val="000000"/>
          <w:sz w:val="28"/>
        </w:rPr>
        <w:t>7. Conclusion</w:t>
      </w:r>
    </w:p>
    <w:p>
      <w:pPr>
        <w:jc w:val="both"/>
        <w:spacing w:line="240" w:before="0" w:after="0"/>
      </w:pPr>
      <w:r>
        <w:rPr>
          <w:rFonts w:ascii="Calibri" w:hAnsi="Calibri"/>
          <w:b w:val="0"/>
          <w:i w:val="0"/>
          <w:color w:val="000000"/>
          <w:sz w:val="28"/>
        </w:rPr>
        <w:t>Sections 11 to 13 of the Information Technology Act, 2000 form the procedural infrastructure that makes electronic communication legally functional. Without rules on attribution, acknowledgement and time and place of despatch and receipt, electronic transactions would be legally uncertain — parties could deny responsibility for communications they sent, dispute whether messages were received, and argue about when and where legal obligations arose. Section 11 prevents denial of responsibility by clearly attributing electronic records to originators, including automated systems. Section 12 enables parties to manage the conditions of their electronic communication and provides a clear framework for determining when communication is effective. Section 13 resolves the unique challenges posed by instant digital communication — where a message travels across the world in milliseconds — by providing clear, practical rules for determining the legal time and place of electronic communication. Together with Sections 3, 3A, 4, 5 and 10A, these provisions constitute the complete legal infrastructure for electronic commerce and governance in India. The judicial decisions examined confirm that courts have embraced electronic communication as legally equivalent to traditional paper-based methods, subject to proper authentication and evidence procedures.</w:t>
      </w:r>
    </w:p>
    <w:p>
      <w:pPr>
        <w:spacing w:line="240" w:before="0" w:after="0"/>
      </w:pPr>
      <w:r>
        <w:rPr>
          <w:rFonts w:ascii="Calibri" w:hAnsi="Calibri"/>
          <w:b w:val="0"/>
          <w:i w:val="0"/>
          <w:color w:val="000000"/>
          <w:sz w:val="28"/>
        </w:rPr>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000000"/>
        <w:sz w:val="2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