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i w:val="false"/>
          <w:iCs w:val="false"/>
          <w:sz w:val="36"/>
          <w:szCs w:val="36"/>
        </w:rPr>
        <w:t xml:space="preserve">MODULE 02</w:t>
      </w:r>
    </w:p>
    <w:p>
      <w:pPr>
        <w:spacing w:after="600"/>
        <w:jc w:val="center"/>
      </w:pPr>
      <w:r>
        <w:rPr>
          <w:rFonts w:ascii="Arial" w:cs="Arial" w:eastAsia="Arial" w:hAnsi="Arial"/>
          <w:b/>
          <w:bCs/>
          <w:i w:val="false"/>
          <w:iCs w:val="false"/>
          <w:sz w:val="30"/>
          <w:szCs w:val="30"/>
        </w:rPr>
        <w:t xml:space="preserve">WRITING EXERCISES ON DRAFTING AND PLEADING (CIVIL)</w:t>
      </w:r>
    </w:p>
    <w:p>
      <w:pPr>
        <w:spacing w:after="120"/>
        <w:jc w:val="center"/>
      </w:pPr>
      <w:r>
        <w:rPr>
          <w:rFonts w:ascii="Arial" w:cs="Arial" w:eastAsia="Arial" w:hAnsi="Arial"/>
          <w:b w:val="false"/>
          <w:bCs w:val="false"/>
          <w:i w:val="false"/>
          <w:iCs w:val="false"/>
          <w:sz w:val="22"/>
          <w:szCs w:val="22"/>
        </w:rPr>
        <w:t xml:space="preserve">Detailed Answers and Model Court Drafts for the Eleven Prescribed Topics:</w:t>
      </w:r>
    </w:p>
    <w:p>
      <w:pPr>
        <w:spacing w:after="1200"/>
        <w:jc w:val="center"/>
      </w:pPr>
      <w:r>
        <w:rPr>
          <w:rFonts w:ascii="Arial" w:cs="Arial" w:eastAsia="Arial" w:hAnsi="Arial"/>
          <w:b w:val="false"/>
          <w:bCs w:val="false"/>
          <w:i/>
          <w:iCs/>
          <w:sz w:val="20"/>
          <w:szCs w:val="20"/>
        </w:rPr>
        <w:t xml:space="preserve">Plaint • Written Statement • Summary Suit &amp; Leave to Defend • Caveat • Injunction Application / Preliminary Issue Application • Execution Petition • PIL Petition / Petition under Article 226 / Article 32 • Application under Motor Vehicles Act (M.A.C.P.) • Divorce Petition (H.M.P.) • Adjournment Application • Pursis</w:t>
      </w:r>
    </w:p>
    <w:p>
      <w:pPr>
        <w:spacing w:after="160"/>
        <w:jc w:val="center"/>
      </w:pPr>
      <w:r>
        <w:rPr>
          <w:rFonts w:ascii="Arial" w:cs="Arial" w:eastAsia="Arial" w:hAnsi="Arial"/>
          <w:b w:val="false"/>
          <w:bCs w:val="false"/>
          <w:i/>
          <w:iCs/>
          <w:sz w:val="20"/>
          <w:szCs w:val="20"/>
        </w:rPr>
        <w:t xml:space="preserve">Prepared as an Academic &amp; Practical Drafting Resource</w:t>
      </w:r>
    </w:p>
    <w:p>
      <w:r>
        <w:br w:type="page"/>
      </w:r>
    </w:p>
    <w:p>
      <w:pPr>
        <w:pStyle w:val="Heading1"/>
      </w:pPr>
      <w:r>
        <w:t xml:space="preserve">Table of Contents</w:t>
      </w:r>
    </w:p>
    <w:p>
      <w:pPr>
        <w:spacing w:after="120"/>
      </w:pPr>
      <w:r>
        <w:rPr>
          <w:rFonts w:ascii="Arial" w:cs="Arial" w:eastAsia="Arial" w:hAnsi="Arial"/>
          <w:sz w:val="22"/>
          <w:szCs w:val="22"/>
        </w:rPr>
        <w:t xml:space="preserve">1. PLAINT</w:t>
      </w:r>
    </w:p>
    <w:p>
      <w:pPr>
        <w:spacing w:after="120"/>
      </w:pPr>
      <w:r>
        <w:rPr>
          <w:rFonts w:ascii="Arial" w:cs="Arial" w:eastAsia="Arial" w:hAnsi="Arial"/>
          <w:sz w:val="22"/>
          <w:szCs w:val="22"/>
        </w:rPr>
        <w:t xml:space="preserve">2. WRITTEN STATEMENT</w:t>
      </w:r>
    </w:p>
    <w:p>
      <w:pPr>
        <w:spacing w:after="120"/>
      </w:pPr>
      <w:r>
        <w:rPr>
          <w:rFonts w:ascii="Arial" w:cs="Arial" w:eastAsia="Arial" w:hAnsi="Arial"/>
          <w:sz w:val="22"/>
          <w:szCs w:val="22"/>
        </w:rPr>
        <w:t xml:space="preserve">3. SUMMARY SUIT AND LEAVE TO DEFEND</w:t>
      </w:r>
    </w:p>
    <w:p>
      <w:pPr>
        <w:spacing w:after="120"/>
      </w:pPr>
      <w:r>
        <w:rPr>
          <w:rFonts w:ascii="Arial" w:cs="Arial" w:eastAsia="Arial" w:hAnsi="Arial"/>
          <w:sz w:val="22"/>
          <w:szCs w:val="22"/>
        </w:rPr>
        <w:t xml:space="preserve">4. CAVEAT</w:t>
      </w:r>
    </w:p>
    <w:p>
      <w:pPr>
        <w:spacing w:after="120"/>
      </w:pPr>
      <w:r>
        <w:rPr>
          <w:rFonts w:ascii="Arial" w:cs="Arial" w:eastAsia="Arial" w:hAnsi="Arial"/>
          <w:sz w:val="22"/>
          <w:szCs w:val="22"/>
        </w:rPr>
        <w:t xml:space="preserve">5. INJUNCTION APPLICATION / PRELIMINARY ISSUE APPLICATION</w:t>
      </w:r>
    </w:p>
    <w:p>
      <w:pPr>
        <w:spacing w:after="120"/>
      </w:pPr>
      <w:r>
        <w:rPr>
          <w:rFonts w:ascii="Arial" w:cs="Arial" w:eastAsia="Arial" w:hAnsi="Arial"/>
          <w:sz w:val="22"/>
          <w:szCs w:val="22"/>
        </w:rPr>
        <w:t xml:space="preserve">6. EXECUTION PETITION</w:t>
      </w:r>
    </w:p>
    <w:p>
      <w:pPr>
        <w:spacing w:after="120"/>
      </w:pPr>
      <w:r>
        <w:rPr>
          <w:rFonts w:ascii="Arial" w:cs="Arial" w:eastAsia="Arial" w:hAnsi="Arial"/>
          <w:sz w:val="22"/>
          <w:szCs w:val="22"/>
        </w:rPr>
        <w:t xml:space="preserve">7. PIL PETITION / PETITION UNDER ARTICLE 226 / ARTICLE 32 OF THE CONSTITUTION OF INDIA</w:t>
      </w:r>
    </w:p>
    <w:p>
      <w:pPr>
        <w:spacing w:after="120"/>
      </w:pPr>
      <w:r>
        <w:rPr>
          <w:rFonts w:ascii="Arial" w:cs="Arial" w:eastAsia="Arial" w:hAnsi="Arial"/>
          <w:sz w:val="22"/>
          <w:szCs w:val="22"/>
        </w:rPr>
        <w:t xml:space="preserve">8. APPLICATION UNDER THE MOTOR VEHICLES ACT — M.A.C.P. (MOTOR ACCIDENT CLAIM PETITION)</w:t>
      </w:r>
    </w:p>
    <w:p>
      <w:pPr>
        <w:spacing w:after="120"/>
      </w:pPr>
      <w:r>
        <w:rPr>
          <w:rFonts w:ascii="Arial" w:cs="Arial" w:eastAsia="Arial" w:hAnsi="Arial"/>
          <w:sz w:val="22"/>
          <w:szCs w:val="22"/>
        </w:rPr>
        <w:t xml:space="preserve">9. DIVORCE PETITION — H.M.P. (HINDU MARRIAGE PETITION)</w:t>
      </w:r>
    </w:p>
    <w:p>
      <w:pPr>
        <w:spacing w:after="120"/>
      </w:pPr>
      <w:r>
        <w:rPr>
          <w:rFonts w:ascii="Arial" w:cs="Arial" w:eastAsia="Arial" w:hAnsi="Arial"/>
          <w:sz w:val="22"/>
          <w:szCs w:val="22"/>
        </w:rPr>
        <w:t xml:space="preserve">10. ADJOURNMENT APPLICATION</w:t>
      </w:r>
    </w:p>
    <w:p>
      <w:pPr>
        <w:spacing w:after="120"/>
      </w:pPr>
      <w:r>
        <w:rPr>
          <w:rFonts w:ascii="Arial" w:cs="Arial" w:eastAsia="Arial" w:hAnsi="Arial"/>
          <w:sz w:val="22"/>
          <w:szCs w:val="22"/>
        </w:rPr>
        <w:t xml:space="preserve">11. PURSIS</w:t>
      </w:r>
    </w:p>
    <w:p>
      <w:r>
        <w:br w:type="page"/>
      </w:r>
    </w:p>
    <w:p>
      <w:pPr>
        <w:pStyle w:val="Heading1"/>
      </w:pPr>
      <w:r>
        <w:t xml:space="preserve">1. PLAINT</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 plaint is the foundational pleading by which a civil suit is instituted in a court of law. It is the written statement of a plaintiff's claim, setting out the material facts on which the plaintiff relies to obtain a remedy from the court against the defendant. The entire edifice of a civil suit rests upon the plaint, since it is the document that defines the cause of action, the relief claimed, and the jurisdiction of the court. The Code of Civil Procedure, 1908 (hereinafter "CPC"), particularly Order VII, governs the form, contents, and presentation of a plaint, while Order VI lays down the general rules of pleading applicable to plaints and written statements alike.</w:t>
      </w:r>
    </w:p>
    <w:p>
      <w:pPr>
        <w:spacing w:after="160"/>
        <w:jc w:val="both"/>
      </w:pPr>
      <w:r>
        <w:rPr>
          <w:rFonts w:ascii="Arial" w:cs="Arial" w:eastAsia="Arial" w:hAnsi="Arial"/>
          <w:sz w:val="22"/>
          <w:szCs w:val="22"/>
        </w:rPr>
        <w:t xml:space="preserve">A suit, in the eyes of the law, "commences" only upon presentation of a plaint, as provided under Section 26 of the CPC, which states that every suit shall be instituted by the presentation of a plaint or in such other manner as may be prescribed. The plaint is therefore not a mere formality; it is the jurisdictional gateway to civil adjudication.</w:t>
      </w:r>
    </w:p>
    <w:p>
      <w:pPr>
        <w:pStyle w:val="Heading2"/>
      </w:pPr>
      <w:r>
        <w:t xml:space="preserve">2. Meaning and Nature of a Plaint</w:t>
      </w:r>
    </w:p>
    <w:p>
      <w:pPr>
        <w:spacing w:after="160"/>
        <w:jc w:val="both"/>
      </w:pPr>
      <w:r>
        <w:rPr>
          <w:rFonts w:ascii="Arial" w:cs="Arial" w:eastAsia="Arial" w:hAnsi="Arial"/>
          <w:sz w:val="22"/>
          <w:szCs w:val="22"/>
        </w:rPr>
        <w:t xml:space="preserve">The term "plaint" has not been defined in the CPC itself, but it has been judicially understood to mean a private memorial tendered to a court in which the person sets out his cause of action, the facts necessary to sustain the suit, and prays for relief. It is, in substance, a statement of claim. The Supreme Court has repeatedly emphasised that a plaint must disclose a cause of action, and a plaint that does not disclose any cause of action is liable to be rejected under Order VII Rule 11(a) of the CPC.</w:t>
      </w:r>
    </w:p>
    <w:p>
      <w:pPr>
        <w:spacing w:after="160"/>
        <w:jc w:val="both"/>
      </w:pPr>
      <w:r>
        <w:rPr>
          <w:rFonts w:ascii="Arial" w:cs="Arial" w:eastAsia="Arial" w:hAnsi="Arial"/>
          <w:sz w:val="22"/>
          <w:szCs w:val="22"/>
        </w:rPr>
        <w:t xml:space="preserve">A plaint performs several functions simultaneously:</w:t>
      </w:r>
    </w:p>
    <w:p>
      <w:pPr>
        <w:spacing w:after="160"/>
        <w:ind w:left="360"/>
        <w:jc w:val="both"/>
      </w:pPr>
      <w:r>
        <w:rPr>
          <w:rFonts w:ascii="Arial" w:cs="Arial" w:eastAsia="Arial" w:hAnsi="Arial"/>
          <w:sz w:val="22"/>
          <w:szCs w:val="22"/>
        </w:rPr>
        <w:t xml:space="preserve">(i) It informs the defendant of the precise nature of the claim made against him so that he may prepare his defence.</w:t>
      </w:r>
    </w:p>
    <w:p>
      <w:pPr>
        <w:spacing w:after="160"/>
        <w:ind w:left="360"/>
        <w:jc w:val="both"/>
      </w:pPr>
      <w:r>
        <w:rPr>
          <w:rFonts w:ascii="Arial" w:cs="Arial" w:eastAsia="Arial" w:hAnsi="Arial"/>
          <w:sz w:val="22"/>
          <w:szCs w:val="22"/>
        </w:rPr>
        <w:t xml:space="preserve">(ii) It fixes the scope of the trial, since parties are normally not permitted to travel beyond their pleadings.</w:t>
      </w:r>
    </w:p>
    <w:p>
      <w:pPr>
        <w:spacing w:after="160"/>
        <w:ind w:left="360"/>
        <w:jc w:val="both"/>
      </w:pPr>
      <w:r>
        <w:rPr>
          <w:rFonts w:ascii="Arial" w:cs="Arial" w:eastAsia="Arial" w:hAnsi="Arial"/>
          <w:sz w:val="22"/>
          <w:szCs w:val="22"/>
        </w:rPr>
        <w:t xml:space="preserve">(iii) It enables the court to determine its own jurisdiction — pecuniary, territorial, and subject-matter — at the threshold.</w:t>
      </w:r>
    </w:p>
    <w:p>
      <w:pPr>
        <w:spacing w:after="160"/>
        <w:ind w:left="360"/>
        <w:jc w:val="both"/>
      </w:pPr>
      <w:r>
        <w:rPr>
          <w:rFonts w:ascii="Arial" w:cs="Arial" w:eastAsia="Arial" w:hAnsi="Arial"/>
          <w:sz w:val="22"/>
          <w:szCs w:val="22"/>
        </w:rPr>
        <w:t xml:space="preserve">(iv) It determines the court fee payable, since court fee is ordinarily calculated with reference to the valuation of the relief claimed in the plaint.</w:t>
      </w:r>
    </w:p>
    <w:p>
      <w:pPr>
        <w:spacing w:after="160"/>
        <w:ind w:left="360"/>
        <w:jc w:val="both"/>
      </w:pPr>
      <w:r>
        <w:rPr>
          <w:rFonts w:ascii="Arial" w:cs="Arial" w:eastAsia="Arial" w:hAnsi="Arial"/>
          <w:sz w:val="22"/>
          <w:szCs w:val="22"/>
        </w:rPr>
        <w:t xml:space="preserve">(v) It forms the basis for framing of issues under Order XIV of the CPC.</w:t>
      </w:r>
    </w:p>
    <w:p>
      <w:pPr>
        <w:pStyle w:val="Heading2"/>
      </w:pPr>
      <w:r>
        <w:t xml:space="preserve">3. Essential Contents of a Plaint — Order VII Rule 1, CPC</w:t>
      </w:r>
    </w:p>
    <w:p>
      <w:pPr>
        <w:spacing w:after="160"/>
        <w:jc w:val="both"/>
      </w:pPr>
      <w:r>
        <w:rPr>
          <w:rFonts w:ascii="Arial" w:cs="Arial" w:eastAsia="Arial" w:hAnsi="Arial"/>
          <w:sz w:val="22"/>
          <w:szCs w:val="22"/>
        </w:rPr>
        <w:t xml:space="preserve">Order VII Rule 1 prescribes that a plaint shall contain the following particulars:</w:t>
      </w:r>
    </w:p>
    <w:p>
      <w:pPr>
        <w:spacing w:after="160"/>
        <w:ind w:left="360"/>
        <w:jc w:val="both"/>
      </w:pPr>
      <w:r>
        <w:rPr>
          <w:rFonts w:ascii="Arial" w:cs="Arial" w:eastAsia="Arial" w:hAnsi="Arial"/>
          <w:sz w:val="22"/>
          <w:szCs w:val="22"/>
        </w:rPr>
        <w:t xml:space="preserve">(a) the name of the court in which the suit is brought;</w:t>
      </w:r>
    </w:p>
    <w:p>
      <w:pPr>
        <w:spacing w:after="160"/>
        <w:ind w:left="360"/>
        <w:jc w:val="both"/>
      </w:pPr>
      <w:r>
        <w:rPr>
          <w:rFonts w:ascii="Arial" w:cs="Arial" w:eastAsia="Arial" w:hAnsi="Arial"/>
          <w:sz w:val="22"/>
          <w:szCs w:val="22"/>
        </w:rPr>
        <w:t xml:space="preserve">(b) the name, description, and place of residence of the plaintiff;</w:t>
      </w:r>
    </w:p>
    <w:p>
      <w:pPr>
        <w:spacing w:after="160"/>
        <w:ind w:left="360"/>
        <w:jc w:val="both"/>
      </w:pPr>
      <w:r>
        <w:rPr>
          <w:rFonts w:ascii="Arial" w:cs="Arial" w:eastAsia="Arial" w:hAnsi="Arial"/>
          <w:sz w:val="22"/>
          <w:szCs w:val="22"/>
        </w:rPr>
        <w:t xml:space="preserve">(c) the name, description, and place of residence of the defendant, so far as they can be ascertained;</w:t>
      </w:r>
    </w:p>
    <w:p>
      <w:pPr>
        <w:spacing w:after="160"/>
        <w:ind w:left="360"/>
        <w:jc w:val="both"/>
      </w:pPr>
      <w:r>
        <w:rPr>
          <w:rFonts w:ascii="Arial" w:cs="Arial" w:eastAsia="Arial" w:hAnsi="Arial"/>
          <w:sz w:val="22"/>
          <w:szCs w:val="22"/>
        </w:rPr>
        <w:t xml:space="preserve">(d) where the plaintiff or the defendant is a minor or a person of unsound mind, a statement to that effect;</w:t>
      </w:r>
    </w:p>
    <w:p>
      <w:pPr>
        <w:spacing w:after="160"/>
        <w:ind w:left="360"/>
        <w:jc w:val="both"/>
      </w:pPr>
      <w:r>
        <w:rPr>
          <w:rFonts w:ascii="Arial" w:cs="Arial" w:eastAsia="Arial" w:hAnsi="Arial"/>
          <w:sz w:val="22"/>
          <w:szCs w:val="22"/>
        </w:rPr>
        <w:t xml:space="preserve">(e) the facts constituting the cause of action and when it arose;</w:t>
      </w:r>
    </w:p>
    <w:p>
      <w:pPr>
        <w:spacing w:after="160"/>
        <w:ind w:left="360"/>
        <w:jc w:val="both"/>
      </w:pPr>
      <w:r>
        <w:rPr>
          <w:rFonts w:ascii="Arial" w:cs="Arial" w:eastAsia="Arial" w:hAnsi="Arial"/>
          <w:sz w:val="22"/>
          <w:szCs w:val="22"/>
        </w:rPr>
        <w:t xml:space="preserve">(f) the facts showing that the court has jurisdiction;</w:t>
      </w:r>
    </w:p>
    <w:p>
      <w:pPr>
        <w:spacing w:after="160"/>
        <w:ind w:left="360"/>
        <w:jc w:val="both"/>
      </w:pPr>
      <w:r>
        <w:rPr>
          <w:rFonts w:ascii="Arial" w:cs="Arial" w:eastAsia="Arial" w:hAnsi="Arial"/>
          <w:sz w:val="22"/>
          <w:szCs w:val="22"/>
        </w:rPr>
        <w:t xml:space="preserve">(g) the relief which the plaintiff claims;</w:t>
      </w:r>
    </w:p>
    <w:p>
      <w:pPr>
        <w:spacing w:after="160"/>
        <w:ind w:left="360"/>
        <w:jc w:val="both"/>
      </w:pPr>
      <w:r>
        <w:rPr>
          <w:rFonts w:ascii="Arial" w:cs="Arial" w:eastAsia="Arial" w:hAnsi="Arial"/>
          <w:sz w:val="22"/>
          <w:szCs w:val="22"/>
        </w:rPr>
        <w:t xml:space="preserve">(h) where the plaintiff has allowed a set-off or relinquished a portion of his claim, the amount so allowed or relinquished; and</w:t>
      </w:r>
    </w:p>
    <w:p>
      <w:pPr>
        <w:spacing w:after="160"/>
        <w:ind w:left="360"/>
        <w:jc w:val="both"/>
      </w:pPr>
      <w:r>
        <w:rPr>
          <w:rFonts w:ascii="Arial" w:cs="Arial" w:eastAsia="Arial" w:hAnsi="Arial"/>
          <w:sz w:val="22"/>
          <w:szCs w:val="22"/>
        </w:rPr>
        <w:t xml:space="preserve">(i) a statement of the value of the subject-matter of the suit for the purposes of jurisdiction and court fees.</w:t>
      </w:r>
    </w:p>
    <w:p>
      <w:pPr>
        <w:spacing w:after="160"/>
        <w:jc w:val="both"/>
      </w:pPr>
      <w:r>
        <w:rPr>
          <w:rFonts w:ascii="Arial" w:cs="Arial" w:eastAsia="Arial" w:hAnsi="Arial"/>
          <w:sz w:val="22"/>
          <w:szCs w:val="22"/>
        </w:rPr>
        <w:t xml:space="preserve">In addition, Order VII Rule 2 requires that where the suit is for recovery of money, the plaint shall state the precise amount claimed; and where the suit is for accounts or mesne profits or for movable property of unascertained value, the plaint shall state the approximate amount or value. Order VII Rule 3 requires that where the subject-matter of the suit is immovable property, the plaint shall contain a description of the property sufficient to identify it, and in the absence of survey numbers, the plaint shall be accompanied by a plan of the property.</w:t>
      </w:r>
    </w:p>
    <w:p>
      <w:pPr>
        <w:spacing w:after="160"/>
        <w:jc w:val="both"/>
      </w:pPr>
      <w:r>
        <w:rPr>
          <w:rFonts w:ascii="Arial" w:cs="Arial" w:eastAsia="Arial" w:hAnsi="Arial"/>
          <w:sz w:val="22"/>
          <w:szCs w:val="22"/>
        </w:rPr>
        <w:t xml:space="preserve">Order VII Rule 4 deals with suits on behalf of a minor and requires a statement that the plaintiff is a minor and is suing through a next friend, and Order VII Rule 5 requires the plaint to show how the defendant is interested in the subject-matter and how he is liable.</w:t>
      </w:r>
    </w:p>
    <w:p>
      <w:pPr>
        <w:pStyle w:val="Heading2"/>
      </w:pPr>
      <w:r>
        <w:t xml:space="preserve">4. Order VI: General Rules of Pleading</w:t>
      </w:r>
    </w:p>
    <w:p>
      <w:pPr>
        <w:spacing w:after="160"/>
        <w:jc w:val="both"/>
      </w:pPr>
      <w:r>
        <w:rPr>
          <w:rFonts w:ascii="Arial" w:cs="Arial" w:eastAsia="Arial" w:hAnsi="Arial"/>
          <w:sz w:val="22"/>
          <w:szCs w:val="22"/>
        </w:rPr>
        <w:t xml:space="preserve">Since a plaint is a species of "pleading," the general rules contained in Order VI CPC apply to it with full force:</w:t>
      </w:r>
    </w:p>
    <w:p>
      <w:pPr>
        <w:spacing w:after="160"/>
        <w:jc w:val="both"/>
      </w:pPr>
      <w:r>
        <w:rPr>
          <w:rFonts w:ascii="Arial" w:cs="Arial" w:eastAsia="Arial" w:hAnsi="Arial"/>
          <w:sz w:val="22"/>
          <w:szCs w:val="22"/>
        </w:rPr>
        <w:t xml:space="preserve">(i) Order VI Rule 2 mandates that every pleading shall contain, in a concise form, the material facts on which the party relies, and not the evidence by which those facts are to be proved. This is the celebrated distinction between "material facts" and "evidence" — a plaint must state the facta probanda (facts to be proved) and not the facta probantia (facts that prove). Pleadings overloaded with evidentiary detail or legal argument are liable to be struck out.</w:t>
      </w:r>
    </w:p>
    <w:p>
      <w:pPr>
        <w:spacing w:after="160"/>
        <w:jc w:val="both"/>
      </w:pPr>
      <w:r>
        <w:rPr>
          <w:rFonts w:ascii="Arial" w:cs="Arial" w:eastAsia="Arial" w:hAnsi="Arial"/>
          <w:sz w:val="22"/>
          <w:szCs w:val="22"/>
        </w:rPr>
        <w:t xml:space="preserve">(ii) Order VI Rule 4 requires that where a party relies on misrepresentation, fraud, breach of trust, wilful default, or undue influence, particulars (with dates and items, if necessary) must be stated in the pleading. Mere general allegations of fraud, without particulars, are insufficient in law and are liable to be struck out — this principle has been reiterated by the Supreme Court in several rulings on the requirement of specificity in pleading fraud.</w:t>
      </w:r>
    </w:p>
    <w:p>
      <w:pPr>
        <w:spacing w:after="160"/>
        <w:ind w:left="360"/>
        <w:jc w:val="both"/>
      </w:pPr>
      <w:r>
        <w:rPr>
          <w:rFonts w:ascii="Arial" w:cs="Arial" w:eastAsia="Arial" w:hAnsi="Arial"/>
          <w:sz w:val="22"/>
          <w:szCs w:val="22"/>
        </w:rPr>
        <w:t xml:space="preserve">(iii) Order VI Rule 14 requires that every pleading be signed by the party or one of the parties or by a pleader duly authorised in that behalf.</w:t>
      </w:r>
    </w:p>
    <w:p>
      <w:pPr>
        <w:spacing w:after="160"/>
        <w:ind w:left="360"/>
        <w:jc w:val="both"/>
      </w:pPr>
      <w:r>
        <w:rPr>
          <w:rFonts w:ascii="Arial" w:cs="Arial" w:eastAsia="Arial" w:hAnsi="Arial"/>
          <w:sz w:val="22"/>
          <w:szCs w:val="22"/>
        </w:rPr>
        <w:t xml:space="preserve">(iv) Order VI Rule 15 requires verification of the pleading, by affidavit, by the party or by a person acquainted with the facts of the case, specifying which paragraphs are verified from personal knowledge and which from information received and believed to be true.</w:t>
      </w:r>
    </w:p>
    <w:p>
      <w:pPr>
        <w:spacing w:after="160"/>
        <w:ind w:left="360"/>
        <w:jc w:val="both"/>
      </w:pPr>
      <w:r>
        <w:rPr>
          <w:rFonts w:ascii="Arial" w:cs="Arial" w:eastAsia="Arial" w:hAnsi="Arial"/>
          <w:sz w:val="22"/>
          <w:szCs w:val="22"/>
        </w:rPr>
        <w:t xml:space="preserve">(v) Order VI Rule 16 empowers the court to strike out or amend any pleading which is unnecessary, scandalous, frivolous, vexatious, or tends to prejudice, embarrass, or delay a fair trial.</w:t>
      </w:r>
    </w:p>
    <w:p>
      <w:pPr>
        <w:spacing w:after="160"/>
        <w:ind w:left="360"/>
        <w:jc w:val="both"/>
      </w:pPr>
      <w:r>
        <w:rPr>
          <w:rFonts w:ascii="Arial" w:cs="Arial" w:eastAsia="Arial" w:hAnsi="Arial"/>
          <w:sz w:val="22"/>
          <w:szCs w:val="22"/>
        </w:rPr>
        <w:t xml:space="preserve">(vi) Order VI Rule 17 permits amendment of pleadings at any stage of the proceedings, but the proviso (inserted by the CPC (Amendment) Act, 2002) restricts amendments after the commencement of trial unless the court concludes that, in spite of due diligence, the party could not have raised the matter before the commencement of trial.</w:t>
      </w:r>
    </w:p>
    <w:p>
      <w:pPr>
        <w:pStyle w:val="Heading2"/>
      </w:pPr>
      <w:r>
        <w:t xml:space="preserve">5. Cause of Action</w:t>
      </w:r>
    </w:p>
    <w:p>
      <w:pPr>
        <w:spacing w:after="160"/>
        <w:jc w:val="both"/>
      </w:pPr>
      <w:r>
        <w:rPr>
          <w:rFonts w:ascii="Arial" w:cs="Arial" w:eastAsia="Arial" w:hAnsi="Arial"/>
          <w:sz w:val="22"/>
          <w:szCs w:val="22"/>
        </w:rPr>
        <w:t xml:space="preserve">The "cause of action" is the bundle of essential facts which it is necessary for the plaintiff to prove before he can succeed in his suit. It comprises every fact which, if traversed, the plaintiff must prove in order to obtain judgment. The Supreme Court has consistently held that the cause of action means the bundle of facts which gives rise to a right to sue, and that it must consist of every fact which is material to be proved to entitle the plaintiff to succeed.</w:t>
      </w:r>
    </w:p>
    <w:p>
      <w:pPr>
        <w:spacing w:after="160"/>
        <w:jc w:val="both"/>
      </w:pPr>
      <w:r>
        <w:rPr>
          <w:rFonts w:ascii="Arial" w:cs="Arial" w:eastAsia="Arial" w:hAnsi="Arial"/>
          <w:sz w:val="22"/>
          <w:szCs w:val="22"/>
        </w:rPr>
        <w:t xml:space="preserve">A plaint that does not disclose a cause of action is liable to rejection under Order VII Rule 11(a) CPC. In examining whether a cause of action is disclosed, the court must look only at the averments made in the plaint, read as a whole, and presume them to be true for this limited purpose, without looking into the defence set up by the defendant in the written statement.</w:t>
      </w:r>
    </w:p>
    <w:p>
      <w:pPr>
        <w:pStyle w:val="Heading2"/>
      </w:pPr>
      <w:r>
        <w:t xml:space="preserve">6. Jurisdiction of the Court</w:t>
      </w:r>
    </w:p>
    <w:p>
      <w:pPr>
        <w:spacing w:after="160"/>
        <w:jc w:val="both"/>
      </w:pPr>
      <w:r>
        <w:rPr>
          <w:rFonts w:ascii="Arial" w:cs="Arial" w:eastAsia="Arial" w:hAnsi="Arial"/>
          <w:sz w:val="22"/>
          <w:szCs w:val="22"/>
        </w:rPr>
        <w:t xml:space="preserve">A plaint must affirmatively show that the court before which it is filed has jurisdiction to entertain the suit on three counts:</w:t>
      </w:r>
    </w:p>
    <w:p>
      <w:pPr>
        <w:spacing w:after="160"/>
        <w:ind w:left="360"/>
        <w:jc w:val="both"/>
      </w:pPr>
      <w:r>
        <w:rPr>
          <w:rFonts w:ascii="Arial" w:cs="Arial" w:eastAsia="Arial" w:hAnsi="Arial"/>
          <w:sz w:val="22"/>
          <w:szCs w:val="22"/>
        </w:rPr>
        <w:t xml:space="preserve">(a) Pecuniary jurisdiction — i.e., the value of the subject-matter falls within the pecuniary limits prescribed for that court by the relevant State enactment (e.g., the Civil Courts Act of the State, or in commercial matters, the Commercial Courts Act, 2015).</w:t>
      </w:r>
    </w:p>
    <w:p>
      <w:pPr>
        <w:spacing w:after="160"/>
        <w:jc w:val="both"/>
      </w:pPr>
      <w:r>
        <w:rPr>
          <w:rFonts w:ascii="Arial" w:cs="Arial" w:eastAsia="Arial" w:hAnsi="Arial"/>
          <w:sz w:val="22"/>
          <w:szCs w:val="22"/>
        </w:rPr>
        <w:t xml:space="preserve">(b) Territorial jurisdiction — governed by Sections 16 to 20 of the CPC. Suits relating to immovable property must be instituted in the court within whose local limits the property is situated (Section 16); suits for compensation for wrong to person or movable property may be instituted where the wrong was committed or where the defendant resides (Section 19); and other suits may be instituted where the defendant resides or carries on business, or where the cause of action wholly or partly arises (Section 20).</w:t>
      </w:r>
    </w:p>
    <w:p>
      <w:pPr>
        <w:spacing w:after="160"/>
        <w:ind w:left="360"/>
        <w:jc w:val="both"/>
      </w:pPr>
      <w:r>
        <w:rPr>
          <w:rFonts w:ascii="Arial" w:cs="Arial" w:eastAsia="Arial" w:hAnsi="Arial"/>
          <w:sz w:val="22"/>
          <w:szCs w:val="22"/>
        </w:rPr>
        <w:t xml:space="preserve">(c) Subject-matter jurisdiction — i.e., that the nature of the dispute (e.g., civil, commercial, matrimonial, testamentary) falls within the jurisdiction conferred upon that particular court by statute.</w:t>
      </w:r>
    </w:p>
    <w:p>
      <w:pPr>
        <w:pStyle w:val="Heading2"/>
      </w:pPr>
      <w:r>
        <w:t xml:space="preserve">7. Valuation and Court Fee</w:t>
      </w:r>
    </w:p>
    <w:p>
      <w:pPr>
        <w:spacing w:after="160"/>
        <w:jc w:val="both"/>
      </w:pPr>
      <w:r>
        <w:rPr>
          <w:rFonts w:ascii="Arial" w:cs="Arial" w:eastAsia="Arial" w:hAnsi="Arial"/>
          <w:sz w:val="22"/>
          <w:szCs w:val="22"/>
        </w:rPr>
        <w:t xml:space="preserve">The plaint must state the value of the subject-matter of the suit, both for purposes of jurisdiction and for purposes of court fee. Valuation is governed in most States by the Suits Valuation Act, 1887, read with the Court Fees Act, 1870 (and corresponding State amendments). Under-valuation of a suit to evade proper court fee, or to bring the suit within the pecuniary jurisdiction of a lower court, can lead to objections under Order VII Rule 11(b) and (c) — rejection of plaint for insufficiently stamped relief or undervaluation, where the plaintiff fails to correct the valuation/court fee within the time fixed by the court.</w:t>
      </w:r>
    </w:p>
    <w:p>
      <w:pPr>
        <w:pStyle w:val="Heading2"/>
      </w:pPr>
      <w:r>
        <w:t xml:space="preserve">8. Presentation, Registration and Procedure on Filing</w:t>
      </w:r>
    </w:p>
    <w:p>
      <w:pPr>
        <w:spacing w:after="160"/>
        <w:jc w:val="both"/>
      </w:pPr>
      <w:r>
        <w:rPr>
          <w:rFonts w:ascii="Arial" w:cs="Arial" w:eastAsia="Arial" w:hAnsi="Arial"/>
          <w:sz w:val="22"/>
          <w:szCs w:val="22"/>
        </w:rPr>
        <w:t xml:space="preserve">Order IV CPC governs the institution of suits: every suit must be instituted by presenting a plaint to the court or such officer as it appoints, and the plaint, on presentation, is examined by the court/registry and, if found in order, is registered and numbered as a suit. Order VII Rule 9 requires the plaintiff, where the summons is to be served in the ordinary way, to present as many copies of the plaint as there are defendants, together with a copy for each set of defendants represented by the same advocate, for service.</w:t>
      </w:r>
    </w:p>
    <w:p>
      <w:pPr>
        <w:spacing w:after="160"/>
        <w:jc w:val="both"/>
      </w:pPr>
      <w:r>
        <w:rPr>
          <w:rFonts w:ascii="Arial" w:cs="Arial" w:eastAsia="Arial" w:hAnsi="Arial"/>
          <w:sz w:val="22"/>
          <w:szCs w:val="22"/>
        </w:rPr>
        <w:t xml:space="preserve">Documents on which the plaintiff sues, or relies as evidence in support of his claim, must be produced when the plaint is presented and entered in a list to be appended to the plaint, in accordance with Order VII Rule 14, unless leave of the court is sought to a different effect. Documents not so produced cannot, save with leave of the court, be received in evidence on the plaintiff's behalf at the hearing.</w:t>
      </w:r>
    </w:p>
    <w:p>
      <w:pPr>
        <w:pStyle w:val="Heading2"/>
      </w:pPr>
      <w:r>
        <w:t xml:space="preserve">9. Return and Rejection of Plaint</w:t>
      </w:r>
    </w:p>
    <w:p>
      <w:pPr>
        <w:spacing w:after="160"/>
        <w:jc w:val="both"/>
      </w:pPr>
      <w:r>
        <w:rPr>
          <w:rFonts w:ascii="Arial" w:cs="Arial" w:eastAsia="Arial" w:hAnsi="Arial"/>
          <w:sz w:val="22"/>
          <w:szCs w:val="22"/>
        </w:rPr>
        <w:t xml:space="preserve">It is important, particularly from an examination standpoint, to distinguish between </w:t>
      </w:r>
      <w:r>
        <w:rPr>
          <w:rFonts w:ascii="Arial" w:cs="Arial" w:eastAsia="Arial" w:hAnsi="Arial"/>
          <w:b/>
          <w:bCs/>
          <w:sz w:val="22"/>
          <w:szCs w:val="22"/>
        </w:rPr>
        <w:t xml:space="preserve">return of plaint</w:t>
      </w:r>
      <w:r>
        <w:rPr>
          <w:rFonts w:ascii="Arial" w:cs="Arial" w:eastAsia="Arial" w:hAnsi="Arial"/>
          <w:sz w:val="22"/>
          <w:szCs w:val="22"/>
        </w:rPr>
        <w:t xml:space="preserve"> under Order VII Rule 10, and </w:t>
      </w:r>
      <w:r>
        <w:rPr>
          <w:rFonts w:ascii="Arial" w:cs="Arial" w:eastAsia="Arial" w:hAnsi="Arial"/>
          <w:b/>
          <w:bCs/>
          <w:sz w:val="22"/>
          <w:szCs w:val="22"/>
        </w:rPr>
        <w:t xml:space="preserve">rejection of plaint</w:t>
      </w:r>
      <w:r>
        <w:rPr>
          <w:rFonts w:ascii="Arial" w:cs="Arial" w:eastAsia="Arial" w:hAnsi="Arial"/>
          <w:sz w:val="22"/>
          <w:szCs w:val="22"/>
        </w:rPr>
        <w:t xml:space="preserve"> under Order VII Rule 11:</w:t>
      </w:r>
    </w:p>
    <w:p>
      <w:pPr>
        <w:spacing w:after="160"/>
        <w:jc w:val="both"/>
      </w:pPr>
      <w:r>
        <w:rPr>
          <w:rFonts w:ascii="Arial" w:cs="Arial" w:eastAsia="Arial" w:hAnsi="Arial"/>
          <w:b/>
          <w:bCs/>
          <w:sz w:val="22"/>
          <w:szCs w:val="22"/>
        </w:rPr>
        <w:t xml:space="preserve">Return of Plaint (Order VII Rule 10):</w:t>
      </w:r>
      <w:r>
        <w:rPr>
          <w:rFonts w:ascii="Arial" w:cs="Arial" w:eastAsia="Arial" w:hAnsi="Arial"/>
          <w:sz w:val="22"/>
          <w:szCs w:val="22"/>
        </w:rPr>
        <w:t xml:space="preserve"> Where, at any stage of the suit, the court finds that it has no jurisdiction (territorial, pecuniary, or otherwise) to try the suit, it shall return the plaint to be presented to the proper court. The endorsement on the plaint must state the date of presentation and return, the name of the party presenting it, and a brief statement of the reasons for return. Crucially, return of plaint does not amount to a dismissal of the suit on merits, and the plaintiff is entitled to present it before the proper forum.</w:t>
      </w:r>
    </w:p>
    <w:p>
      <w:pPr>
        <w:spacing w:after="160"/>
        <w:jc w:val="both"/>
      </w:pPr>
      <w:r>
        <w:rPr>
          <w:rFonts w:ascii="Arial" w:cs="Arial" w:eastAsia="Arial" w:hAnsi="Arial"/>
          <w:b/>
          <w:bCs/>
          <w:sz w:val="22"/>
          <w:szCs w:val="22"/>
        </w:rPr>
        <w:t xml:space="preserve">Rejection of Plaint (Order VII Rule 11):</w:t>
      </w:r>
      <w:r>
        <w:rPr>
          <w:rFonts w:ascii="Arial" w:cs="Arial" w:eastAsia="Arial" w:hAnsi="Arial"/>
          <w:sz w:val="22"/>
          <w:szCs w:val="22"/>
        </w:rPr>
        <w:t xml:space="preserve"> A plaint shall be rejected in the following circumstances:</w:t>
      </w:r>
    </w:p>
    <w:p>
      <w:pPr>
        <w:spacing w:after="160"/>
        <w:ind w:left="360"/>
        <w:jc w:val="both"/>
      </w:pPr>
      <w:r>
        <w:rPr>
          <w:rFonts w:ascii="Arial" w:cs="Arial" w:eastAsia="Arial" w:hAnsi="Arial"/>
          <w:sz w:val="22"/>
          <w:szCs w:val="22"/>
        </w:rPr>
        <w:t xml:space="preserve">(a) where it does not disclose a cause of action;</w:t>
      </w:r>
    </w:p>
    <w:p>
      <w:pPr>
        <w:spacing w:after="160"/>
        <w:ind w:left="360"/>
        <w:jc w:val="both"/>
      </w:pPr>
      <w:r>
        <w:rPr>
          <w:rFonts w:ascii="Arial" w:cs="Arial" w:eastAsia="Arial" w:hAnsi="Arial"/>
          <w:sz w:val="22"/>
          <w:szCs w:val="22"/>
        </w:rPr>
        <w:t xml:space="preserve">(b) where the relief claimed is undervalued, and the plaintiff, on being required by the court to correct the valuation within a time fixed, fails to do so;</w:t>
      </w:r>
    </w:p>
    <w:p>
      <w:pPr>
        <w:spacing w:after="160"/>
        <w:ind w:left="360"/>
        <w:jc w:val="both"/>
      </w:pPr>
      <w:r>
        <w:rPr>
          <w:rFonts w:ascii="Arial" w:cs="Arial" w:eastAsia="Arial" w:hAnsi="Arial"/>
          <w:sz w:val="22"/>
          <w:szCs w:val="22"/>
        </w:rPr>
        <w:t xml:space="preserve">(c) where the relief claimed is properly valued, but the plaint is written upon paper insufficiently stamped, and the plaintiff fails to supply the requisite stamp paper within the time fixed;</w:t>
      </w:r>
    </w:p>
    <w:p>
      <w:pPr>
        <w:spacing w:after="160"/>
        <w:ind w:left="360"/>
        <w:jc w:val="both"/>
      </w:pPr>
      <w:r>
        <w:rPr>
          <w:rFonts w:ascii="Arial" w:cs="Arial" w:eastAsia="Arial" w:hAnsi="Arial"/>
          <w:sz w:val="22"/>
          <w:szCs w:val="22"/>
        </w:rPr>
        <w:t xml:space="preserve">(d) where the suit appears from the statement in the plaint to be barred by any law;</w:t>
      </w:r>
    </w:p>
    <w:p>
      <w:pPr>
        <w:spacing w:after="160"/>
        <w:ind w:left="360"/>
        <w:jc w:val="both"/>
      </w:pPr>
      <w:r>
        <w:rPr>
          <w:rFonts w:ascii="Arial" w:cs="Arial" w:eastAsia="Arial" w:hAnsi="Arial"/>
          <w:sz w:val="22"/>
          <w:szCs w:val="22"/>
        </w:rPr>
        <w:t xml:space="preserve">(e) where it is not filed in duplicate; and</w:t>
      </w:r>
    </w:p>
    <w:p>
      <w:pPr>
        <w:spacing w:after="160"/>
        <w:ind w:left="360"/>
        <w:jc w:val="both"/>
      </w:pPr>
      <w:r>
        <w:rPr>
          <w:rFonts w:ascii="Arial" w:cs="Arial" w:eastAsia="Arial" w:hAnsi="Arial"/>
          <w:sz w:val="22"/>
          <w:szCs w:val="22"/>
        </w:rPr>
        <w:t xml:space="preserve">(f) where the plaintiff fails to comply with the provisions of Rule 9 (regarding copies for service).</w:t>
      </w:r>
    </w:p>
    <w:p>
      <w:pPr>
        <w:spacing w:after="160"/>
        <w:jc w:val="both"/>
      </w:pPr>
      <w:r>
        <w:rPr>
          <w:rFonts w:ascii="Arial" w:cs="Arial" w:eastAsia="Arial" w:hAnsi="Arial"/>
          <w:sz w:val="22"/>
          <w:szCs w:val="22"/>
        </w:rPr>
        <w:t xml:space="preserve">The rejection of a plaint under Order VII Rule 11 is treated, by virtue of the Explanation appended to the Rule and judicial interpretation, as a decree, and is therefore appealable. However, rejection of a plaint does not by itself preclude the plaintiff from presenting a fresh plaint in respect of the same cause of action, by virtue of Order VII Rule 13, except in cases of rejection on the ground of limitation/bar by law, where the cause of action itself stands extinguished.</w:t>
      </w:r>
    </w:p>
    <w:p>
      <w:pPr>
        <w:pStyle w:val="Heading2"/>
      </w:pPr>
      <w:r>
        <w:t xml:space="preserve">10. Amendment of Plaint</w:t>
      </w:r>
    </w:p>
    <w:p>
      <w:pPr>
        <w:spacing w:after="160"/>
        <w:jc w:val="both"/>
      </w:pPr>
      <w:r>
        <w:rPr>
          <w:rFonts w:ascii="Arial" w:cs="Arial" w:eastAsia="Arial" w:hAnsi="Arial"/>
          <w:sz w:val="22"/>
          <w:szCs w:val="22"/>
        </w:rPr>
        <w:t xml:space="preserve">As noted, Order VI Rule 17 allows amendment of pleadings. The court may, at any stage of the proceedings, allow either party to alter or amend his pleadings in such manner and on such terms as may be just, where such amendments are necessary for the purpose of determining the real questions in controversy between the parties. The proviso restricts such amendments after the trial has commenced, save where due diligence is shown. Amendments that introduce a wholly new cause of action, or which would cause irretrievable prejudice to the opposite party, or which seek to take away from the opposite party a right that has accrued by lapse of time (e.g., limitation), are ordinarily not allowed; however, courts have taken a liberal approach where the amendment is necessary to avoid multiplicity of proceedings and does not change the basic structure of the suit.</w:t>
      </w:r>
    </w:p>
    <w:p>
      <w:pPr>
        <w:pStyle w:val="Heading2"/>
      </w:pPr>
      <w:r>
        <w:t xml:space="preserve">11. Verification and Affidavit</w:t>
      </w:r>
    </w:p>
    <w:p>
      <w:pPr>
        <w:spacing w:after="160"/>
        <w:jc w:val="both"/>
      </w:pPr>
      <w:r>
        <w:rPr>
          <w:rFonts w:ascii="Arial" w:cs="Arial" w:eastAsia="Arial" w:hAnsi="Arial"/>
          <w:sz w:val="22"/>
          <w:szCs w:val="22"/>
        </w:rPr>
        <w:t xml:space="preserve">Order VI Rule 15, read with the amendments brought by the Commercial Courts Act, 2015 (for commercial suits) and the CPC (Amendment) Act, 2002 generally, requires the plaint to be verified by the plaintiff or some other person acquainted with the facts of the case, at the foot of the plaint, with the date and place of verification. In commercial disputes, Order VI Rule 15A additionally requires a Statement of Truth to accompany pleadings.</w:t>
      </w:r>
    </w:p>
    <w:p>
      <w:pPr>
        <w:pStyle w:val="Heading2"/>
      </w:pPr>
      <w:r>
        <w:t xml:space="preserve">12. Limitation</w:t>
      </w:r>
    </w:p>
    <w:p>
      <w:pPr>
        <w:spacing w:after="160"/>
        <w:jc w:val="both"/>
      </w:pPr>
      <w:r>
        <w:rPr>
          <w:rFonts w:ascii="Arial" w:cs="Arial" w:eastAsia="Arial" w:hAnsi="Arial"/>
          <w:sz w:val="22"/>
          <w:szCs w:val="22"/>
        </w:rPr>
        <w:t xml:space="preserve">A plaint must be filed within the period of limitation prescribed under the Limitation Act, 1963, for the particular nature of the suit (e.g., three years for suits based on contract, twelve years for suits relating to possession of immovable property, one year for certain torts, etc.). A suit instituted beyond the period of limitation, where the bar is apparent from the plaint itself, can result in rejection under Order VII Rule 11(d), unless the plaintiff has set out facts in the plaint bringing the case within an exception under Sections 5 to 24 of the Limitation Act (e.g., condonation of delay, acknowledgment, fraud, disability).</w:t>
      </w:r>
    </w:p>
    <w:p>
      <w:pPr>
        <w:pStyle w:val="Heading2"/>
      </w:pPr>
      <w:r>
        <w:t xml:space="preserve">13. Procedure After Filing — Summons and Written Statement</w:t>
      </w:r>
    </w:p>
    <w:p>
      <w:pPr>
        <w:spacing w:after="160"/>
        <w:jc w:val="both"/>
      </w:pPr>
      <w:r>
        <w:rPr>
          <w:rFonts w:ascii="Arial" w:cs="Arial" w:eastAsia="Arial" w:hAnsi="Arial"/>
          <w:sz w:val="22"/>
          <w:szCs w:val="22"/>
        </w:rPr>
        <w:t xml:space="preserve">Upon registration of the suit, the court issues summons to the defendant under Order V CPC, calling upon him either to appear and answer the claim, or, in the alternative under the amended Order V, to file a written statement within thirty days, extendable up to a maximum of ninety days in certain courts (and further restricted timelines apply in commercial suits under the Commercial Courts Act, 2015, where the outer limit for filing a written statement is 120 days, beyond which the right to file is forfeited).</w:t>
      </w:r>
    </w:p>
    <w:p>
      <w:pPr>
        <w:pStyle w:val="Heading2"/>
      </w:pPr>
      <w:r>
        <w:t xml:space="preserve">14. Distinction Between Plaint and Petition/Application</w:t>
      </w:r>
    </w:p>
    <w:p>
      <w:pPr>
        <w:spacing w:after="160"/>
        <w:jc w:val="both"/>
      </w:pPr>
      <w:r>
        <w:rPr>
          <w:rFonts w:ascii="Arial" w:cs="Arial" w:eastAsia="Arial" w:hAnsi="Arial"/>
          <w:sz w:val="22"/>
          <w:szCs w:val="22"/>
        </w:rPr>
        <w:t xml:space="preserve">Examination candidates are frequently tested on the distinction between a "plaint" (which institutes a regular civil suit under the CPC) and a "petition" or "application" (which invokes a special/summary jurisdiction, e.g., under special statutes such as the Hindu Marriage Act, the Motor Vehicles Act, or writ jurisdiction). A plaint follows the elaborate procedure of trial — issues, evidence, arguments, judgment, and decree — whereas petitions are often governed by more summary and self-contained procedures under their respective special enactments. Nonetheless, many of the same underlying principles of pleading (disclosure of cause of action/grounds, verification, relief sought) apply mutatis mutandis.</w:t>
      </w:r>
    </w:p>
    <w:p>
      <w:pPr>
        <w:pStyle w:val="Heading2"/>
      </w:pPr>
      <w:r>
        <w:t xml:space="preserve">15. Conclusion</w:t>
      </w:r>
    </w:p>
    <w:p>
      <w:pPr>
        <w:spacing w:after="160"/>
        <w:jc w:val="both"/>
      </w:pPr>
      <w:r>
        <w:rPr>
          <w:rFonts w:ascii="Arial" w:cs="Arial" w:eastAsia="Arial" w:hAnsi="Arial"/>
          <w:sz w:val="22"/>
          <w:szCs w:val="22"/>
        </w:rPr>
        <w:t xml:space="preserve">The plaint is the very foundation of civil litigation. A well-drafted plaint must be precise, must disclose a complete cause of action, must correctly invoke the jurisdiction (territorial, pecuniary, and subject-matter) of the court, must be properly valued for purposes of court fee, and must comply scrupulously with the formal requirements of Order VI and Order VII of the CPC. Errors in drafting a plaint — vague pleadings, absence of material facts, failure to disclose cause of action, incorrect valuation, or a defective verification — can lead to fatal consequences, including rejection of the plaint at the threshold under Order VII Rule 11, return under Order VII Rule 10, or vulnerability to challenge throughout the trial. A competent advocate must, therefore, draft a plaint with meticulous attention to both substantive law (to correctly identify and plead the cause of action and applicable provisions) and procedural law (to ensure full compliance with the CPC).</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PLAINT FOR RECOVERY OF MONEY ON THE BASIS OF AN AGREEMENT AND DISHONOURED CHEQUE</w:t>
      </w:r>
    </w:p>
    <w:p>
      <w:pPr>
        <w:spacing w:after="300"/>
        <w:jc w:val="center"/>
      </w:pPr>
      <w:r>
        <w:rPr>
          <w:rFonts w:ascii="Arial" w:cs="Arial" w:eastAsia="Arial" w:hAnsi="Arial"/>
          <w:i/>
          <w:iCs/>
          <w:sz w:val="20"/>
          <w:szCs w:val="20"/>
        </w:rPr>
        <w:t xml:space="preserve">(Presumed Facts: A suit for recovery of Rs. 12,50,000/- with interest, filed by a sole proprietorship firm against an individual defendant who failed to repay a friendly loan and whose cheque issued towards repayment was dishonoured.)</w:t>
      </w:r>
    </w:p>
    <w:p>
      <w:pPr>
        <w:spacing w:after="200" w:before="200"/>
        <w:jc w:val="center"/>
      </w:pPr>
      <w:r>
        <w:rPr>
          <w:rFonts w:ascii="Arial" w:cs="Arial" w:eastAsia="Arial" w:hAnsi="Arial"/>
          <w:b/>
          <w:bCs/>
          <w:sz w:val="22"/>
          <w:szCs w:val="22"/>
        </w:rPr>
        <w:t xml:space="preserve">IN THE COURT OF THE DISTRICT JUDGE / CIVIL JUDGE (SENIOR DIVISION), AT [CITY], [STATE]</w:t>
      </w:r>
    </w:p>
    <w:p>
      <w:pPr>
        <w:spacing w:after="160"/>
        <w:jc w:val="both"/>
      </w:pPr>
      <w:r>
        <w:rPr>
          <w:rFonts w:ascii="Arial" w:cs="Arial" w:eastAsia="Arial" w:hAnsi="Arial"/>
          <w:sz w:val="22"/>
          <w:szCs w:val="22"/>
        </w:rPr>
        <w:t xml:space="preserve">Civil Suit No. _____ of 2026</w:t>
      </w:r>
    </w:p>
    <w:p>
      <w:pPr>
        <w:spacing w:after="200" w:before="200"/>
        <w:jc w:val="center"/>
      </w:pPr>
      <w:r>
        <w:rPr>
          <w:rFonts w:ascii="Arial" w:cs="Arial" w:eastAsia="Arial" w:hAnsi="Arial"/>
          <w:b/>
          <w:bCs/>
          <w:sz w:val="22"/>
          <w:szCs w:val="22"/>
        </w:rPr>
        <w:t xml:space="preserve">IN THE MATTER OF:</w:t>
      </w:r>
    </w:p>
    <w:p>
      <w:pPr>
        <w:spacing w:after="160"/>
        <w:jc w:val="both"/>
      </w:pPr>
      <w:r>
        <w:rPr>
          <w:rFonts w:ascii="Arial" w:cs="Arial" w:eastAsia="Arial" w:hAnsi="Arial"/>
          <w:sz w:val="22"/>
          <w:szCs w:val="22"/>
        </w:rPr>
        <w:t xml:space="preserve">M/s Shree Enterprises,</w:t>
      </w:r>
    </w:p>
    <w:p>
      <w:pPr>
        <w:spacing w:after="160"/>
        <w:jc w:val="both"/>
      </w:pPr>
      <w:r>
        <w:rPr>
          <w:rFonts w:ascii="Arial" w:cs="Arial" w:eastAsia="Arial" w:hAnsi="Arial"/>
          <w:sz w:val="22"/>
          <w:szCs w:val="22"/>
        </w:rPr>
        <w:t xml:space="preserve">a sole proprietorship concern having its registered office</w:t>
      </w:r>
    </w:p>
    <w:p>
      <w:pPr>
        <w:spacing w:after="160"/>
        <w:jc w:val="both"/>
      </w:pPr>
      <w:r>
        <w:rPr>
          <w:rFonts w:ascii="Arial" w:cs="Arial" w:eastAsia="Arial" w:hAnsi="Arial"/>
          <w:sz w:val="22"/>
          <w:szCs w:val="22"/>
        </w:rPr>
        <w:t xml:space="preserve">at Shop No. 14, Lakshmi Complex, M.G. Road, [City] – [PIN],</w:t>
      </w:r>
    </w:p>
    <w:p>
      <w:pPr>
        <w:spacing w:after="160"/>
        <w:jc w:val="both"/>
      </w:pPr>
      <w:r>
        <w:rPr>
          <w:rFonts w:ascii="Arial" w:cs="Arial" w:eastAsia="Arial" w:hAnsi="Arial"/>
          <w:sz w:val="22"/>
          <w:szCs w:val="22"/>
        </w:rPr>
        <w:t xml:space="preserve">through its sole proprietor, Mr. Ramesh Kumar Sharma,</w:t>
      </w:r>
    </w:p>
    <w:p>
      <w:pPr>
        <w:spacing w:after="160"/>
        <w:jc w:val="both"/>
      </w:pPr>
      <w:r>
        <w:rPr>
          <w:rFonts w:ascii="Arial" w:cs="Arial" w:eastAsia="Arial" w:hAnsi="Arial"/>
          <w:sz w:val="22"/>
          <w:szCs w:val="22"/>
        </w:rPr>
        <w:t xml:space="preserve">S/o Late Mr. Suresh Kumar Sharma,</w:t>
      </w:r>
    </w:p>
    <w:p>
      <w:pPr>
        <w:spacing w:after="160"/>
        <w:jc w:val="both"/>
      </w:pPr>
      <w:r>
        <w:rPr>
          <w:rFonts w:ascii="Arial" w:cs="Arial" w:eastAsia="Arial" w:hAnsi="Arial"/>
          <w:sz w:val="22"/>
          <w:szCs w:val="22"/>
        </w:rPr>
        <w:t xml:space="preserve">aged about 48 years, residing at Flat No. 302,</w:t>
      </w:r>
    </w:p>
    <w:p>
      <w:pPr>
        <w:spacing w:after="160"/>
        <w:jc w:val="both"/>
      </w:pPr>
      <w:r>
        <w:rPr>
          <w:rFonts w:ascii="Arial" w:cs="Arial" w:eastAsia="Arial" w:hAnsi="Arial"/>
          <w:sz w:val="22"/>
          <w:szCs w:val="22"/>
        </w:rPr>
        <w:t xml:space="preserve">Sai Apartments, Vidya Nagar, [City] – [PIN]</w:t>
      </w:r>
    </w:p>
    <w:p>
      <w:pPr>
        <w:spacing w:after="160"/>
        <w:jc w:val="both"/>
      </w:pPr>
      <w:r>
        <w:rPr>
          <w:rFonts w:ascii="Arial" w:cs="Arial" w:eastAsia="Arial" w:hAnsi="Arial"/>
          <w:sz w:val="22"/>
          <w:szCs w:val="22"/>
        </w:rPr>
        <w:t xml:space="preserve">..............................................................................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Anil Kumar Verma,</w:t>
      </w:r>
    </w:p>
    <w:p>
      <w:pPr>
        <w:spacing w:after="160"/>
        <w:jc w:val="both"/>
      </w:pPr>
      <w:r>
        <w:rPr>
          <w:rFonts w:ascii="Arial" w:cs="Arial" w:eastAsia="Arial" w:hAnsi="Arial"/>
          <w:sz w:val="22"/>
          <w:szCs w:val="22"/>
        </w:rPr>
        <w:t xml:space="preserve">S/o Mr. Mohan Lal Verma,</w:t>
      </w:r>
    </w:p>
    <w:p>
      <w:pPr>
        <w:spacing w:after="160"/>
        <w:jc w:val="both"/>
      </w:pPr>
      <w:r>
        <w:rPr>
          <w:rFonts w:ascii="Arial" w:cs="Arial" w:eastAsia="Arial" w:hAnsi="Arial"/>
          <w:sz w:val="22"/>
          <w:szCs w:val="22"/>
        </w:rPr>
        <w:t xml:space="preserve">aged about 45 years,</w:t>
      </w:r>
    </w:p>
    <w:p>
      <w:pPr>
        <w:spacing w:after="160"/>
        <w:jc w:val="both"/>
      </w:pPr>
      <w:r>
        <w:rPr>
          <w:rFonts w:ascii="Arial" w:cs="Arial" w:eastAsia="Arial" w:hAnsi="Arial"/>
          <w:sz w:val="22"/>
          <w:szCs w:val="22"/>
        </w:rPr>
        <w:t xml:space="preserve">residing at House No. 27, Sector 9,</w:t>
      </w:r>
    </w:p>
    <w:p>
      <w:pPr>
        <w:spacing w:after="160"/>
        <w:jc w:val="both"/>
      </w:pPr>
      <w:r>
        <w:rPr>
          <w:rFonts w:ascii="Arial" w:cs="Arial" w:eastAsia="Arial" w:hAnsi="Arial"/>
          <w:sz w:val="22"/>
          <w:szCs w:val="22"/>
        </w:rPr>
        <w:t xml:space="preserve">[City] – [PIN]</w:t>
      </w:r>
    </w:p>
    <w:p>
      <w:pPr>
        <w:spacing w:after="160"/>
        <w:jc w:val="both"/>
      </w:pPr>
      <w:r>
        <w:rPr>
          <w:rFonts w:ascii="Arial" w:cs="Arial" w:eastAsia="Arial" w:hAnsi="Arial"/>
          <w:sz w:val="22"/>
          <w:szCs w:val="22"/>
        </w:rPr>
        <w:t xml:space="preserve">.............................................................................. DEFENDANT</w:t>
      </w:r>
    </w:p>
    <w:p>
      <w:pPr>
        <w:spacing w:after="160"/>
        <w:jc w:val="both"/>
      </w:pPr>
      <w:r>
        <w:rPr>
          <w:rFonts w:ascii="Arial" w:cs="Arial" w:eastAsia="Arial" w:hAnsi="Arial"/>
          <w:sz w:val="22"/>
          <w:szCs w:val="22"/>
        </w:rPr>
        <w:t xml:space="preserve">SUIT FOR RECOVERY OF RS. 12,50,000/- (RUPEES TWELVE LAKH FIFTY THOUSAND ONLY) ALONG WITH PENDENTE LITE AND FUTURE INTEREST</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Plaintiff is a sole proprietorship concern, duly registered under the relevant shops and establishments legislation, engaged in the business of trading in construction hardware and building materials, and is represented herein through its sole proprietor, Mr. Ramesh Kumar Sharma, who is well conversant with the facts of the case and is competent to depose and verify the present plaint.</w:t>
      </w:r>
    </w:p>
    <w:p>
      <w:pPr>
        <w:spacing w:after="160"/>
        <w:jc w:val="both"/>
      </w:pPr>
      <w:r>
        <w:rPr>
          <w:rFonts w:ascii="Arial" w:cs="Arial" w:eastAsia="Arial" w:hAnsi="Arial"/>
          <w:sz w:val="22"/>
          <w:szCs w:val="22"/>
        </w:rPr>
        <w:t xml:space="preserve">2. That the Defendant is known to the proprietor of the Plaintiff firm for over fifteen years, both being long-standing residents of [City], and a relationship of trust and friendship existed between the parties prior to the transaction giving rise to the present suit.</w:t>
      </w:r>
    </w:p>
    <w:p>
      <w:pPr>
        <w:spacing w:after="160"/>
        <w:jc w:val="both"/>
      </w:pPr>
      <w:r>
        <w:rPr>
          <w:rFonts w:ascii="Arial" w:cs="Arial" w:eastAsia="Arial" w:hAnsi="Arial"/>
          <w:sz w:val="22"/>
          <w:szCs w:val="22"/>
        </w:rPr>
        <w:t xml:space="preserve">3. That on or about 5th January 2024, the Defendant approached the Plaintiff and represented that he was in urgent need of funds for expansion of his business of retail trading, and requested the Plaintiff to extend a friendly loan of Rs. 12,50,000/- (Rupees Twelve Lakh Fifty Thousand only), assuring the Plaintiff that the said amount would be repaid within a period of six months, i.e., on or before 5th July 2024, together with simple interest at the rate of 12% per annum.</w:t>
      </w:r>
    </w:p>
    <w:p>
      <w:pPr>
        <w:spacing w:after="160"/>
        <w:jc w:val="both"/>
      </w:pPr>
      <w:r>
        <w:rPr>
          <w:rFonts w:ascii="Arial" w:cs="Arial" w:eastAsia="Arial" w:hAnsi="Arial"/>
          <w:sz w:val="22"/>
          <w:szCs w:val="22"/>
        </w:rPr>
        <w:t xml:space="preserve">4. That believing the representations made by the Defendant to be true and acting upon the long-standing relationship of trust between the parties, the Plaintiff agreed to extend the said loan, and accordingly, on 8th January 2024, the Plaintiff transferred a sum of Rs. 12,50,000/- (Rupees Twelve Lakh Fifty Thousand only) to the bank account of the Defendant, being Account No. XXXXXXXXXX1234 maintained with [Bank Name], [Branch], through RTGS transfer, true and legible copies of the bank statement reflecting the said transfer, and the RTGS confirmation receipt, are filed herewith and marked as ANNEXURE P-1 (Colly.).</w:t>
      </w:r>
    </w:p>
    <w:p>
      <w:pPr>
        <w:spacing w:after="160"/>
        <w:jc w:val="both"/>
      </w:pPr>
      <w:r>
        <w:rPr>
          <w:rFonts w:ascii="Arial" w:cs="Arial" w:eastAsia="Arial" w:hAnsi="Arial"/>
          <w:sz w:val="22"/>
          <w:szCs w:val="22"/>
        </w:rPr>
        <w:t xml:space="preserve">5. That simultaneously with the receipt of the said amount, the Defendant executed a loan agreement dated 8th January 2024 in favour of the Plaintiff, duly signed by the Defendant and attested by two witnesses, acknowledging receipt of the said sum of Rs. 12,50,000/- and undertaking to repay the same with interest at 12% per annum within six months from the date of the agreement. A true copy of the said loan agreement dated 8th January 2024 is filed herewith and marked as ANNEXURE P-2.</w:t>
      </w:r>
    </w:p>
    <w:p>
      <w:pPr>
        <w:spacing w:after="160"/>
        <w:jc w:val="both"/>
      </w:pPr>
      <w:r>
        <w:rPr>
          <w:rFonts w:ascii="Arial" w:cs="Arial" w:eastAsia="Arial" w:hAnsi="Arial"/>
          <w:sz w:val="22"/>
          <w:szCs w:val="22"/>
        </w:rPr>
        <w:t xml:space="preserve">6. That the period of six months stipulated for repayment, i.e., 5th July 2024, came and went, but the Defendant failed and neglected to repay the principal amount together with interest as agreed. The Plaintiff repeatedly requested the Defendant, both telephonically and in person, to honour his commitment, but the Defendant kept assuring the Plaintiff that payment would be made shortly.</w:t>
      </w:r>
    </w:p>
    <w:p>
      <w:pPr>
        <w:spacing w:after="160"/>
        <w:jc w:val="both"/>
      </w:pPr>
      <w:r>
        <w:rPr>
          <w:rFonts w:ascii="Arial" w:cs="Arial" w:eastAsia="Arial" w:hAnsi="Arial"/>
          <w:sz w:val="22"/>
          <w:szCs w:val="22"/>
        </w:rPr>
        <w:t xml:space="preserve">7. That on account of the persistent requests of the Plaintiff, the Defendant, towards part-discharge of his liability, issued a cheque bearing No. 456789 dated 15th October 2024, drawn on [Bank Name], [Branch], for a sum of Rs. 12,50,000/- (Rupees Twelve Lakh Fifty Thousand only) in favour of the Plaintiff, towards full and final repayment of the principal amount, with an oral assurance that interest would be settled separately. A true copy of the said cheque is filed herewith and marked as ANNEXURE P-3.</w:t>
      </w:r>
    </w:p>
    <w:p>
      <w:pPr>
        <w:spacing w:after="160"/>
        <w:jc w:val="both"/>
      </w:pPr>
      <w:r>
        <w:rPr>
          <w:rFonts w:ascii="Arial" w:cs="Arial" w:eastAsia="Arial" w:hAnsi="Arial"/>
          <w:sz w:val="22"/>
          <w:szCs w:val="22"/>
        </w:rPr>
        <w:t xml:space="preserve">8. That the Plaintiff, in good faith, presented the said cheque for encashment through its banker on 18th October 2024, but the same was returned dishonoured vide return memo dated 21st October 2024 with the remarks "Funds Insufficient." A true copy of the cheque return memo dated 21st October 2024 issued by the Plaintiff's banker is filed herewith and marked as ANNEXURE P-4.</w:t>
      </w:r>
    </w:p>
    <w:p>
      <w:pPr>
        <w:spacing w:after="160"/>
        <w:jc w:val="both"/>
      </w:pPr>
      <w:r>
        <w:rPr>
          <w:rFonts w:ascii="Arial" w:cs="Arial" w:eastAsia="Arial" w:hAnsi="Arial"/>
          <w:sz w:val="22"/>
          <w:szCs w:val="22"/>
        </w:rPr>
        <w:t xml:space="preserve">9. That upon dishonour of the said cheque, the Plaintiff caused a legal notice dated 2nd November 2024 to be issued to the Defendant through its counsel, calling upon the Defendant to pay the cheque amount of Rs. 12,50,000/- within fifteen days of receipt of the notice, failing which the Plaintiff would be constrained to initiate appropriate civil and/or criminal proceedings, including under Section 138 of the Negotiable Instruments Act, 1881. The said notice was duly sent by Registered Post with Acknowledgment Due as well as by speed post and was duly served upon the Defendant on 6th November 2024, as evidenced by the postal tracking report and acknowledgment card. True copies of the legal notice dated 2nd November 2024, the postal receipts, and the tracking/delivery report are filed herewith and marked as ANNEXURE P-5 (Colly.).</w:t>
      </w:r>
    </w:p>
    <w:p>
      <w:pPr>
        <w:spacing w:after="160"/>
        <w:jc w:val="both"/>
      </w:pPr>
      <w:r>
        <w:rPr>
          <w:rFonts w:ascii="Arial" w:cs="Arial" w:eastAsia="Arial" w:hAnsi="Arial"/>
          <w:sz w:val="22"/>
          <w:szCs w:val="22"/>
        </w:rPr>
        <w:t xml:space="preserve">10. That despite due service of the said legal notice, the Defendant neither replied to the same nor made any payment whatsoever towards the outstanding liability, compelling the Plaintiff to file the present suit for recovery of the principal amount along with interest.</w:t>
      </w:r>
    </w:p>
    <w:p>
      <w:pPr>
        <w:spacing w:after="160"/>
        <w:jc w:val="both"/>
      </w:pPr>
      <w:r>
        <w:rPr>
          <w:rFonts w:ascii="Arial" w:cs="Arial" w:eastAsia="Arial" w:hAnsi="Arial"/>
          <w:sz w:val="22"/>
          <w:szCs w:val="22"/>
        </w:rPr>
        <w:t xml:space="preserve">11. That the cause of action for the present suit first arose on 8th January 2024, when the Plaintiff advanced the loan amount to the Defendant; it further arose on 5th July 2024, when the Defendant failed to repay the amount within the agreed period; it further arose on 21st October 2024, when the cheque issued by the Defendant was dishonoured; it further arose on 6th November 2024, when the legal notice issued by the Plaintiff was duly served upon the Defendant and the Defendant failed to make payment within the stipulated period of fifteen days thereafter, i.e., with effect from 22nd November 2024; and the cause of action is continuing, inasmuch as the Defendant has, till date, failed to discharge his liability towards the Plaintiff. The present suit is, therefore, filed well within the period of limitation prescribed under the Limitation Act, 1963.</w:t>
      </w:r>
    </w:p>
    <w:p>
      <w:pPr>
        <w:spacing w:after="160"/>
        <w:jc w:val="both"/>
      </w:pPr>
      <w:r>
        <w:rPr>
          <w:rFonts w:ascii="Arial" w:cs="Arial" w:eastAsia="Arial" w:hAnsi="Arial"/>
          <w:sz w:val="22"/>
          <w:szCs w:val="22"/>
        </w:rPr>
        <w:t xml:space="preserve">12. That the Defendant resides and carries on his business within the territorial jurisdiction of this Hon'ble Court, and a substantial part of the cause of action, including execution of the loan agreement, advancement of the loan amount, and service of the legal notice, has also arisen within the local limits of the jurisdiction of this Hon'ble Court. This Hon'ble Court, therefore, has the requisite territorial jurisdiction to entertain and try the present suit, in terms of Section 20 of the Code of Civil Procedure, 1908.</w:t>
      </w:r>
    </w:p>
    <w:p>
      <w:pPr>
        <w:spacing w:after="160"/>
        <w:jc w:val="both"/>
      </w:pPr>
      <w:r>
        <w:rPr>
          <w:rFonts w:ascii="Arial" w:cs="Arial" w:eastAsia="Arial" w:hAnsi="Arial"/>
          <w:sz w:val="22"/>
          <w:szCs w:val="22"/>
        </w:rPr>
        <w:t xml:space="preserve">13. That the value of the subject-matter of the suit for the purposes of court fee and jurisdiction is fixed at Rs. 12,50,000/- (Rupees Twelve Lakh Fifty Thousand only), being the principal amount claimed, and ad valorem court fee thereon has been duly paid in accordance with the applicable Court Fees Act. This Hon'ble Court accordingly has the pecuniary jurisdiction to try and entertain the present suit.</w:t>
      </w:r>
    </w:p>
    <w:p>
      <w:pPr>
        <w:spacing w:after="160"/>
        <w:jc w:val="both"/>
      </w:pPr>
      <w:r>
        <w:rPr>
          <w:rFonts w:ascii="Arial" w:cs="Arial" w:eastAsia="Arial" w:hAnsi="Arial"/>
          <w:sz w:val="22"/>
          <w:szCs w:val="22"/>
        </w:rPr>
        <w:t xml:space="preserve">14. That the Plaintiff is, in the circumstances stated above, entitled to recover from the Defendant the principal sum of Rs. 12,50,000/- (Rupees Twelve Lakh Fifty Thousand only), together with interest at the rate of 12% per annum from 8th January 2024 till the date of filing of the suit, amounting to Rs. 1,87,500/- (Rupees One Lakh Eighty-Seven Thousand Five Hundred only) approximately [calculation to be appended as Schedule], aggregating to a total claim of Rs. 14,37,500/- (Rupees Fourteen Lakh Thirty-Seven Thousand Five Hundred only) as on the date of filing, together with pendente lite and future interest at the same rate till realisation.</w:t>
      </w:r>
    </w:p>
    <w:p>
      <w:pPr>
        <w:spacing w:after="160"/>
        <w:jc w:val="both"/>
      </w:pPr>
      <w:r>
        <w:rPr>
          <w:rFonts w:ascii="Arial" w:cs="Arial" w:eastAsia="Arial" w:hAnsi="Arial"/>
          <w:sz w:val="22"/>
          <w:szCs w:val="22"/>
        </w:rPr>
        <w:t xml:space="preserve">15. That the Plaintiff has not relinquished any part of its claim, nor has any set-off been allowed to the Defendant, nor has the Plaintiff previously instituted any other suit on the same cause of action.</w:t>
      </w:r>
    </w:p>
    <w:p>
      <w:pPr>
        <w:spacing w:after="160"/>
        <w:jc w:val="both"/>
      </w:pPr>
      <w:r>
        <w:rPr>
          <w:rFonts w:ascii="Arial" w:cs="Arial" w:eastAsia="Arial" w:hAnsi="Arial"/>
          <w:sz w:val="22"/>
          <w:szCs w:val="22"/>
        </w:rPr>
        <w:t xml:space="preserve">16. That the Plaintiff craves leave of this Hon'ble Court to file additional documents, if necessary, and to lead such further and other evidence as may be required during the course of trial.</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pass a decree for recovery of Rs. 14,37,500/- (Rupees Fourteen Lakh Thirty-Seven Thousand Five Hundred only), comprising principal of Rs. 12,50,000/- and interest of Rs. 1,87,500/- calculated up to the date of filing of the suit, in favour of the Plaintiff and against the Defendant;</w:t>
      </w:r>
    </w:p>
    <w:p>
      <w:pPr>
        <w:spacing w:after="160"/>
        <w:jc w:val="both"/>
      </w:pPr>
      <w:r>
        <w:rPr>
          <w:rFonts w:ascii="Arial" w:cs="Arial" w:eastAsia="Arial" w:hAnsi="Arial"/>
          <w:sz w:val="22"/>
          <w:szCs w:val="22"/>
        </w:rPr>
        <w:t xml:space="preserve">(b) award pendente lite and future interest on the principal sum at the rate of 12% per annum, or at such rate as this Hon'ble Court deems fit, from the date of filing of the suit till the date of realisation of the entire decretal amount;</w:t>
      </w:r>
    </w:p>
    <w:p>
      <w:pPr>
        <w:spacing w:after="160"/>
        <w:jc w:val="both"/>
      </w:pPr>
      <w:r>
        <w:rPr>
          <w:rFonts w:ascii="Arial" w:cs="Arial" w:eastAsia="Arial" w:hAnsi="Arial"/>
          <w:sz w:val="22"/>
          <w:szCs w:val="22"/>
        </w:rPr>
        <w:t xml:space="preserve">(c) award costs of the present suit, including advocate's fees, in favour of the Plaintiff and against the Defendant; and</w:t>
      </w:r>
    </w:p>
    <w:p>
      <w:pPr>
        <w:spacing w:after="160"/>
        <w:jc w:val="both"/>
      </w:pPr>
      <w:r>
        <w:rPr>
          <w:rFonts w:ascii="Arial" w:cs="Arial" w:eastAsia="Arial" w:hAnsi="Arial"/>
          <w:sz w:val="22"/>
          <w:szCs w:val="22"/>
        </w:rPr>
        <w:t xml:space="preserve">(d) pass such other and further order(s) as this Hon'ble Court may deem fit and proper in the facts and circumstances of the case, in the interest of justice.</w:t>
      </w:r>
    </w:p>
    <w:p>
      <w:pPr>
        <w:spacing w:after="160"/>
        <w:jc w:val="both"/>
      </w:pPr>
      <w:r>
        <w:rPr>
          <w:rFonts w:ascii="Arial" w:cs="Arial" w:eastAsia="Arial" w:hAnsi="Arial"/>
          <w:sz w:val="22"/>
          <w:szCs w:val="22"/>
        </w:rPr>
        <w:t xml:space="preserve">PLAINTIFF</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VERIFICATION</w:t>
      </w:r>
    </w:p>
    <w:p>
      <w:pPr>
        <w:spacing w:after="160"/>
        <w:jc w:val="both"/>
      </w:pPr>
      <w:r>
        <w:rPr>
          <w:rFonts w:ascii="Arial" w:cs="Arial" w:eastAsia="Arial" w:hAnsi="Arial"/>
          <w:sz w:val="22"/>
          <w:szCs w:val="22"/>
        </w:rPr>
        <w:t xml:space="preserve">I, Mr. Ramesh Kumar Sharma, sole proprietor of M/s Shree Enterprises, the Plaintiff above named, do hereby verify that the contents of paragraphs 1 to 16 of the above plaint are true and correct to my own knowledge, save and except those stated to be on information received, which I believe to be true, and the prayer clause is based on legal advice, which I believe to be correct. No part of this verification is false, and nothing material has been concealed therefrom.</w:t>
      </w:r>
    </w:p>
    <w:p>
      <w:pPr>
        <w:spacing w:after="160"/>
        <w:jc w:val="both"/>
      </w:pPr>
      <w:r>
        <w:rPr>
          <w:rFonts w:ascii="Arial" w:cs="Arial" w:eastAsia="Arial" w:hAnsi="Arial"/>
          <w:sz w:val="22"/>
          <w:szCs w:val="22"/>
        </w:rPr>
        <w:t xml:space="preserve">Verified at [City] on this _____ day of ________, 2026.</w:t>
      </w:r>
    </w:p>
    <w:p>
      <w:pPr>
        <w:spacing w:after="160"/>
        <w:jc w:val="both"/>
      </w:pPr>
      <w:r>
        <w:rPr>
          <w:rFonts w:ascii="Arial" w:cs="Arial" w:eastAsia="Arial" w:hAnsi="Arial"/>
          <w:sz w:val="22"/>
          <w:szCs w:val="22"/>
        </w:rPr>
        <w:t xml:space="preserve">DEPONENT</w:t>
      </w:r>
    </w:p>
    <w:p>
      <w:pPr>
        <w:spacing w:after="200" w:before="200"/>
        <w:jc w:val="center"/>
      </w:pPr>
      <w:r>
        <w:rPr>
          <w:rFonts w:ascii="Arial" w:cs="Arial" w:eastAsia="Arial" w:hAnsi="Arial"/>
          <w:b/>
          <w:bCs/>
          <w:sz w:val="22"/>
          <w:szCs w:val="22"/>
        </w:rPr>
        <w:t xml:space="preserve">LIST OF DOCUMENTS FILED ALONG WITH THE PLAINT</w:t>
      </w:r>
    </w:p>
    <w:p>
      <w:pPr>
        <w:spacing w:after="160"/>
        <w:jc w:val="both"/>
      </w:pPr>
      <w:r>
        <w:rPr>
          <w:rFonts w:ascii="Arial" w:cs="Arial" w:eastAsia="Arial" w:hAnsi="Arial"/>
          <w:sz w:val="22"/>
          <w:szCs w:val="22"/>
        </w:rPr>
        <w:t xml:space="preserve">1. Bank statement and RTGS confirmation receipt dated 8.1.2024 — Annexure P-1 (Colly.)</w:t>
      </w:r>
    </w:p>
    <w:p>
      <w:pPr>
        <w:spacing w:after="160"/>
        <w:jc w:val="both"/>
      </w:pPr>
      <w:r>
        <w:rPr>
          <w:rFonts w:ascii="Arial" w:cs="Arial" w:eastAsia="Arial" w:hAnsi="Arial"/>
          <w:sz w:val="22"/>
          <w:szCs w:val="22"/>
        </w:rPr>
        <w:t xml:space="preserve">2. Loan agreement dated 8.1.2024 — Annexure P-2</w:t>
      </w:r>
    </w:p>
    <w:p>
      <w:pPr>
        <w:spacing w:after="160"/>
        <w:jc w:val="both"/>
      </w:pPr>
      <w:r>
        <w:rPr>
          <w:rFonts w:ascii="Arial" w:cs="Arial" w:eastAsia="Arial" w:hAnsi="Arial"/>
          <w:sz w:val="22"/>
          <w:szCs w:val="22"/>
        </w:rPr>
        <w:t xml:space="preserve">3. Cheque bearing No. 456789 dated 15.10.2024 — Annexure P-3</w:t>
      </w:r>
    </w:p>
    <w:p>
      <w:pPr>
        <w:spacing w:after="160"/>
        <w:jc w:val="both"/>
      </w:pPr>
      <w:r>
        <w:rPr>
          <w:rFonts w:ascii="Arial" w:cs="Arial" w:eastAsia="Arial" w:hAnsi="Arial"/>
          <w:sz w:val="22"/>
          <w:szCs w:val="22"/>
        </w:rPr>
        <w:t xml:space="preserve">4. Cheque return memo dated 21.10.2024 — Annexure P-4</w:t>
      </w:r>
    </w:p>
    <w:p>
      <w:pPr>
        <w:spacing w:after="160"/>
        <w:jc w:val="both"/>
      </w:pPr>
      <w:r>
        <w:rPr>
          <w:rFonts w:ascii="Arial" w:cs="Arial" w:eastAsia="Arial" w:hAnsi="Arial"/>
          <w:sz w:val="22"/>
          <w:szCs w:val="22"/>
        </w:rPr>
        <w:t xml:space="preserve">5. Legal notice dated 2.11.2024 with postal receipts/tracking report — Annexure P-5 (Colly.)</w:t>
      </w:r>
    </w:p>
    <w:p>
      <w:pPr>
        <w:spacing w:after="160"/>
        <w:jc w:val="both"/>
      </w:pPr>
      <w:r>
        <w:rPr>
          <w:rFonts w:ascii="Arial" w:cs="Arial" w:eastAsia="Arial" w:hAnsi="Arial"/>
          <w:sz w:val="22"/>
          <w:szCs w:val="22"/>
        </w:rPr>
        <w:t xml:space="preserve">6. Vakalatnama</w:t>
      </w:r>
    </w:p>
    <w:p>
      <w:pPr>
        <w:spacing w:after="160"/>
        <w:jc w:val="both"/>
      </w:pPr>
      <w:r>
        <w:rPr>
          <w:rFonts w:ascii="Arial" w:cs="Arial" w:eastAsia="Arial" w:hAnsi="Arial"/>
          <w:sz w:val="22"/>
          <w:szCs w:val="22"/>
        </w:rPr>
        <w:t xml:space="preserve">7. Affidavit of valuation and court fee</w:t>
      </w:r>
    </w:p>
    <w:p>
      <w:pPr>
        <w:spacing w:after="160"/>
        <w:jc w:val="both"/>
      </w:pPr>
      <w:r>
        <w:rPr>
          <w:rFonts w:ascii="Arial" w:cs="Arial" w:eastAsia="Arial" w:hAnsi="Arial"/>
          <w:sz w:val="22"/>
          <w:szCs w:val="22"/>
        </w:rPr>
        <w:t xml:space="preserve">8. Interest calculation sheet</w:t>
      </w:r>
    </w:p>
    <w:p>
      <w:r>
        <w:br w:type="page"/>
      </w:r>
    </w:p>
    <w:p>
      <w:pPr>
        <w:pStyle w:val="Heading1"/>
      </w:pPr>
      <w:r>
        <w:t xml:space="preserve">2. WRITTEN STATEMENT</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 written statement is the defendant's formal, written reply to the plaint filed against him in a civil suit. It is the principal pleading by which the defendant places his defence on record, and like the plaint, it is governed both by the general rules of pleading contained in Order VI of the Code of Civil Procedure, 1908 ("CPC"), and by the specific rules contained in Order VIII CPC, which deals exclusively with written statements, set-off, and counter-claims. Just as the plaint frames the plaintiff's case, the written statement frames the defendant's case, and together the two pleadings define the real questions in controversy upon which issues are framed under Order XIV CPC.</w:t>
      </w:r>
    </w:p>
    <w:p>
      <w:pPr>
        <w:pStyle w:val="Heading2"/>
      </w:pPr>
      <w:r>
        <w:t xml:space="preserve">2. Meaning and Purpose</w:t>
      </w:r>
    </w:p>
    <w:p>
      <w:pPr>
        <w:spacing w:after="160"/>
        <w:jc w:val="both"/>
      </w:pPr>
      <w:r>
        <w:rPr>
          <w:rFonts w:ascii="Arial" w:cs="Arial" w:eastAsia="Arial" w:hAnsi="Arial"/>
          <w:sz w:val="22"/>
          <w:szCs w:val="22"/>
        </w:rPr>
        <w:t xml:space="preserve">A written statement is essentially the defendant's pleading in answer to the plaint, containing his version of the facts, his admissions and denials, and any additional facts or pleas (such as limitation, jurisdiction, set-off, or counter-claim) that he wishes to raise. Its core purposes are:</w:t>
      </w:r>
    </w:p>
    <w:p>
      <w:pPr>
        <w:spacing w:after="160"/>
        <w:ind w:left="360"/>
        <w:jc w:val="both"/>
      </w:pPr>
      <w:r>
        <w:rPr>
          <w:rFonts w:ascii="Arial" w:cs="Arial" w:eastAsia="Arial" w:hAnsi="Arial"/>
          <w:sz w:val="22"/>
          <w:szCs w:val="22"/>
        </w:rPr>
        <w:t xml:space="preserve">(i) to apprise the plaintiff and the court of the defendant's stand, so as to narrow down the real controversy between the parties;</w:t>
      </w:r>
    </w:p>
    <w:p>
      <w:pPr>
        <w:spacing w:after="160"/>
        <w:ind w:left="360"/>
        <w:jc w:val="both"/>
      </w:pPr>
      <w:r>
        <w:rPr>
          <w:rFonts w:ascii="Arial" w:cs="Arial" w:eastAsia="Arial" w:hAnsi="Arial"/>
          <w:sz w:val="22"/>
          <w:szCs w:val="22"/>
        </w:rPr>
        <w:t xml:space="preserve">(ii) to make specific admissions and denials of the plaintiff's averments, since under Order VIII Rule 5, every allegation of fact in the plaint, if not denied specifically or by necessary implication, or stated to be not admitted in the pleading of the defendant, shall be taken to be admitted;</w:t>
      </w:r>
    </w:p>
    <w:p>
      <w:pPr>
        <w:spacing w:after="160"/>
        <w:ind w:left="360"/>
        <w:jc w:val="both"/>
      </w:pPr>
      <w:r>
        <w:rPr>
          <w:rFonts w:ascii="Arial" w:cs="Arial" w:eastAsia="Arial" w:hAnsi="Arial"/>
          <w:sz w:val="22"/>
          <w:szCs w:val="22"/>
        </w:rPr>
        <w:t xml:space="preserve">(iii) to raise legal and factual defences, including preliminary objections going to the maintainability of the suit; and</w:t>
      </w:r>
    </w:p>
    <w:p>
      <w:pPr>
        <w:spacing w:after="160"/>
        <w:ind w:left="360"/>
        <w:jc w:val="both"/>
      </w:pPr>
      <w:r>
        <w:rPr>
          <w:rFonts w:ascii="Arial" w:cs="Arial" w:eastAsia="Arial" w:hAnsi="Arial"/>
          <w:sz w:val="22"/>
          <w:szCs w:val="22"/>
        </w:rPr>
        <w:t xml:space="preserve">(iv) to set up independent claims by way of set-off or counter-claim, where applicable, thereby avoiding multiplicity of proceedings.</w:t>
      </w:r>
    </w:p>
    <w:p>
      <w:pPr>
        <w:pStyle w:val="Heading2"/>
      </w:pPr>
      <w:r>
        <w:t xml:space="preserve">3. Time Limit for Filing Written Statement</w:t>
      </w:r>
    </w:p>
    <w:p>
      <w:pPr>
        <w:spacing w:after="160"/>
        <w:jc w:val="both"/>
      </w:pPr>
      <w:r>
        <w:rPr>
          <w:rFonts w:ascii="Arial" w:cs="Arial" w:eastAsia="Arial" w:hAnsi="Arial"/>
          <w:sz w:val="22"/>
          <w:szCs w:val="22"/>
        </w:rPr>
        <w:t xml:space="preserve">Order VIII Rule 1, as amended by the CPC (Amendment) Act, 2002, requires the defendant to present a written statement of his defence within thirty days from the date of service of summons on him. However, the proviso permits the court, for reasons to be recorded in writing, to extend the time for filing the written statement, but not beyond ninety days from the date of service of summons. The Supreme Court, in interpreting this provision, has generally held the ninety-day outer limit to be directory rather than mandatory in ordinary civil suits, while cautioning that courts should not routinely permit inordinate delay.</w:t>
      </w:r>
    </w:p>
    <w:p>
      <w:pPr>
        <w:spacing w:after="160"/>
        <w:jc w:val="both"/>
      </w:pPr>
      <w:r>
        <w:rPr>
          <w:rFonts w:ascii="Arial" w:cs="Arial" w:eastAsia="Arial" w:hAnsi="Arial"/>
          <w:sz w:val="22"/>
          <w:szCs w:val="22"/>
        </w:rPr>
        <w:t xml:space="preserve">It is essential to note the more stringent regime applicable to </w:t>
      </w:r>
      <w:r>
        <w:rPr>
          <w:rFonts w:ascii="Arial" w:cs="Arial" w:eastAsia="Arial" w:hAnsi="Arial"/>
          <w:b/>
          <w:bCs/>
          <w:sz w:val="22"/>
          <w:szCs w:val="22"/>
        </w:rPr>
        <w:t xml:space="preserve">commercial disputes</w:t>
      </w:r>
      <w:r>
        <w:rPr>
          <w:rFonts w:ascii="Arial" w:cs="Arial" w:eastAsia="Arial" w:hAnsi="Arial"/>
          <w:sz w:val="22"/>
          <w:szCs w:val="22"/>
        </w:rPr>
        <w:t xml:space="preserve"> under the Commercial Courts Act, 2015, which inserted Order VIII Rule 1(1) (as applicable to commercial suits) and a corresponding amendment, providing that a written statement in a commercial suit must be filed within thirty days, extendable up to a maximum of one hundred and twenty days from the date of service of summons, beyond which the defendant forfeits the right to file a written statement altogether, and the court is precluded from taking the written statement on record. This rigid timeline reflects the legislative intent of ensuring expeditious disposal of commercial disputes and was upheld by the Supreme Court as mandatory in the context of commercial suits.</w:t>
      </w:r>
    </w:p>
    <w:p>
      <w:pPr>
        <w:pStyle w:val="Heading2"/>
      </w:pPr>
      <w:r>
        <w:t xml:space="preserve">4. Contents of a Written Statement — General Requirements under Order VI and Order VIII</w:t>
      </w:r>
    </w:p>
    <w:p>
      <w:pPr>
        <w:spacing w:after="160"/>
        <w:ind w:left="360"/>
        <w:jc w:val="both"/>
      </w:pPr>
      <w:r>
        <w:rPr>
          <w:rFonts w:ascii="Arial" w:cs="Arial" w:eastAsia="Arial" w:hAnsi="Arial"/>
          <w:sz w:val="22"/>
          <w:szCs w:val="22"/>
        </w:rPr>
        <w:t xml:space="preserve">(a) </w:t>
      </w:r>
      <w:r>
        <w:rPr>
          <w:rFonts w:ascii="Arial" w:cs="Arial" w:eastAsia="Arial" w:hAnsi="Arial"/>
          <w:b/>
          <w:bCs/>
          <w:sz w:val="22"/>
          <w:szCs w:val="22"/>
        </w:rPr>
        <w:t xml:space="preserve">Specific Denial (Order VIII Rule 3):</w:t>
      </w:r>
      <w:r>
        <w:rPr>
          <w:rFonts w:ascii="Arial" w:cs="Arial" w:eastAsia="Arial" w:hAnsi="Arial"/>
          <w:sz w:val="22"/>
          <w:szCs w:val="22"/>
        </w:rPr>
        <w:t xml:space="preserve"> It is not sufficient for the defendant to deny generally the grounds alleged by the plaintiff; the defendant must deal specifically with each allegation of fact which he does not admit to be true, except for allegations as to the amount of damages claimed.</w:t>
      </w:r>
    </w:p>
    <w:p>
      <w:pPr>
        <w:spacing w:after="160"/>
        <w:jc w:val="both"/>
      </w:pPr>
      <w:r>
        <w:rPr>
          <w:rFonts w:ascii="Arial" w:cs="Arial" w:eastAsia="Arial" w:hAnsi="Arial"/>
          <w:sz w:val="22"/>
          <w:szCs w:val="22"/>
        </w:rPr>
        <w:t xml:space="preserve">(b) </w:t>
      </w:r>
      <w:r>
        <w:rPr>
          <w:rFonts w:ascii="Arial" w:cs="Arial" w:eastAsia="Arial" w:hAnsi="Arial"/>
          <w:b/>
          <w:bCs/>
          <w:sz w:val="22"/>
          <w:szCs w:val="22"/>
        </w:rPr>
        <w:t xml:space="preserve">Evasive Denial (Order VIII Rule 4):</w:t>
      </w:r>
      <w:r>
        <w:rPr>
          <w:rFonts w:ascii="Arial" w:cs="Arial" w:eastAsia="Arial" w:hAnsi="Arial"/>
          <w:sz w:val="22"/>
          <w:szCs w:val="22"/>
        </w:rPr>
        <w:t xml:space="preserve"> Where a defendant denies an allegation of fact, he must not do so evasively, but must answer the point of substance. For instance, if it is alleged that he received a certain sum of money, it is not sufficient to deny that he received "that particular amount," he must deny that he received that sum or any part thereof, or set out how much he received, if he received any part.</w:t>
      </w:r>
    </w:p>
    <w:p>
      <w:pPr>
        <w:spacing w:after="160"/>
        <w:jc w:val="both"/>
      </w:pPr>
      <w:r>
        <w:rPr>
          <w:rFonts w:ascii="Arial" w:cs="Arial" w:eastAsia="Arial" w:hAnsi="Arial"/>
          <w:sz w:val="22"/>
          <w:szCs w:val="22"/>
        </w:rPr>
        <w:t xml:space="preserve">(c) </w:t>
      </w:r>
      <w:r>
        <w:rPr>
          <w:rFonts w:ascii="Arial" w:cs="Arial" w:eastAsia="Arial" w:hAnsi="Arial"/>
          <w:b/>
          <w:bCs/>
          <w:sz w:val="22"/>
          <w:szCs w:val="22"/>
        </w:rPr>
        <w:t xml:space="preserve">Effect of Non-Traverse / Implied Admission (Order VIII Rule 5):</w:t>
      </w:r>
      <w:r>
        <w:rPr>
          <w:rFonts w:ascii="Arial" w:cs="Arial" w:eastAsia="Arial" w:hAnsi="Arial"/>
          <w:sz w:val="22"/>
          <w:szCs w:val="22"/>
        </w:rPr>
        <w:t xml:space="preserve"> Every allegation of fact in the plaint, if not denied specifically or by necessary implication, or stated to be not admitted in the pleading of the defendant, shall be taken to be admitted, except as against a person under disability. This is one of the most critical provisions tested in examinations, as it makes the consequences of a vague or omnibus denial extremely serious — facts not traversed are deemed admitted, and the court may, at any stage of the suit, even pronounce judgment on the basis of the facts so admitted, without waiting for determination of any other question between the parties, under Order VIII Rule 10 read with Order XII Rule 6.</w:t>
      </w:r>
    </w:p>
    <w:p>
      <w:pPr>
        <w:spacing w:after="160"/>
        <w:jc w:val="both"/>
      </w:pPr>
      <w:r>
        <w:rPr>
          <w:rFonts w:ascii="Arial" w:cs="Arial" w:eastAsia="Arial" w:hAnsi="Arial"/>
          <w:sz w:val="22"/>
          <w:szCs w:val="22"/>
        </w:rPr>
        <w:t xml:space="preserve">(d) </w:t>
      </w:r>
      <w:r>
        <w:rPr>
          <w:rFonts w:ascii="Arial" w:cs="Arial" w:eastAsia="Arial" w:hAnsi="Arial"/>
          <w:b/>
          <w:bCs/>
          <w:sz w:val="22"/>
          <w:szCs w:val="22"/>
        </w:rPr>
        <w:t xml:space="preserve">New Facts Must be Specially Pleaded (Order VIII Rule 2):</w:t>
      </w:r>
      <w:r>
        <w:rPr>
          <w:rFonts w:ascii="Arial" w:cs="Arial" w:eastAsia="Arial" w:hAnsi="Arial"/>
          <w:sz w:val="22"/>
          <w:szCs w:val="22"/>
        </w:rPr>
        <w:t xml:space="preserve"> The defendant must raise by his pleading all matters which show the suit not to be maintainable, or that the transaction is either void or voidable in point of law, and all such grounds of defence as, if not raised, would be likely to take the opposite party by surprise, or would raise issues of fact not arising out of the plaint, such as fraud, limitation, release, payment, performance, or facts showing illegality.</w:t>
      </w:r>
    </w:p>
    <w:p>
      <w:pPr>
        <w:spacing w:after="160"/>
        <w:ind w:left="360"/>
        <w:jc w:val="both"/>
      </w:pPr>
      <w:r>
        <w:rPr>
          <w:rFonts w:ascii="Arial" w:cs="Arial" w:eastAsia="Arial" w:hAnsi="Arial"/>
          <w:sz w:val="22"/>
          <w:szCs w:val="22"/>
        </w:rPr>
        <w:t xml:space="preserve">(e) </w:t>
      </w:r>
      <w:r>
        <w:rPr>
          <w:rFonts w:ascii="Arial" w:cs="Arial" w:eastAsia="Arial" w:hAnsi="Arial"/>
          <w:b/>
          <w:bCs/>
          <w:sz w:val="22"/>
          <w:szCs w:val="22"/>
        </w:rPr>
        <w:t xml:space="preserve">Particulars in Cases of Fraud, Misrepresentation, etc. (Order VI Rule 4):</w:t>
      </w:r>
      <w:r>
        <w:rPr>
          <w:rFonts w:ascii="Arial" w:cs="Arial" w:eastAsia="Arial" w:hAnsi="Arial"/>
          <w:sz w:val="22"/>
          <w:szCs w:val="22"/>
        </w:rPr>
        <w:t xml:space="preserve"> As with a plaint, where the written statement sets up fraud, undue influence, misrepresentation, or breach of trust, full particulars must be furnished.</w:t>
      </w:r>
    </w:p>
    <w:p>
      <w:pPr>
        <w:spacing w:after="160"/>
        <w:jc w:val="both"/>
      </w:pPr>
      <w:r>
        <w:rPr>
          <w:rFonts w:ascii="Arial" w:cs="Arial" w:eastAsia="Arial" w:hAnsi="Arial"/>
          <w:sz w:val="22"/>
          <w:szCs w:val="22"/>
        </w:rPr>
        <w:t xml:space="preserve">(f) </w:t>
      </w:r>
      <w:r>
        <w:rPr>
          <w:rFonts w:ascii="Arial" w:cs="Arial" w:eastAsia="Arial" w:hAnsi="Arial"/>
          <w:b/>
          <w:bCs/>
          <w:sz w:val="22"/>
          <w:szCs w:val="22"/>
        </w:rPr>
        <w:t xml:space="preserve">Set-off (Order VIII Rules 6 to 6-G):</w:t>
      </w:r>
      <w:r>
        <w:rPr>
          <w:rFonts w:ascii="Arial" w:cs="Arial" w:eastAsia="Arial" w:hAnsi="Arial"/>
          <w:sz w:val="22"/>
          <w:szCs w:val="22"/>
        </w:rPr>
        <w:t xml:space="preserve"> Where, in a suit for recovery of money, the defendant claims to set off against the plaintiff's demand any ascertained sum of money legally recoverable by him from the plaintiff, not exceeding the pecuniary limits of the jurisdiction of the court, and both parties fill the same character as they fill in the plaintiff's suit, the defendant may present a written statement containing the particulars of the debt sought to be set off. Such a written statement has the same effect as a plaint in a cross-suit, and the court is required to pronounce a final judgment in respect of both the original claim and the set-off.</w:t>
      </w:r>
    </w:p>
    <w:p>
      <w:pPr>
        <w:spacing w:after="160"/>
        <w:jc w:val="both"/>
      </w:pPr>
      <w:r>
        <w:rPr>
          <w:rFonts w:ascii="Arial" w:cs="Arial" w:eastAsia="Arial" w:hAnsi="Arial"/>
          <w:sz w:val="22"/>
          <w:szCs w:val="22"/>
        </w:rPr>
        <w:t xml:space="preserve">(g) </w:t>
      </w:r>
      <w:r>
        <w:rPr>
          <w:rFonts w:ascii="Arial" w:cs="Arial" w:eastAsia="Arial" w:hAnsi="Arial"/>
          <w:b/>
          <w:bCs/>
          <w:sz w:val="22"/>
          <w:szCs w:val="22"/>
        </w:rPr>
        <w:t xml:space="preserve">Counter-Claim (Order VIII Rules 6-A to 6-G):</w:t>
      </w:r>
      <w:r>
        <w:rPr>
          <w:rFonts w:ascii="Arial" w:cs="Arial" w:eastAsia="Arial" w:hAnsi="Arial"/>
          <w:sz w:val="22"/>
          <w:szCs w:val="22"/>
        </w:rPr>
        <w:t xml:space="preserve"> A defendant may, in addition to his right of pleading a set-off, set up, by way of counter-claim against the claim of the plaintiff, any right or claim in respect of a cause of action accruing to the defendant against the plaintiff either before or after the filing of the suit, but before the defendant has delivered his defence or before the time fixed for delivery of his defence has expired, provided that such counter-claim does not exceed the pecuniary jurisdiction of the court. A counter-claim has the same effect as a cross-suit and enables the court to pronounce a final judgment both on the original claim and the counter-claim, even where the plaintiff's suit is stayed, discontinued, or dismissed.</w:t>
      </w:r>
    </w:p>
    <w:p>
      <w:pPr>
        <w:spacing w:after="160"/>
        <w:ind w:left="360"/>
        <w:jc w:val="both"/>
      </w:pPr>
      <w:r>
        <w:rPr>
          <w:rFonts w:ascii="Arial" w:cs="Arial" w:eastAsia="Arial" w:hAnsi="Arial"/>
          <w:sz w:val="22"/>
          <w:szCs w:val="22"/>
        </w:rPr>
        <w:t xml:space="preserve">(h) </w:t>
      </w:r>
      <w:r>
        <w:rPr>
          <w:rFonts w:ascii="Arial" w:cs="Arial" w:eastAsia="Arial" w:hAnsi="Arial"/>
          <w:b/>
          <w:bCs/>
          <w:sz w:val="22"/>
          <w:szCs w:val="22"/>
        </w:rPr>
        <w:t xml:space="preserve">Verification:</w:t>
      </w:r>
      <w:r>
        <w:rPr>
          <w:rFonts w:ascii="Arial" w:cs="Arial" w:eastAsia="Arial" w:hAnsi="Arial"/>
          <w:sz w:val="22"/>
          <w:szCs w:val="22"/>
        </w:rPr>
        <w:t xml:space="preserve"> Like a plaint, a written statement must be verified by the defendant or a person duly acquainted with the facts, in the manner prescribed under Order VI Rule 15, and (in commercial suits) accompanied by a Statement of Truth under Order VI Rule 15A.</w:t>
      </w:r>
    </w:p>
    <w:p>
      <w:pPr>
        <w:pStyle w:val="Heading2"/>
      </w:pPr>
      <w:r>
        <w:t xml:space="preserve">5. New Set of Facts / Preliminary Objections</w:t>
      </w:r>
    </w:p>
    <w:p>
      <w:pPr>
        <w:spacing w:after="160"/>
        <w:jc w:val="both"/>
      </w:pPr>
      <w:r>
        <w:rPr>
          <w:rFonts w:ascii="Arial" w:cs="Arial" w:eastAsia="Arial" w:hAnsi="Arial"/>
          <w:sz w:val="22"/>
          <w:szCs w:val="22"/>
        </w:rPr>
        <w:t xml:space="preserve">A well-drafted written statement typically opens with </w:t>
      </w:r>
      <w:r>
        <w:rPr>
          <w:rFonts w:ascii="Arial" w:cs="Arial" w:eastAsia="Arial" w:hAnsi="Arial"/>
          <w:b/>
          <w:bCs/>
          <w:sz w:val="22"/>
          <w:szCs w:val="22"/>
        </w:rPr>
        <w:t xml:space="preserve">preliminary objections</w:t>
      </w:r>
      <w:r>
        <w:rPr>
          <w:rFonts w:ascii="Arial" w:cs="Arial" w:eastAsia="Arial" w:hAnsi="Arial"/>
          <w:sz w:val="22"/>
          <w:szCs w:val="22"/>
        </w:rPr>
        <w:t xml:space="preserve"> before proceeding to a paragraph-wise reply. Common preliminary objections include:</w:t>
      </w:r>
    </w:p>
    <w:p>
      <w:pPr>
        <w:spacing w:after="160"/>
        <w:ind w:left="360"/>
        <w:jc w:val="both"/>
      </w:pPr>
      <w:r>
        <w:rPr>
          <w:rFonts w:ascii="Arial" w:cs="Arial" w:eastAsia="Arial" w:hAnsi="Arial"/>
          <w:sz w:val="22"/>
          <w:szCs w:val="22"/>
        </w:rPr>
        <w:t xml:space="preserve">(i) that the suit is not maintainable in law or on facts;</w:t>
      </w:r>
    </w:p>
    <w:p>
      <w:pPr>
        <w:spacing w:after="160"/>
        <w:ind w:left="360"/>
        <w:jc w:val="both"/>
      </w:pPr>
      <w:r>
        <w:rPr>
          <w:rFonts w:ascii="Arial" w:cs="Arial" w:eastAsia="Arial" w:hAnsi="Arial"/>
          <w:sz w:val="22"/>
          <w:szCs w:val="22"/>
        </w:rPr>
        <w:t xml:space="preserve">(ii) that the court lacks territorial or pecuniary jurisdiction;</w:t>
      </w:r>
    </w:p>
    <w:p>
      <w:pPr>
        <w:spacing w:after="160"/>
        <w:ind w:left="360"/>
        <w:jc w:val="both"/>
      </w:pPr>
      <w:r>
        <w:rPr>
          <w:rFonts w:ascii="Arial" w:cs="Arial" w:eastAsia="Arial" w:hAnsi="Arial"/>
          <w:sz w:val="22"/>
          <w:szCs w:val="22"/>
        </w:rPr>
        <w:t xml:space="preserve">(iii) that the suit is barred by limitation;</w:t>
      </w:r>
    </w:p>
    <w:p>
      <w:pPr>
        <w:spacing w:after="160"/>
        <w:ind w:left="360"/>
        <w:jc w:val="both"/>
      </w:pPr>
      <w:r>
        <w:rPr>
          <w:rFonts w:ascii="Arial" w:cs="Arial" w:eastAsia="Arial" w:hAnsi="Arial"/>
          <w:sz w:val="22"/>
          <w:szCs w:val="22"/>
        </w:rPr>
        <w:t xml:space="preserve">(iv) that the suit is bad for non-joinder or mis-joinder of necessary parties under Order I Rules 9 and 10;</w:t>
      </w:r>
    </w:p>
    <w:p>
      <w:pPr>
        <w:spacing w:after="160"/>
        <w:ind w:left="360"/>
        <w:jc w:val="both"/>
      </w:pPr>
      <w:r>
        <w:rPr>
          <w:rFonts w:ascii="Arial" w:cs="Arial" w:eastAsia="Arial" w:hAnsi="Arial"/>
          <w:sz w:val="22"/>
          <w:szCs w:val="22"/>
        </w:rPr>
        <w:t xml:space="preserve">(v) that the plaint does not disclose a cause of action;</w:t>
      </w:r>
    </w:p>
    <w:p>
      <w:pPr>
        <w:spacing w:after="160"/>
        <w:ind w:left="360"/>
        <w:jc w:val="both"/>
      </w:pPr>
      <w:r>
        <w:rPr>
          <w:rFonts w:ascii="Arial" w:cs="Arial" w:eastAsia="Arial" w:hAnsi="Arial"/>
          <w:sz w:val="22"/>
          <w:szCs w:val="22"/>
        </w:rPr>
        <w:t xml:space="preserve">(vi) that the suit is barred by res judicata (Section 11 CPC) or constructive res judicata, or hit by the principle of estoppel;</w:t>
      </w:r>
    </w:p>
    <w:p>
      <w:pPr>
        <w:spacing w:after="160"/>
        <w:ind w:left="360"/>
        <w:jc w:val="both"/>
      </w:pPr>
      <w:r>
        <w:rPr>
          <w:rFonts w:ascii="Arial" w:cs="Arial" w:eastAsia="Arial" w:hAnsi="Arial"/>
          <w:sz w:val="22"/>
          <w:szCs w:val="22"/>
        </w:rPr>
        <w:t xml:space="preserve">(vii) that the suit is undervalued or insufficiently stamped;</w:t>
      </w:r>
    </w:p>
    <w:p>
      <w:pPr>
        <w:spacing w:after="160"/>
        <w:ind w:left="360"/>
        <w:jc w:val="both"/>
      </w:pPr>
      <w:r>
        <w:rPr>
          <w:rFonts w:ascii="Arial" w:cs="Arial" w:eastAsia="Arial" w:hAnsi="Arial"/>
          <w:sz w:val="22"/>
          <w:szCs w:val="22"/>
        </w:rPr>
        <w:t xml:space="preserve">(viii) that the relief claimed is barred by any other provision of law, such as the bar against suits in the nature now governed by special statutes (e.g., Section 34 of the SARFAESI Act, Section 9 of the Arbitration and Conciliation Act, 1996, where an arbitration clause exists, etc.).</w:t>
      </w:r>
    </w:p>
    <w:p>
      <w:pPr>
        <w:pStyle w:val="Heading2"/>
      </w:pPr>
      <w:r>
        <w:t xml:space="preserve">6. Documents to be Filed with Written Statement</w:t>
      </w:r>
    </w:p>
    <w:p>
      <w:pPr>
        <w:spacing w:after="160"/>
        <w:jc w:val="both"/>
      </w:pPr>
      <w:r>
        <w:rPr>
          <w:rFonts w:ascii="Arial" w:cs="Arial" w:eastAsia="Arial" w:hAnsi="Arial"/>
          <w:sz w:val="22"/>
          <w:szCs w:val="22"/>
        </w:rPr>
        <w:t xml:space="preserve">Order VIII Rule 1A requires the defendant to produce, when he presents the written statement, all documents in his possession or power on which he bases his defence or any claim of set-off, and to enter such documents in a list to be appended to the written statement. Documents not so produced cannot, save with leave of the court, be received in evidence on his behalf at the hearing of the suit, subject to certain exceptions (e.g., documents produced for cross-examination of the plaintiff's witnesses, or documents handed to a witness merely to refresh memory).</w:t>
      </w:r>
    </w:p>
    <w:p>
      <w:pPr>
        <w:pStyle w:val="Heading2"/>
      </w:pPr>
      <w:r>
        <w:t xml:space="preserve">7. Consequence of Failure to File Written Statement</w:t>
      </w:r>
    </w:p>
    <w:p>
      <w:pPr>
        <w:spacing w:after="160"/>
        <w:jc w:val="both"/>
      </w:pPr>
      <w:r>
        <w:rPr>
          <w:rFonts w:ascii="Arial" w:cs="Arial" w:eastAsia="Arial" w:hAnsi="Arial"/>
          <w:sz w:val="22"/>
          <w:szCs w:val="22"/>
        </w:rPr>
        <w:t xml:space="preserve">Order VIII Rule 10 provides that where a party fails to present a written statement within the time permitted or fixed by the court, the court shall pronounce judgment against him, or make such order in relation to the suit as it thinks fit, and a decree shall be drawn up pursuant to such judgment. However, the discretion conferred on the court under Order VIII Rule 10 is not absolute, and courts have generally held that this discretion must be exercised judicially and not to penalise the defendant for a mere procedural default if the larger interest of justice so warrants — though, as noted above, in commercial suits this discretion is substantially curtailed by the mandatory 120-day outer limit.</w:t>
      </w:r>
    </w:p>
    <w:p>
      <w:pPr>
        <w:pStyle w:val="Heading2"/>
      </w:pPr>
      <w:r>
        <w:t xml:space="preserve">8. Amendment of Written Statement</w:t>
      </w:r>
    </w:p>
    <w:p>
      <w:pPr>
        <w:spacing w:after="160"/>
        <w:jc w:val="both"/>
      </w:pPr>
      <w:r>
        <w:rPr>
          <w:rFonts w:ascii="Arial" w:cs="Arial" w:eastAsia="Arial" w:hAnsi="Arial"/>
          <w:sz w:val="22"/>
          <w:szCs w:val="22"/>
        </w:rPr>
        <w:t xml:space="preserve">The same provisions of Order VI Rule 17 governing amendment of pleadings apply to written statements, though courts have traditionally taken a somewhat more liberal view toward defendants seeking to amend their written statements (since a defendant adding a new plea ordinarily does not deprive the plaintiff of an accrued right, in the way that allowing a plaintiff to introduce a time-barred claim might), subject always to the requirement that the amendment is necessary for determining the real questions in controversy and that it is not made merely to delay the trial or after commencement of trial without due diligence having been shown.</w:t>
      </w:r>
    </w:p>
    <w:p>
      <w:pPr>
        <w:pStyle w:val="Heading2"/>
      </w:pPr>
      <w:r>
        <w:t xml:space="preserve">9. Relationship Between Written Statement and Framing of Issues</w:t>
      </w:r>
    </w:p>
    <w:p>
      <w:pPr>
        <w:spacing w:after="160"/>
        <w:jc w:val="both"/>
      </w:pPr>
      <w:r>
        <w:rPr>
          <w:rFonts w:ascii="Arial" w:cs="Arial" w:eastAsia="Arial" w:hAnsi="Arial"/>
          <w:sz w:val="22"/>
          <w:szCs w:val="22"/>
        </w:rPr>
        <w:t xml:space="preserve">Once pleadings are complete, the court examines the plaint, the written statement, and any rejoinder/replication, and proceeds to frame issues under Order XIV CPC. Issues arise when a material proposition of fact or law is affirmed by one party and denied by the other. The precision of the written statement — clear admissions, clear denials, and clearly pleaded new facts — is therefore vital, as it directly determines the issues on which the trial will proceed and on which the parties will lead evidence.</w:t>
      </w:r>
    </w:p>
    <w:p>
      <w:pPr>
        <w:pStyle w:val="Heading2"/>
      </w:pPr>
      <w:r>
        <w:t xml:space="preserve">10. Special Considerations: Government as Defendant</w:t>
      </w:r>
    </w:p>
    <w:p>
      <w:pPr>
        <w:spacing w:after="160"/>
        <w:jc w:val="both"/>
      </w:pPr>
      <w:r>
        <w:rPr>
          <w:rFonts w:ascii="Arial" w:cs="Arial" w:eastAsia="Arial" w:hAnsi="Arial"/>
          <w:sz w:val="22"/>
          <w:szCs w:val="22"/>
        </w:rPr>
        <w:t xml:space="preserve">Order XXVII CPC carves out special provisions for suits by or against the Government or public officers, including a longer period (generally not less than ninety days, computed differently, and subject to two months' prior notice under Section 80 CPC before institution of the suit itself). While this lies more properly within "suits against the government," it is relevant to note for completeness when drafting a written statement on behalf of a government department.</w:t>
      </w:r>
    </w:p>
    <w:p>
      <w:pPr>
        <w:pStyle w:val="Heading2"/>
      </w:pPr>
      <w:r>
        <w:t xml:space="preserve">11. Conclusion</w:t>
      </w:r>
    </w:p>
    <w:p>
      <w:pPr>
        <w:spacing w:after="160"/>
        <w:jc w:val="both"/>
      </w:pPr>
      <w:r>
        <w:rPr>
          <w:rFonts w:ascii="Arial" w:cs="Arial" w:eastAsia="Arial" w:hAnsi="Arial"/>
          <w:sz w:val="22"/>
          <w:szCs w:val="22"/>
        </w:rPr>
        <w:t xml:space="preserve">The written statement is the mirror image of the plaint and constitutes the defendant's primary opportunity to place his defence on the judicial record. The drafting of a written statement demands the same rigour as the drafting of a plaint: every material averment of the plaintiff must be met with a specific admission or denial (evasive or blanket denials being legally perilous under Order VIII Rules 3, 4 and 5); preliminary objections going to maintainability, jurisdiction, and limitation must be raised at the threshold; any independent claim the defendant may have against the plaintiff should be considered for inclusion by way of set-off or counter-claim; and the written statement must be filed within the strict statutory time limits, more so in commercial suits where the 120-day limit is an absolute bar. A carelessly drafted written statement — vague in its denials or silent on a material fact — can result in deemed admissions that may be fatal to the defendant's case even before the trial begins.</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WRITTEN STATEMENT WITH SET-OFF, FILED IN ANSWER TO A SUIT FOR RECOVERY OF MONEY</w:t>
      </w:r>
    </w:p>
    <w:p>
      <w:pPr>
        <w:spacing w:after="300"/>
        <w:jc w:val="center"/>
      </w:pPr>
      <w:r>
        <w:rPr>
          <w:rFonts w:ascii="Arial" w:cs="Arial" w:eastAsia="Arial" w:hAnsi="Arial"/>
          <w:i/>
          <w:iCs/>
          <w:sz w:val="20"/>
          <w:szCs w:val="20"/>
        </w:rPr>
        <w:t xml:space="preserve">(Presumed Facts: Continuing from the Plaint at Sl. No. 1 above — Written Statement filed by Mr. Anil Kumar Verma in Civil Suit No. ___ of 2026, denying the claim, pleading part-payment and limitation, and raising a set-off of Rs. 3,00,000/- alleged to be due from the Plaintiff towards goods supplied earlier.)</w:t>
      </w:r>
    </w:p>
    <w:p>
      <w:pPr>
        <w:spacing w:after="200" w:before="200"/>
        <w:jc w:val="center"/>
      </w:pPr>
      <w:r>
        <w:rPr>
          <w:rFonts w:ascii="Arial" w:cs="Arial" w:eastAsia="Arial" w:hAnsi="Arial"/>
          <w:b/>
          <w:bCs/>
          <w:sz w:val="22"/>
          <w:szCs w:val="22"/>
        </w:rPr>
        <w:t xml:space="preserve">IN THE COURT OF THE DISTRICT JUDGE / CIVIL JUDGE (SENIOR DIVISION), AT [CITY], [STATE]</w:t>
      </w:r>
    </w:p>
    <w:p>
      <w:pPr>
        <w:spacing w:after="160"/>
        <w:jc w:val="both"/>
      </w:pPr>
      <w:r>
        <w:rPr>
          <w:rFonts w:ascii="Arial" w:cs="Arial" w:eastAsia="Arial" w:hAnsi="Arial"/>
          <w:sz w:val="22"/>
          <w:szCs w:val="22"/>
        </w:rPr>
        <w:t xml:space="preserve">Civil Suit No. _____ of 2026</w:t>
      </w:r>
    </w:p>
    <w:p>
      <w:pPr>
        <w:spacing w:after="200" w:before="200"/>
        <w:jc w:val="center"/>
      </w:pPr>
      <w:r>
        <w:rPr>
          <w:rFonts w:ascii="Arial" w:cs="Arial" w:eastAsia="Arial" w:hAnsi="Arial"/>
          <w:b/>
          <w:bCs/>
          <w:sz w:val="22"/>
          <w:szCs w:val="22"/>
        </w:rPr>
        <w:t xml:space="preserve">IN THE MATTER OF:</w:t>
      </w:r>
    </w:p>
    <w:p>
      <w:pPr>
        <w:spacing w:after="160"/>
        <w:jc w:val="both"/>
      </w:pPr>
      <w:r>
        <w:rPr>
          <w:rFonts w:ascii="Arial" w:cs="Arial" w:eastAsia="Arial" w:hAnsi="Arial"/>
          <w:sz w:val="22"/>
          <w:szCs w:val="22"/>
        </w:rPr>
        <w:t xml:space="preserve">M/s Shree Enterprises, through its sole proprietor, Mr. Ramesh Kumar Sharma</w:t>
      </w:r>
    </w:p>
    <w:p>
      <w:pPr>
        <w:spacing w:after="160"/>
        <w:jc w:val="both"/>
      </w:pPr>
      <w:r>
        <w:rPr>
          <w:rFonts w:ascii="Arial" w:cs="Arial" w:eastAsia="Arial" w:hAnsi="Arial"/>
          <w:sz w:val="22"/>
          <w:szCs w:val="22"/>
        </w:rPr>
        <w:t xml:space="preserve">..............................................................................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Anil Kumar Verma</w:t>
      </w:r>
    </w:p>
    <w:p>
      <w:pPr>
        <w:spacing w:after="160"/>
        <w:jc w:val="both"/>
      </w:pPr>
      <w:r>
        <w:rPr>
          <w:rFonts w:ascii="Arial" w:cs="Arial" w:eastAsia="Arial" w:hAnsi="Arial"/>
          <w:sz w:val="22"/>
          <w:szCs w:val="22"/>
        </w:rPr>
        <w:t xml:space="preserve">.............................................................................. DEFENDANT</w:t>
      </w:r>
    </w:p>
    <w:p>
      <w:pPr>
        <w:spacing w:after="200" w:before="200"/>
        <w:jc w:val="center"/>
      </w:pPr>
      <w:r>
        <w:rPr>
          <w:rFonts w:ascii="Arial" w:cs="Arial" w:eastAsia="Arial" w:hAnsi="Arial"/>
          <w:b/>
          <w:bCs/>
          <w:sz w:val="22"/>
          <w:szCs w:val="22"/>
        </w:rPr>
        <w:t xml:space="preserve">WRITTEN STATEMENT ON BEHALF OF THE DEFENDANT</w:t>
      </w:r>
    </w:p>
    <w:p>
      <w:pPr>
        <w:spacing w:after="160"/>
        <w:jc w:val="both"/>
      </w:pPr>
      <w:r>
        <w:rPr>
          <w:rFonts w:ascii="Arial" w:cs="Arial" w:eastAsia="Arial" w:hAnsi="Arial"/>
          <w:sz w:val="22"/>
          <w:szCs w:val="22"/>
        </w:rPr>
        <w:t xml:space="preserve">MOST RESPECTFULLY SHOWETH:</w:t>
      </w:r>
    </w:p>
    <w:p>
      <w:pPr>
        <w:spacing w:after="200" w:before="200"/>
        <w:jc w:val="center"/>
      </w:pPr>
      <w:r>
        <w:rPr>
          <w:rFonts w:ascii="Arial" w:cs="Arial" w:eastAsia="Arial" w:hAnsi="Arial"/>
          <w:b/>
          <w:bCs/>
          <w:sz w:val="22"/>
          <w:szCs w:val="22"/>
        </w:rPr>
        <w:t xml:space="preserve">PRELIMINARY OBJECTIONS</w:t>
      </w:r>
    </w:p>
    <w:p>
      <w:pPr>
        <w:spacing w:after="160"/>
        <w:jc w:val="both"/>
      </w:pPr>
      <w:r>
        <w:rPr>
          <w:rFonts w:ascii="Arial" w:cs="Arial" w:eastAsia="Arial" w:hAnsi="Arial"/>
          <w:sz w:val="22"/>
          <w:szCs w:val="22"/>
        </w:rPr>
        <w:t xml:space="preserve">1. That the present suit, as framed and filed, is not maintainable either in law or on facts and is liable to be dismissed in limine.</w:t>
      </w:r>
    </w:p>
    <w:p>
      <w:pPr>
        <w:spacing w:after="160"/>
        <w:jc w:val="both"/>
      </w:pPr>
      <w:r>
        <w:rPr>
          <w:rFonts w:ascii="Arial" w:cs="Arial" w:eastAsia="Arial" w:hAnsi="Arial"/>
          <w:sz w:val="22"/>
          <w:szCs w:val="22"/>
        </w:rPr>
        <w:t xml:space="preserve">2. That the suit is barred by limitation inasmuch as the alleged cause of action, even on the Plaintiff's own showing, arose on 5th July 2024 (the date of alleged default in repayment), and several material facts have been deliberately suppressed by the Plaintiff to wrongly extend the period of limitation, as set out in detail in the paragraph-wise reply below.</w:t>
      </w:r>
    </w:p>
    <w:p>
      <w:pPr>
        <w:spacing w:after="160"/>
        <w:jc w:val="both"/>
      </w:pPr>
      <w:r>
        <w:rPr>
          <w:rFonts w:ascii="Arial" w:cs="Arial" w:eastAsia="Arial" w:hAnsi="Arial"/>
          <w:sz w:val="22"/>
          <w:szCs w:val="22"/>
        </w:rPr>
        <w:t xml:space="preserve">3. That the suit has been grossly undervalued, and the Plaintiff has failed to give credit for the substantial part-payments already made by the Defendant, as well as for the cross-claim of the Defendant against the Plaintiff, set out hereinbelow by way of set-off.</w:t>
      </w:r>
    </w:p>
    <w:p>
      <w:pPr>
        <w:spacing w:after="160"/>
        <w:jc w:val="both"/>
      </w:pPr>
      <w:r>
        <w:rPr>
          <w:rFonts w:ascii="Arial" w:cs="Arial" w:eastAsia="Arial" w:hAnsi="Arial"/>
          <w:sz w:val="22"/>
          <w:szCs w:val="22"/>
        </w:rPr>
        <w:t xml:space="preserve">4. That the suit is bad for suppression of material facts, the Plaintiff having deliberately withheld from this Hon'ble Court the fact of part-payment of Rs. 5,00,000/- made by the Defendant to the Plaintiff on 20th August 2024, as more fully set out below, which payment, if taken into account, substantially reduces the Plaintiff's claim.</w:t>
      </w:r>
    </w:p>
    <w:p>
      <w:pPr>
        <w:spacing w:after="160"/>
        <w:jc w:val="both"/>
      </w:pPr>
      <w:r>
        <w:rPr>
          <w:rFonts w:ascii="Arial" w:cs="Arial" w:eastAsia="Arial" w:hAnsi="Arial"/>
          <w:sz w:val="22"/>
          <w:szCs w:val="22"/>
        </w:rPr>
        <w:t xml:space="preserve">5. That the Defendant craves leave of this Hon'ble Court to raise such other and further preliminary objections as may become necessary at the time of, or prior to, the framing of issues.</w:t>
      </w:r>
    </w:p>
    <w:p>
      <w:pPr>
        <w:spacing w:after="200" w:before="200"/>
        <w:jc w:val="center"/>
      </w:pPr>
      <w:r>
        <w:rPr>
          <w:rFonts w:ascii="Arial" w:cs="Arial" w:eastAsia="Arial" w:hAnsi="Arial"/>
          <w:b/>
          <w:bCs/>
          <w:sz w:val="22"/>
          <w:szCs w:val="22"/>
        </w:rPr>
        <w:t xml:space="preserve">REPLY ON MERITS (PARAGRAPH-WISE)</w:t>
      </w:r>
    </w:p>
    <w:p>
      <w:pPr>
        <w:spacing w:after="160"/>
        <w:jc w:val="both"/>
      </w:pPr>
      <w:r>
        <w:rPr>
          <w:rFonts w:ascii="Arial" w:cs="Arial" w:eastAsia="Arial" w:hAnsi="Arial"/>
          <w:sz w:val="22"/>
          <w:szCs w:val="22"/>
        </w:rPr>
        <w:t xml:space="preserve">6. That the contents of paragraph 1 of the plaint, relating to the constitution of the Plaintiff firm, are matters of record and need no specific reply; in any event, the same are not admitted for want of knowledge.</w:t>
      </w:r>
    </w:p>
    <w:p>
      <w:pPr>
        <w:spacing w:after="160"/>
        <w:jc w:val="both"/>
      </w:pPr>
      <w:r>
        <w:rPr>
          <w:rFonts w:ascii="Arial" w:cs="Arial" w:eastAsia="Arial" w:hAnsi="Arial"/>
          <w:sz w:val="22"/>
          <w:szCs w:val="22"/>
        </w:rPr>
        <w:t xml:space="preserve">7. That the contents of paragraph 2 of the plaint are admitted to the limited extent that the Defendant has known the proprietor of the Plaintiff firm for several years; however, it is denied that any representation, as falsely alleged, was made by the Defendant in the manner or to the extent set out in paragraph 3 of the plaint.</w:t>
      </w:r>
    </w:p>
    <w:p>
      <w:pPr>
        <w:spacing w:after="160"/>
        <w:jc w:val="both"/>
      </w:pPr>
      <w:r>
        <w:rPr>
          <w:rFonts w:ascii="Arial" w:cs="Arial" w:eastAsia="Arial" w:hAnsi="Arial"/>
          <w:sz w:val="22"/>
          <w:szCs w:val="22"/>
        </w:rPr>
        <w:t xml:space="preserve">8. That with reference to paragraphs 3 and 4 of the plaint, it is admitted that the Defendant received a sum of Rs. 12,50,000/- from the Plaintiff on or about 8th January 2024. However, it is specifically denied that the said amount was a "friendly loan" simpliciter as alleged; it is submitted that the said amount represented, in part, an advance against future supply of construction hardware materials which the Defendant had agreed to procure and supply to the Plaintiff in the ordinary course of business dealings between the parties, and only the balance was in the nature of a temporary accommodation.</w:t>
      </w:r>
    </w:p>
    <w:p>
      <w:pPr>
        <w:spacing w:after="160"/>
        <w:jc w:val="both"/>
      </w:pPr>
      <w:r>
        <w:rPr>
          <w:rFonts w:ascii="Arial" w:cs="Arial" w:eastAsia="Arial" w:hAnsi="Arial"/>
          <w:sz w:val="22"/>
          <w:szCs w:val="22"/>
        </w:rPr>
        <w:t xml:space="preserve">9. That with reference to paragraph 5 of the plaint, the execution of a document dated 8th January 2024 is admitted; however, it is denied that the said document correctly and completely records the true nature of the transaction between the parties for the reasons stated in paragraph 8 above. The Defendant shall, at the appropriate stage, place on record correspondence and account statements evidencing the true nature of the dealings between the parties.</w:t>
      </w:r>
    </w:p>
    <w:p>
      <w:pPr>
        <w:spacing w:after="160"/>
        <w:jc w:val="both"/>
      </w:pPr>
      <w:r>
        <w:rPr>
          <w:rFonts w:ascii="Arial" w:cs="Arial" w:eastAsia="Arial" w:hAnsi="Arial"/>
          <w:sz w:val="22"/>
          <w:szCs w:val="22"/>
        </w:rPr>
        <w:t xml:space="preserve">10. That with reference to paragraph 6 of the plaint, it is denied that the Defendant failed to repay any amount. It is submitted that the Defendant paid a sum of Rs. 5,00,000/- (Rupees Five Lakh only) to the Plaintiff in cash on 20th August 2024, towards part-discharge of his liability, for which the Plaintiff's proprietor had issued an acknowledgment receipt in the Defendant's favour. A true copy of the said acknowledgment receipt dated 20th August 2024 is filed herewith and marked as ANNEXURE D-1. The Plaintiff has deliberately and dishonestly suppressed this payment from this Hon'ble Court.</w:t>
      </w:r>
    </w:p>
    <w:p>
      <w:pPr>
        <w:spacing w:after="160"/>
        <w:jc w:val="both"/>
      </w:pPr>
      <w:r>
        <w:rPr>
          <w:rFonts w:ascii="Arial" w:cs="Arial" w:eastAsia="Arial" w:hAnsi="Arial"/>
          <w:sz w:val="22"/>
          <w:szCs w:val="22"/>
        </w:rPr>
        <w:t xml:space="preserve">11. That with reference to paragraphs 7 and 8 of the plaint, it is admitted that the Defendant issued the cheque referred to therein and that the same was dishonoured. However, it is submitted that the said cheque was issued for the balance amount remaining after adjustment of the part-payment of Rs. 5,00,000/- referred to in paragraph 10 above, and was issued purely as a measure of goodwill and without prejudice to the Defendant's right to adjust the set-off claim more particularly described hereinbelow; further, the cheque could not be honoured on account of a temporary, bona fide cash-flow constraint faced by the Defendant's business, and not on account of any mala fide intention to defraud the Plaintiff.</w:t>
      </w:r>
    </w:p>
    <w:p>
      <w:pPr>
        <w:spacing w:after="160"/>
        <w:jc w:val="both"/>
      </w:pPr>
      <w:r>
        <w:rPr>
          <w:rFonts w:ascii="Arial" w:cs="Arial" w:eastAsia="Arial" w:hAnsi="Arial"/>
          <w:sz w:val="22"/>
          <w:szCs w:val="22"/>
        </w:rPr>
        <w:t xml:space="preserve">12. That with reference to paragraph 9 of the plaint, receipt of the legal notice dated 2nd November 2024 is admitted. It is submitted that the Defendant did not formally reply to the said notice only because settlement discussions were ongoing telephonically between the parties at the relevant time, during which the Plaintiff's proprietor had assured the Defendant that the matter would be amicably resolved upon adjustment of the part-payment and the set-off claim referred to below; it was only upon the Plaintiff resiling from such assurance that the present suit came to be filed.</w:t>
      </w:r>
    </w:p>
    <w:p>
      <w:pPr>
        <w:spacing w:after="160"/>
        <w:jc w:val="both"/>
      </w:pPr>
      <w:r>
        <w:rPr>
          <w:rFonts w:ascii="Arial" w:cs="Arial" w:eastAsia="Arial" w:hAnsi="Arial"/>
          <w:sz w:val="22"/>
          <w:szCs w:val="22"/>
        </w:rPr>
        <w:t xml:space="preserve">13. That the contents of paragraphs 10 to 16 of the plaint, including the cause of action, jurisdiction, valuation, and the quantum claimed, are denied as being incorrect, both on account of the suppression of the part-payment of Rs. 5,00,000/- and on account of the Defendant's set-off claim set out below, and the Plaintiff is put to strict proof of each of the said averments.</w:t>
      </w:r>
    </w:p>
    <w:p>
      <w:pPr>
        <w:spacing w:after="200" w:before="200"/>
        <w:jc w:val="center"/>
      </w:pPr>
      <w:r>
        <w:rPr>
          <w:rFonts w:ascii="Arial" w:cs="Arial" w:eastAsia="Arial" w:hAnsi="Arial"/>
          <w:b/>
          <w:bCs/>
          <w:sz w:val="22"/>
          <w:szCs w:val="22"/>
        </w:rPr>
        <w:t xml:space="preserve">SET-OFF (UNDER ORDER VIII RULES 6 TO 6-G, CPC)</w:t>
      </w:r>
    </w:p>
    <w:p>
      <w:pPr>
        <w:spacing w:after="160"/>
        <w:jc w:val="both"/>
      </w:pPr>
      <w:r>
        <w:rPr>
          <w:rFonts w:ascii="Arial" w:cs="Arial" w:eastAsia="Arial" w:hAnsi="Arial"/>
          <w:sz w:val="22"/>
          <w:szCs w:val="22"/>
        </w:rPr>
        <w:t xml:space="preserve">14. That without prejudice to the foregoing, the Defendant states that he is entitled to claim a set-off of an ascertained sum of Rs. 3,00,000/- (Rupees Three Lakh only) against the Plaintiff's claim, which sum is legally recoverable by the Defendant from the Plaintiff, the parties filling the same character in the present suit as they would in a suit by the Defendant against the Plaintiff for the said amount, on the following facts:</w:t>
      </w:r>
    </w:p>
    <w:p>
      <w:pPr>
        <w:spacing w:after="160"/>
        <w:jc w:val="both"/>
      </w:pPr>
      <w:r>
        <w:rPr>
          <w:rFonts w:ascii="Arial" w:cs="Arial" w:eastAsia="Arial" w:hAnsi="Arial"/>
          <w:sz w:val="22"/>
          <w:szCs w:val="22"/>
        </w:rPr>
        <w:t xml:space="preserve">(a) That on 12th March 2024, the Defendant supplied construction hardware materials worth Rs. 3,00,000/- (Rupees Three Lakh only) to the Plaintiff firm, pursuant to an oral understanding between the parties, vide Invoice No. AKV/045 dated 12th March 2024, a true copy whereof is filed herewith and marked as ANNEXURE D-2.</w:t>
      </w:r>
    </w:p>
    <w:p>
      <w:pPr>
        <w:spacing w:after="160"/>
        <w:jc w:val="both"/>
      </w:pPr>
      <w:r>
        <w:rPr>
          <w:rFonts w:ascii="Arial" w:cs="Arial" w:eastAsia="Arial" w:hAnsi="Arial"/>
          <w:sz w:val="22"/>
          <w:szCs w:val="22"/>
        </w:rPr>
        <w:t xml:space="preserve">(b) That despite the said goods having been duly received by the Plaintiff, as evidenced by the duly signed delivery challan, a true copy of which is filed herewith and marked as ANNEXURE D-3, the Plaintiff has failed and neglected to make payment of the said invoice amount of Rs. 3,00,000/- till date, despite repeated requests made by the Defendant.</w:t>
      </w:r>
    </w:p>
    <w:p>
      <w:pPr>
        <w:spacing w:after="160"/>
        <w:jc w:val="both"/>
      </w:pPr>
      <w:r>
        <w:rPr>
          <w:rFonts w:ascii="Arial" w:cs="Arial" w:eastAsia="Arial" w:hAnsi="Arial"/>
          <w:sz w:val="22"/>
          <w:szCs w:val="22"/>
        </w:rPr>
        <w:t xml:space="preserve">(c) That the said sum of Rs. 3,00,000/- is an ascertained sum, legally recoverable by the Defendant from the Plaintiff, and does not exceed the pecuniary jurisdiction of this Hon'ble Court.</w:t>
      </w:r>
    </w:p>
    <w:p>
      <w:pPr>
        <w:spacing w:after="160"/>
        <w:jc w:val="both"/>
      </w:pPr>
      <w:r>
        <w:rPr>
          <w:rFonts w:ascii="Arial" w:cs="Arial" w:eastAsia="Arial" w:hAnsi="Arial"/>
          <w:sz w:val="22"/>
          <w:szCs w:val="22"/>
        </w:rPr>
        <w:t xml:space="preserve">15. The Defendant accordingly claims that the sum of Rs. 3,00,000/- be set off against any amount that may be found due and payable by the Defendant to the Plaintiff, and prays that this Hon'ble Court pronounce a final judgment with respect to both the original claim of the Plaintiff and the set-off claimed by the Defendant, as required under Order VIII Rule 6(2) of the Code of Civil Procedure, 1908.</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In view of the foregoing, it is most respectfully prayed that this Hon'ble Court may be pleased to:</w:t>
      </w:r>
    </w:p>
    <w:p>
      <w:pPr>
        <w:spacing w:after="160"/>
        <w:jc w:val="both"/>
      </w:pPr>
      <w:r>
        <w:rPr>
          <w:rFonts w:ascii="Arial" w:cs="Arial" w:eastAsia="Arial" w:hAnsi="Arial"/>
          <w:sz w:val="22"/>
          <w:szCs w:val="22"/>
        </w:rPr>
        <w:t xml:space="preserve">(a) dismiss the suit filed by the Plaintiff with costs;</w:t>
      </w:r>
    </w:p>
    <w:p>
      <w:pPr>
        <w:spacing w:after="160"/>
        <w:jc w:val="both"/>
      </w:pPr>
      <w:r>
        <w:rPr>
          <w:rFonts w:ascii="Arial" w:cs="Arial" w:eastAsia="Arial" w:hAnsi="Arial"/>
          <w:sz w:val="22"/>
          <w:szCs w:val="22"/>
        </w:rPr>
        <w:t xml:space="preserve">(b) in the alternative, and without prejudice to prayer (a) above, take into account the part-payment of Rs. 5,00,000/- already made by the Defendant, and the set-off of Rs. 3,00,000/- claimed by the Defendant, while computing any amount that may be found due and payable to the Plaintiff;</w:t>
      </w:r>
    </w:p>
    <w:p>
      <w:pPr>
        <w:spacing w:after="160"/>
        <w:jc w:val="both"/>
      </w:pPr>
      <w:r>
        <w:rPr>
          <w:rFonts w:ascii="Arial" w:cs="Arial" w:eastAsia="Arial" w:hAnsi="Arial"/>
          <w:sz w:val="22"/>
          <w:szCs w:val="22"/>
        </w:rPr>
        <w:t xml:space="preserve">(c) award costs of the present proceedings to the Defendant; and</w:t>
      </w:r>
    </w:p>
    <w:p>
      <w:pPr>
        <w:spacing w:after="160"/>
        <w:jc w:val="both"/>
      </w:pPr>
      <w:r>
        <w:rPr>
          <w:rFonts w:ascii="Arial" w:cs="Arial" w:eastAsia="Arial" w:hAnsi="Arial"/>
          <w:sz w:val="22"/>
          <w:szCs w:val="22"/>
        </w:rPr>
        <w:t xml:space="preserve">(d) pass such other and further order(s) as this Hon'ble Court may deem fit and proper in the interest of justice.</w:t>
      </w:r>
    </w:p>
    <w:p>
      <w:pPr>
        <w:spacing w:after="160"/>
        <w:jc w:val="both"/>
      </w:pPr>
      <w:r>
        <w:rPr>
          <w:rFonts w:ascii="Arial" w:cs="Arial" w:eastAsia="Arial" w:hAnsi="Arial"/>
          <w:sz w:val="22"/>
          <w:szCs w:val="22"/>
        </w:rPr>
        <w:t xml:space="preserve">DEFENDANT</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VERIFICATION</w:t>
      </w:r>
    </w:p>
    <w:p>
      <w:pPr>
        <w:spacing w:after="160"/>
        <w:jc w:val="both"/>
      </w:pPr>
      <w:r>
        <w:rPr>
          <w:rFonts w:ascii="Arial" w:cs="Arial" w:eastAsia="Arial" w:hAnsi="Arial"/>
          <w:sz w:val="22"/>
          <w:szCs w:val="22"/>
        </w:rPr>
        <w:t xml:space="preserve">I, Mr. Anil Kumar Verma, the Defendant above named, do hereby verify that the contents of paragraphs 1 to 15 of the above written statement are true and correct to my own knowledge, save and except those stated to be on information received and believed to be true, and the prayer clause is based on legal advice, which I believe to be correct. No part of this verification is false, and nothing material has been concealed therefrom.</w:t>
      </w:r>
    </w:p>
    <w:p>
      <w:pPr>
        <w:spacing w:after="160"/>
        <w:jc w:val="both"/>
      </w:pPr>
      <w:r>
        <w:rPr>
          <w:rFonts w:ascii="Arial" w:cs="Arial" w:eastAsia="Arial" w:hAnsi="Arial"/>
          <w:sz w:val="22"/>
          <w:szCs w:val="22"/>
        </w:rPr>
        <w:t xml:space="preserve">Verified at [City] on this _____ day of ________, 2026.</w:t>
      </w:r>
    </w:p>
    <w:p>
      <w:pPr>
        <w:spacing w:after="160"/>
        <w:jc w:val="both"/>
      </w:pPr>
      <w:r>
        <w:rPr>
          <w:rFonts w:ascii="Arial" w:cs="Arial" w:eastAsia="Arial" w:hAnsi="Arial"/>
          <w:sz w:val="22"/>
          <w:szCs w:val="22"/>
        </w:rPr>
        <w:t xml:space="preserve">DEPONENT</w:t>
      </w:r>
    </w:p>
    <w:p>
      <w:pPr>
        <w:spacing w:after="200" w:before="200"/>
        <w:jc w:val="center"/>
      </w:pPr>
      <w:r>
        <w:rPr>
          <w:rFonts w:ascii="Arial" w:cs="Arial" w:eastAsia="Arial" w:hAnsi="Arial"/>
          <w:b/>
          <w:bCs/>
          <w:sz w:val="22"/>
          <w:szCs w:val="22"/>
        </w:rPr>
        <w:t xml:space="preserve">LIST OF DOCUMENTS FILED ALONG WITH THE WRITTEN STATEMENT</w:t>
      </w:r>
    </w:p>
    <w:p>
      <w:pPr>
        <w:spacing w:after="160"/>
        <w:jc w:val="both"/>
      </w:pPr>
      <w:r>
        <w:rPr>
          <w:rFonts w:ascii="Arial" w:cs="Arial" w:eastAsia="Arial" w:hAnsi="Arial"/>
          <w:sz w:val="22"/>
          <w:szCs w:val="22"/>
        </w:rPr>
        <w:t xml:space="preserve">1. Acknowledgment receipt dated 20.8.2024 for part-payment of Rs. 5,00,000/- — Annexure D-1</w:t>
      </w:r>
    </w:p>
    <w:p>
      <w:pPr>
        <w:spacing w:after="160"/>
        <w:jc w:val="both"/>
      </w:pPr>
      <w:r>
        <w:rPr>
          <w:rFonts w:ascii="Arial" w:cs="Arial" w:eastAsia="Arial" w:hAnsi="Arial"/>
          <w:sz w:val="22"/>
          <w:szCs w:val="22"/>
        </w:rPr>
        <w:t xml:space="preserve">2. Invoice No. AKV/045 dated 12.3.2024 — Annexure D-2</w:t>
      </w:r>
    </w:p>
    <w:p>
      <w:pPr>
        <w:spacing w:after="160"/>
        <w:jc w:val="both"/>
      </w:pPr>
      <w:r>
        <w:rPr>
          <w:rFonts w:ascii="Arial" w:cs="Arial" w:eastAsia="Arial" w:hAnsi="Arial"/>
          <w:sz w:val="22"/>
          <w:szCs w:val="22"/>
        </w:rPr>
        <w:t xml:space="preserve">3. Delivery challan corresponding to Invoice No. AKV/045 — Annexure D-3</w:t>
      </w:r>
    </w:p>
    <w:p>
      <w:pPr>
        <w:spacing w:after="160"/>
        <w:jc w:val="both"/>
      </w:pPr>
      <w:r>
        <w:rPr>
          <w:rFonts w:ascii="Arial" w:cs="Arial" w:eastAsia="Arial" w:hAnsi="Arial"/>
          <w:sz w:val="22"/>
          <w:szCs w:val="22"/>
        </w:rPr>
        <w:t xml:space="preserve">4. Vakalatnama</w:t>
      </w:r>
    </w:p>
    <w:p>
      <w:r>
        <w:br w:type="page"/>
      </w:r>
    </w:p>
    <w:p>
      <w:pPr>
        <w:pStyle w:val="Heading1"/>
      </w:pPr>
      <w:r>
        <w:t xml:space="preserve">3. SUMMARY SUIT AND LEAVE TO DEFEND</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Order XXXVII of the Code of Civil Procedure, 1908 ("CPC") provides for a special, expedited procedure for the recovery of debts or liquidated demands arising from certain classes of transactions where the defendant has no substantial defence to put forth. This procedure is commonly known as a "summary suit." The rationale behind Order XXXVII is to prevent unscrupulous defendants from prolonging litigation and delaying payment of admittedly due amounts through the device of filing sham or vexatious defences, while simultaneously preserving the defendant's right to contest a claim where a genuine, triable defence exists. The procedure represents a careful legislative balance between speed of recovery for the plaintiff and the defendant's constitutional right to be heard.</w:t>
      </w:r>
    </w:p>
    <w:p>
      <w:pPr>
        <w:pStyle w:val="Heading2"/>
      </w:pPr>
      <w:r>
        <w:t xml:space="preserve">2. Suits to Which Order XXXVII Applies</w:t>
      </w:r>
    </w:p>
    <w:p>
      <w:pPr>
        <w:spacing w:after="160"/>
        <w:jc w:val="both"/>
      </w:pPr>
      <w:r>
        <w:rPr>
          <w:rFonts w:ascii="Arial" w:cs="Arial" w:eastAsia="Arial" w:hAnsi="Arial"/>
          <w:sz w:val="22"/>
          <w:szCs w:val="22"/>
        </w:rPr>
        <w:t xml:space="preserve">Order XXXVII Rule 1(2), as amended, restricts the summary procedure to the following classes of suits, filed in the High Courts, City Civil Courts, Courts of Small Causes, and other courts notified by the High Concerned State Government/High Court:</w:t>
      </w:r>
    </w:p>
    <w:p>
      <w:pPr>
        <w:spacing w:after="160"/>
        <w:ind w:left="360"/>
        <w:jc w:val="both"/>
      </w:pPr>
      <w:r>
        <w:rPr>
          <w:rFonts w:ascii="Arial" w:cs="Arial" w:eastAsia="Arial" w:hAnsi="Arial"/>
          <w:sz w:val="22"/>
          <w:szCs w:val="22"/>
        </w:rPr>
        <w:t xml:space="preserve">(a) suits upon bills of exchange, hundies, and promissory notes;</w:t>
      </w:r>
    </w:p>
    <w:p>
      <w:pPr>
        <w:spacing w:after="160"/>
        <w:jc w:val="both"/>
      </w:pPr>
      <w:r>
        <w:rPr>
          <w:rFonts w:ascii="Arial" w:cs="Arial" w:eastAsia="Arial" w:hAnsi="Arial"/>
          <w:sz w:val="22"/>
          <w:szCs w:val="22"/>
        </w:rPr>
        <w:t xml:space="preserve">(b) suits in which the plaintiff seeks only to recover a debt or liquidated demand in money payable by the defendant, arising — (i) on a written contract; (ii) on an enactment, where the sum sought to be recovered is a fixed sum of money or in the nature of a debt other than a penalty; or (iii) on a guarantee, where the claim against the principal is in respect of a debt or liquidated demand only.</w:t>
      </w:r>
    </w:p>
    <w:p>
      <w:pPr>
        <w:spacing w:after="160"/>
        <w:jc w:val="both"/>
      </w:pPr>
      <w:r>
        <w:rPr>
          <w:rFonts w:ascii="Arial" w:cs="Arial" w:eastAsia="Arial" w:hAnsi="Arial"/>
          <w:sz w:val="22"/>
          <w:szCs w:val="22"/>
        </w:rPr>
        <w:t xml:space="preserve">Importantly, the summary procedure cannot be invoked for unliquidated damages, or for claims that require a detailed inquiry into disputed questions of fact not falling within the categories above (for example, a suit for damages for breach of contract simpliciter, or specific performance, cannot ordinarily be filed as a summary suit).</w:t>
      </w:r>
    </w:p>
    <w:p>
      <w:pPr>
        <w:pStyle w:val="Heading2"/>
      </w:pPr>
      <w:r>
        <w:t xml:space="preserve">3. Rationale and Object</w:t>
      </w:r>
    </w:p>
    <w:p>
      <w:pPr>
        <w:spacing w:after="160"/>
        <w:jc w:val="both"/>
      </w:pPr>
      <w:r>
        <w:rPr>
          <w:rFonts w:ascii="Arial" w:cs="Arial" w:eastAsia="Arial" w:hAnsi="Arial"/>
          <w:sz w:val="22"/>
          <w:szCs w:val="22"/>
        </w:rPr>
        <w:t xml:space="preserve">The Supreme Court has explained that the object of Order XXXVII is to ensure an expeditious remedy in cases of urgent necessity, where delay would defeat the very purpose of the suit, particularly in commercial transactions where prompt recovery of dues is essential to the functioning of trade and commerce. At the same time, the procedure must not be used as an instrument of oppression to prevent a defendant, who has a genuine defence, from being heard; the courts have consistently emphasised that summary procedure should not be allowed to become an engine of injustice.</w:t>
      </w:r>
    </w:p>
    <w:p>
      <w:pPr>
        <w:pStyle w:val="Heading2"/>
      </w:pPr>
      <w:r>
        <w:t xml:space="preserve">4. Procedure for Institution of a Summary Suit</w:t>
      </w:r>
    </w:p>
    <w:p>
      <w:pPr>
        <w:spacing w:after="160"/>
        <w:ind w:left="360"/>
        <w:jc w:val="both"/>
      </w:pPr>
      <w:r>
        <w:rPr>
          <w:rFonts w:ascii="Arial" w:cs="Arial" w:eastAsia="Arial" w:hAnsi="Arial"/>
          <w:sz w:val="22"/>
          <w:szCs w:val="22"/>
        </w:rPr>
        <w:t xml:space="preserve">(a) </w:t>
      </w:r>
      <w:r>
        <w:rPr>
          <w:rFonts w:ascii="Arial" w:cs="Arial" w:eastAsia="Arial" w:hAnsi="Arial"/>
          <w:b/>
          <w:bCs/>
          <w:sz w:val="22"/>
          <w:szCs w:val="22"/>
        </w:rPr>
        <w:t xml:space="preserve">Plaint:</w:t>
      </w:r>
      <w:r>
        <w:rPr>
          <w:rFonts w:ascii="Arial" w:cs="Arial" w:eastAsia="Arial" w:hAnsi="Arial"/>
          <w:sz w:val="22"/>
          <w:szCs w:val="22"/>
        </w:rPr>
        <w:t xml:space="preserve"> A summary suit is instituted by presenting a plaint, which must, in addition to the ordinary requirements of Order VII, contain a specific statement that the suit is filed under Order XXXVII CPC, and must be accompanied by such documents as bills of exchange, promissory notes, or the written contract on which the claim is based.</w:t>
      </w:r>
    </w:p>
    <w:p>
      <w:pPr>
        <w:spacing w:after="160"/>
        <w:jc w:val="both"/>
      </w:pPr>
      <w:r>
        <w:rPr>
          <w:rFonts w:ascii="Arial" w:cs="Arial" w:eastAsia="Arial" w:hAnsi="Arial"/>
          <w:sz w:val="22"/>
          <w:szCs w:val="22"/>
        </w:rPr>
        <w:t xml:space="preserve">(b) </w:t>
      </w:r>
      <w:r>
        <w:rPr>
          <w:rFonts w:ascii="Arial" w:cs="Arial" w:eastAsia="Arial" w:hAnsi="Arial"/>
          <w:b/>
          <w:bCs/>
          <w:sz w:val="22"/>
          <w:szCs w:val="22"/>
        </w:rPr>
        <w:t xml:space="preserve">Summons for Judgment (Rule 2):</w:t>
      </w:r>
      <w:r>
        <w:rPr>
          <w:rFonts w:ascii="Arial" w:cs="Arial" w:eastAsia="Arial" w:hAnsi="Arial"/>
          <w:sz w:val="22"/>
          <w:szCs w:val="22"/>
        </w:rPr>
        <w:t xml:space="preserve"> In a summary suit, the defendant is not, in the first instance, entitled to defend the suit as a matter of right. The summons issued to the defendant is in the prescribed Form No. 4 of Appendix B to the CPC, and is accompanied by a copy of the plaint. The summons specifically informs the defendant that he must enter an appearance, failing which the allegations in the plaint shall be deemed to be admitted, and the plaintiff shall be entitled to a decree.</w:t>
      </w:r>
    </w:p>
    <w:p>
      <w:pPr>
        <w:spacing w:after="160"/>
        <w:jc w:val="both"/>
      </w:pPr>
      <w:r>
        <w:rPr>
          <w:rFonts w:ascii="Arial" w:cs="Arial" w:eastAsia="Arial" w:hAnsi="Arial"/>
          <w:sz w:val="22"/>
          <w:szCs w:val="22"/>
        </w:rPr>
        <w:t xml:space="preserve">(c) </w:t>
      </w:r>
      <w:r>
        <w:rPr>
          <w:rFonts w:ascii="Arial" w:cs="Arial" w:eastAsia="Arial" w:hAnsi="Arial"/>
          <w:b/>
          <w:bCs/>
          <w:sz w:val="22"/>
          <w:szCs w:val="22"/>
        </w:rPr>
        <w:t xml:space="preserve">Entry of Appearance (Rule 2 and Rule 3):</w:t>
      </w:r>
      <w:r>
        <w:rPr>
          <w:rFonts w:ascii="Arial" w:cs="Arial" w:eastAsia="Arial" w:hAnsi="Arial"/>
          <w:sz w:val="22"/>
          <w:szCs w:val="22"/>
        </w:rPr>
        <w:t xml:space="preserve"> The defendant must enter appearance within ten days of service of summons, either in person or by pleader. On entry of appearance, the defendant must be served with a summons for judgment in Form No. 4-A, supported by an affidavit verifying the cause of action and the amount claimed, and stating that, in the deponent's belief, there is no defence to the suit.</w:t>
      </w:r>
    </w:p>
    <w:p>
      <w:pPr>
        <w:spacing w:after="160"/>
        <w:ind w:left="360"/>
        <w:jc w:val="both"/>
      </w:pPr>
      <w:r>
        <w:rPr>
          <w:rFonts w:ascii="Arial" w:cs="Arial" w:eastAsia="Arial" w:hAnsi="Arial"/>
          <w:sz w:val="22"/>
          <w:szCs w:val="22"/>
        </w:rPr>
        <w:t xml:space="preserve">(d) </w:t>
      </w:r>
      <w:r>
        <w:rPr>
          <w:rFonts w:ascii="Arial" w:cs="Arial" w:eastAsia="Arial" w:hAnsi="Arial"/>
          <w:b/>
          <w:bCs/>
          <w:sz w:val="22"/>
          <w:szCs w:val="22"/>
        </w:rPr>
        <w:t xml:space="preserve">Application for Leave to Defend (Rule 3(5)):</w:t>
      </w:r>
      <w:r>
        <w:rPr>
          <w:rFonts w:ascii="Arial" w:cs="Arial" w:eastAsia="Arial" w:hAnsi="Arial"/>
          <w:sz w:val="22"/>
          <w:szCs w:val="22"/>
        </w:rPr>
        <w:t xml:space="preserve"> Within ten days of service of the summons for judgment, the defendant must apply for leave to defend the suit; such leave is granted only if the affidavit filed in support thereof discloses such facts as would make it incumbent on the court to allow the defendant to defend the suit.</w:t>
      </w:r>
    </w:p>
    <w:p>
      <w:pPr>
        <w:spacing w:after="160"/>
        <w:ind w:left="360"/>
        <w:jc w:val="both"/>
      </w:pPr>
      <w:r>
        <w:rPr>
          <w:rFonts w:ascii="Arial" w:cs="Arial" w:eastAsia="Arial" w:hAnsi="Arial"/>
          <w:sz w:val="22"/>
          <w:szCs w:val="22"/>
        </w:rPr>
        <w:t xml:space="preserve">(e) </w:t>
      </w:r>
      <w:r>
        <w:rPr>
          <w:rFonts w:ascii="Arial" w:cs="Arial" w:eastAsia="Arial" w:hAnsi="Arial"/>
          <w:b/>
          <w:bCs/>
          <w:sz w:val="22"/>
          <w:szCs w:val="22"/>
        </w:rPr>
        <w:t xml:space="preserve">Consequence of Failure to Apply for Leave to Defend, or to Appear:</w:t>
      </w:r>
      <w:r>
        <w:rPr>
          <w:rFonts w:ascii="Arial" w:cs="Arial" w:eastAsia="Arial" w:hAnsi="Arial"/>
          <w:sz w:val="22"/>
          <w:szCs w:val="22"/>
        </w:rPr>
        <w:t xml:space="preserve"> Where the defendant has not applied for leave to defend, or where leave to defend, if applied for, is refused, the plaintiff becomes entitled, forthwith, to a decree for the principal sum claimed, together with interest and costs.</w:t>
      </w:r>
    </w:p>
    <w:p>
      <w:pPr>
        <w:pStyle w:val="Heading2"/>
      </w:pPr>
      <w:r>
        <w:t xml:space="preserve">5. Grant or Refusal of Leave to Defend — The Touchstone Test</w:t>
      </w:r>
    </w:p>
    <w:p>
      <w:pPr>
        <w:spacing w:after="160"/>
        <w:jc w:val="both"/>
      </w:pPr>
      <w:r>
        <w:rPr>
          <w:rFonts w:ascii="Arial" w:cs="Arial" w:eastAsia="Arial" w:hAnsi="Arial"/>
          <w:sz w:val="22"/>
          <w:szCs w:val="22"/>
        </w:rPr>
        <w:t xml:space="preserve">The grant or refusal of leave to defend is the heart of Order XXXVII jurisprudence and is among the most frequently tested concepts in civil procedure. The classical principles, as enunciated by the courts (notably in the landmark Supreme Court rulings interpreting the precursor and present forms of Order XXXVII), can be summarised as follows:</w:t>
      </w:r>
    </w:p>
    <w:p>
      <w:pPr>
        <w:spacing w:after="160"/>
        <w:ind w:left="360"/>
        <w:jc w:val="both"/>
      </w:pPr>
      <w:r>
        <w:rPr>
          <w:rFonts w:ascii="Arial" w:cs="Arial" w:eastAsia="Arial" w:hAnsi="Arial"/>
          <w:sz w:val="22"/>
          <w:szCs w:val="22"/>
        </w:rPr>
        <w:t xml:space="preserve">(i) </w:t>
      </w:r>
      <w:r>
        <w:rPr>
          <w:rFonts w:ascii="Arial" w:cs="Arial" w:eastAsia="Arial" w:hAnsi="Arial"/>
          <w:b/>
          <w:bCs/>
          <w:sz w:val="22"/>
          <w:szCs w:val="22"/>
        </w:rPr>
        <w:t xml:space="preserve">If the defendant satisfies the court that he has a good defence to the claim on its merits</w:t>
      </w:r>
      <w:r>
        <w:rPr>
          <w:rFonts w:ascii="Arial" w:cs="Arial" w:eastAsia="Arial" w:hAnsi="Arial"/>
          <w:sz w:val="22"/>
          <w:szCs w:val="22"/>
        </w:rPr>
        <w:t xml:space="preserve">, the defendant is entitled to unconditional leave to defend.</w:t>
      </w:r>
    </w:p>
    <w:p>
      <w:pPr>
        <w:spacing w:after="160"/>
        <w:ind w:left="360"/>
        <w:jc w:val="both"/>
      </w:pPr>
      <w:r>
        <w:rPr>
          <w:rFonts w:ascii="Arial" w:cs="Arial" w:eastAsia="Arial" w:hAnsi="Arial"/>
          <w:sz w:val="22"/>
          <w:szCs w:val="22"/>
        </w:rPr>
        <w:t xml:space="preserve">(ii) </w:t>
      </w:r>
      <w:r>
        <w:rPr>
          <w:rFonts w:ascii="Arial" w:cs="Arial" w:eastAsia="Arial" w:hAnsi="Arial"/>
          <w:b/>
          <w:bCs/>
          <w:sz w:val="22"/>
          <w:szCs w:val="22"/>
        </w:rPr>
        <w:t xml:space="preserve">If the defendant raises a triable issue indicating that he has a fair or bona fide or reasonable defence</w:t>
      </w:r>
      <w:r>
        <w:rPr>
          <w:rFonts w:ascii="Arial" w:cs="Arial" w:eastAsia="Arial" w:hAnsi="Arial"/>
          <w:sz w:val="22"/>
          <w:szCs w:val="22"/>
        </w:rPr>
        <w:t xml:space="preserve">, although not a positively good defence, he is ordinarily entitled to unconditional leave.</w:t>
      </w:r>
    </w:p>
    <w:p>
      <w:pPr>
        <w:spacing w:after="160"/>
        <w:ind w:left="360"/>
        <w:jc w:val="both"/>
      </w:pPr>
      <w:r>
        <w:rPr>
          <w:rFonts w:ascii="Arial" w:cs="Arial" w:eastAsia="Arial" w:hAnsi="Arial"/>
          <w:sz w:val="22"/>
          <w:szCs w:val="22"/>
        </w:rPr>
        <w:t xml:space="preserve">(iii) </w:t>
      </w:r>
      <w:r>
        <w:rPr>
          <w:rFonts w:ascii="Arial" w:cs="Arial" w:eastAsia="Arial" w:hAnsi="Arial"/>
          <w:b/>
          <w:bCs/>
          <w:sz w:val="22"/>
          <w:szCs w:val="22"/>
        </w:rPr>
        <w:t xml:space="preserve">If the defendant discloses such facts as may be deemed sufficient to entitle him to defend</w:t>
      </w:r>
      <w:r>
        <w:rPr>
          <w:rFonts w:ascii="Arial" w:cs="Arial" w:eastAsia="Arial" w:hAnsi="Arial"/>
          <w:sz w:val="22"/>
          <w:szCs w:val="22"/>
        </w:rPr>
        <w:t xml:space="preserve">, that is, if the affidavit discloses that, at the trial, he may be able to establish a defence to the plaintiff's claim, the court may grant leave, but it may in its discretion impose conditions as to the time or mode of trial, but not as to payment into court or furnishing security.</w:t>
      </w:r>
    </w:p>
    <w:p>
      <w:pPr>
        <w:spacing w:after="160"/>
        <w:ind w:left="360"/>
        <w:jc w:val="both"/>
      </w:pPr>
      <w:r>
        <w:rPr>
          <w:rFonts w:ascii="Arial" w:cs="Arial" w:eastAsia="Arial" w:hAnsi="Arial"/>
          <w:sz w:val="22"/>
          <w:szCs w:val="22"/>
        </w:rPr>
        <w:t xml:space="preserve">(iv) </w:t>
      </w:r>
      <w:r>
        <w:rPr>
          <w:rFonts w:ascii="Arial" w:cs="Arial" w:eastAsia="Arial" w:hAnsi="Arial"/>
          <w:b/>
          <w:bCs/>
          <w:sz w:val="22"/>
          <w:szCs w:val="22"/>
        </w:rPr>
        <w:t xml:space="preserve">If the defendant has no defence, or the defence is illusory or sham, or is practically moonshine</w:t>
      </w:r>
      <w:r>
        <w:rPr>
          <w:rFonts w:ascii="Arial" w:cs="Arial" w:eastAsia="Arial" w:hAnsi="Arial"/>
          <w:sz w:val="22"/>
          <w:szCs w:val="22"/>
        </w:rPr>
        <w:t xml:space="preserve">, leave to defend is to be refused, and the plaintiff is entitled to judgment forthwith.</w:t>
      </w:r>
    </w:p>
    <w:p>
      <w:pPr>
        <w:spacing w:after="160"/>
        <w:ind w:left="360"/>
        <w:jc w:val="both"/>
      </w:pPr>
      <w:r>
        <w:rPr>
          <w:rFonts w:ascii="Arial" w:cs="Arial" w:eastAsia="Arial" w:hAnsi="Arial"/>
          <w:sz w:val="22"/>
          <w:szCs w:val="22"/>
        </w:rPr>
        <w:t xml:space="preserve">(v) </w:t>
      </w:r>
      <w:r>
        <w:rPr>
          <w:rFonts w:ascii="Arial" w:cs="Arial" w:eastAsia="Arial" w:hAnsi="Arial"/>
          <w:b/>
          <w:bCs/>
          <w:sz w:val="22"/>
          <w:szCs w:val="22"/>
        </w:rPr>
        <w:t xml:space="preserve">If the defendant has no defence, or the defence is illusory or sham, but is intended merely to prolong the litigation</w:t>
      </w:r>
      <w:r>
        <w:rPr>
          <w:rFonts w:ascii="Arial" w:cs="Arial" w:eastAsia="Arial" w:hAnsi="Arial"/>
          <w:sz w:val="22"/>
          <w:szCs w:val="22"/>
        </w:rPr>
        <w:t xml:space="preserve">, the court may show mercy to the defendant only by enabling him to try his luck, but subject to such terms as payment into court or furnishing security, since otherwise the very purpose of Order XXXVII would stand defeated.</w:t>
      </w:r>
    </w:p>
    <w:p>
      <w:pPr>
        <w:spacing w:after="160"/>
        <w:jc w:val="both"/>
      </w:pPr>
      <w:r>
        <w:rPr>
          <w:rFonts w:ascii="Arial" w:cs="Arial" w:eastAsia="Arial" w:hAnsi="Arial"/>
          <w:sz w:val="22"/>
          <w:szCs w:val="22"/>
        </w:rPr>
        <w:t xml:space="preserve">These principles, originally laid down by English courts and adapted by Indian courts, have been authoritatively restated by the Supreme Court (notably in cases concerning summary suits on promissory notes and cheques), and have crystallised into the following oft-cited categories of cases, broadly correlating leave with the strength of the disclosed defence:</w:t>
      </w:r>
    </w:p>
    <w:p>
      <w:pPr>
        <w:spacing w:after="160"/>
        <w:jc w:val="both"/>
      </w:pPr>
      <w:r>
        <w:rPr>
          <w:rFonts w:ascii="Arial" w:cs="Arial" w:eastAsia="Arial" w:hAnsi="Arial"/>
          <w:sz w:val="22"/>
          <w:szCs w:val="22"/>
        </w:rPr>
        <w:t xml:space="preserve">- Defence which is plausible but improbable — unconditional leave may be refused; conditional leave (e.g., security) may be granted.</w:t>
      </w:r>
    </w:p>
    <w:p>
      <w:pPr>
        <w:spacing w:after="160"/>
        <w:jc w:val="both"/>
      </w:pPr>
      <w:r>
        <w:rPr>
          <w:rFonts w:ascii="Arial" w:cs="Arial" w:eastAsia="Arial" w:hAnsi="Arial"/>
          <w:sz w:val="22"/>
          <w:szCs w:val="22"/>
        </w:rPr>
        <w:t xml:space="preserve">- Defence based on facts disclosed but uncertain, requiring the court's discretion considering all circumstances.</w:t>
      </w:r>
    </w:p>
    <w:p>
      <w:pPr>
        <w:spacing w:after="160"/>
        <w:jc w:val="both"/>
      </w:pPr>
      <w:r>
        <w:rPr>
          <w:rFonts w:ascii="Arial" w:cs="Arial" w:eastAsia="Arial" w:hAnsi="Arial"/>
          <w:sz w:val="22"/>
          <w:szCs w:val="22"/>
        </w:rPr>
        <w:t xml:space="preserve">- Defence merely raising triable issues — court must give leave, generally unconditionally.</w:t>
      </w:r>
    </w:p>
    <w:p>
      <w:pPr>
        <w:spacing w:after="160"/>
        <w:jc w:val="both"/>
      </w:pPr>
      <w:r>
        <w:rPr>
          <w:rFonts w:ascii="Arial" w:cs="Arial" w:eastAsia="Arial" w:hAnsi="Arial"/>
          <w:sz w:val="22"/>
          <w:szCs w:val="22"/>
        </w:rPr>
        <w:t xml:space="preserve">- Triable issue with the court of opinion that defence is not likely to succeed — leave may be given conditional upon deposit or furnishing security.</w:t>
      </w:r>
    </w:p>
    <w:p>
      <w:pPr>
        <w:pStyle w:val="Heading2"/>
      </w:pPr>
      <w:r>
        <w:t xml:space="preserve">6. Amendment by the CPC (Amendment) Act, 2002</w:t>
      </w:r>
    </w:p>
    <w:p>
      <w:pPr>
        <w:spacing w:after="160"/>
        <w:jc w:val="both"/>
      </w:pPr>
      <w:r>
        <w:rPr>
          <w:rFonts w:ascii="Arial" w:cs="Arial" w:eastAsia="Arial" w:hAnsi="Arial"/>
          <w:sz w:val="22"/>
          <w:szCs w:val="22"/>
        </w:rPr>
        <w:t xml:space="preserve">The 2002 amendment to Order XXXVII brought important changes:</w:t>
      </w:r>
    </w:p>
    <w:p>
      <w:pPr>
        <w:spacing w:after="160"/>
        <w:ind w:left="360"/>
        <w:jc w:val="both"/>
      </w:pPr>
      <w:r>
        <w:rPr>
          <w:rFonts w:ascii="Arial" w:cs="Arial" w:eastAsia="Arial" w:hAnsi="Arial"/>
          <w:sz w:val="22"/>
          <w:szCs w:val="22"/>
        </w:rPr>
        <w:t xml:space="preserve">(a) The time for entering appearance was reduced and the procedure made more efficient.</w:t>
      </w:r>
    </w:p>
    <w:p>
      <w:pPr>
        <w:spacing w:after="160"/>
        <w:jc w:val="both"/>
      </w:pPr>
      <w:r>
        <w:rPr>
          <w:rFonts w:ascii="Arial" w:cs="Arial" w:eastAsia="Arial" w:hAnsi="Arial"/>
          <w:sz w:val="22"/>
          <w:szCs w:val="22"/>
        </w:rPr>
        <w:t xml:space="preserve">(b) Sub-rule (7) of Rule 3 now expressly provides that at the hearing of the summons for judgment, if the defendant has not applied for leave to defend, or if such leave is refused, the plaintiff is entitled to judgment forthwith; and if the defendant is permitted to defend as to the whole or any part of the claim, the court may direct him to give such security and within such time as it thinks fit, and that, upon compliance, the suit (or such part as is permitted to be defended) shall proceed as an ordinary suit.</w:t>
      </w:r>
    </w:p>
    <w:p>
      <w:pPr>
        <w:spacing w:after="160"/>
        <w:ind w:left="360"/>
        <w:jc w:val="both"/>
      </w:pPr>
      <w:r>
        <w:rPr>
          <w:rFonts w:ascii="Arial" w:cs="Arial" w:eastAsia="Arial" w:hAnsi="Arial"/>
          <w:sz w:val="22"/>
          <w:szCs w:val="22"/>
        </w:rPr>
        <w:t xml:space="preserve">(c) The amendment also made the affidavit accompanying the summons for judgment, and the affidavit in support of the application for leave to defend, central evidentiary documents on which the court bases its decision at this preliminary stage — the court does not, at this stage, conduct a mini-trial, but examines whether triable issues are disclosed on the face of the affidavits and documents.</w:t>
      </w:r>
    </w:p>
    <w:p>
      <w:pPr>
        <w:pStyle w:val="Heading2"/>
      </w:pPr>
      <w:r>
        <w:t xml:space="preserve">7. Effect of Decree under Order XXXVII</w:t>
      </w:r>
    </w:p>
    <w:p>
      <w:pPr>
        <w:spacing w:after="160"/>
        <w:jc w:val="both"/>
      </w:pPr>
      <w:r>
        <w:rPr>
          <w:rFonts w:ascii="Arial" w:cs="Arial" w:eastAsia="Arial" w:hAnsi="Arial"/>
          <w:sz w:val="22"/>
          <w:szCs w:val="22"/>
        </w:rPr>
        <w:t xml:space="preserve">Where the defendant fails to enter appearance, fails to apply for leave to defend, or where leave is refused, the decree passed is a decree like any other decree of a civil court and is executable in the ordinary manner under Order XXI CPC; it does not enjoy any lesser sanctity merely because it was passed in a summary proceeding. Where leave to defend is granted (with or without conditions), the suit thereafter proceeds substantially as an ordinary suit — written statement (in substance, the affidavit and pleadings already on record), framing of issues, recording of evidence, and final hearing.</w:t>
      </w:r>
    </w:p>
    <w:p>
      <w:pPr>
        <w:pStyle w:val="Heading2"/>
      </w:pPr>
      <w:r>
        <w:t xml:space="preserve">8. Distinction Between Summary Suit and Ordinary Suit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Ordinary Suit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Summary Suit (Order XXXVII)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to defend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Defendant has unconditional right to file written statement and defend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Defendant must obtain leave to defend; no automatic right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civil claims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Restricted to bills of exchange, promissory notes, hundies, and certain debts/liquidated demands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timeline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Expedited; defendant must act within 10 days at each stage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Consequence of default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 parte proceedings, but defendant may still seek to set aside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Decree follows automatically and is harder to reopen</w:t>
            </w:r>
          </w:p>
        </w:tc>
      </w:tr>
    </w:tbl>
    <w:p>
      <w:pPr>
        <w:spacing w:after="120"/>
      </w:pPr>
    </w:p>
    <w:p>
      <w:pPr>
        <w:pStyle w:val="Heading2"/>
      </w:pPr>
      <w:r>
        <w:t xml:space="preserve">9. Setting Aside Decree under Order XXXVII</w:t>
      </w:r>
    </w:p>
    <w:p>
      <w:pPr>
        <w:spacing w:after="160"/>
        <w:jc w:val="both"/>
      </w:pPr>
      <w:r>
        <w:rPr>
          <w:rFonts w:ascii="Arial" w:cs="Arial" w:eastAsia="Arial" w:hAnsi="Arial"/>
          <w:sz w:val="22"/>
          <w:szCs w:val="22"/>
        </w:rPr>
        <w:t xml:space="preserve">Rule 4 of Order XXXVII empowers the court, in special circumstances, to set aside a decree passed under Order XXXVII and, if necessary, stay or set aside execution, and may give leave to the defendant to appear and defend the suit, if it considers it reasonable so to do, and on such terms as it thinks fit, where it is satisfied that the decree should be set aside. This is distinct from, though sometimes invoked alongside, an application under Order IX Rule 13 (setting aside ex parte decree) in cases where the defendant did not enter appearance at all.</w:t>
      </w:r>
    </w:p>
    <w:p>
      <w:pPr>
        <w:pStyle w:val="Heading2"/>
      </w:pPr>
      <w:r>
        <w:t xml:space="preserve">10. Conclusion</w:t>
      </w:r>
    </w:p>
    <w:p>
      <w:pPr>
        <w:spacing w:after="160"/>
        <w:jc w:val="both"/>
      </w:pPr>
      <w:r>
        <w:rPr>
          <w:rFonts w:ascii="Arial" w:cs="Arial" w:eastAsia="Arial" w:hAnsi="Arial"/>
          <w:sz w:val="22"/>
          <w:szCs w:val="22"/>
        </w:rPr>
        <w:t xml:space="preserve">The summary suit procedure under Order XXXVII is a vital tool for commercial creditors seeking prompt recovery of money due on negotiable instruments and written contracts, and it strikes a careful balance between expedition and fairness. From an examination and practical standpoint, the most important skill is to correctly identify (i) whether the claim falls within the categories enumerated in Rule 1(2); (ii) to correctly draft the plaint with the requisite averment that it is filed under Order XXXVII; (iii) to correctly draft and verify the affidavit accompanying the summons for judgment; and, from the defendant's perspective, (iv) to draft an affidavit in support of the application for leave to defend that discloses a triable defence with sufficient particularity to cross the threshold laid down by the courts, since a vague or unsubstantiated defence will not suffice to secure leave.</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(A) DRAFT SUMMARY SUIT UNDER ORDER XXXVII CPC ON A DISHONOURED PROMISSORY NOTE, AND (B) DRAFT APPLICATION FOR LEAVE TO DEFEND</w:t>
      </w:r>
    </w:p>
    <w:p>
      <w:pPr>
        <w:spacing w:after="300"/>
        <w:jc w:val="center"/>
      </w:pPr>
      <w:r>
        <w:rPr>
          <w:rFonts w:ascii="Arial" w:cs="Arial" w:eastAsia="Arial" w:hAnsi="Arial"/>
          <w:i/>
          <w:iCs/>
          <w:sz w:val="20"/>
          <w:szCs w:val="20"/>
        </w:rPr>
        <w:t xml:space="preserve">(Presumed Facts: M/s Bright Traders has filed a summary suit against Mr. Suresh Patil for recovery of Rs. 8,00,000/- due on a promissory note dated 1st February 2024. Summons for judgment has been served on the Defendant, who now wishes to apply for leave to defend on the ground that the promissory note was obtained under coercion and that part-payment has already been made.)</w:t>
      </w:r>
    </w:p>
    <w:p>
      <w:pPr>
        <w:spacing w:after="200" w:before="200"/>
        <w:jc w:val="center"/>
      </w:pPr>
      <w:r>
        <w:rPr>
          <w:rFonts w:ascii="Arial" w:cs="Arial" w:eastAsia="Arial" w:hAnsi="Arial"/>
          <w:b/>
          <w:bCs/>
          <w:sz w:val="22"/>
          <w:szCs w:val="22"/>
        </w:rPr>
        <w:t xml:space="preserve">PART A — PLAINT IN SUMMARY SUIT</w:t>
      </w:r>
    </w:p>
    <w:p>
      <w:pPr>
        <w:spacing w:after="200" w:before="200"/>
        <w:jc w:val="center"/>
      </w:pPr>
      <w:r>
        <w:rPr>
          <w:rFonts w:ascii="Arial" w:cs="Arial" w:eastAsia="Arial" w:hAnsi="Arial"/>
          <w:b/>
          <w:bCs/>
          <w:sz w:val="22"/>
          <w:szCs w:val="22"/>
        </w:rPr>
        <w:t xml:space="preserve">IN THE COURT OF THE CIVIL JUDGE (SENIOR DIVISION), AT [CITY]</w:t>
      </w:r>
    </w:p>
    <w:p>
      <w:pPr>
        <w:spacing w:after="160"/>
        <w:jc w:val="both"/>
      </w:pPr>
      <w:r>
        <w:rPr>
          <w:rFonts w:ascii="Arial" w:cs="Arial" w:eastAsia="Arial" w:hAnsi="Arial"/>
          <w:sz w:val="22"/>
          <w:szCs w:val="22"/>
        </w:rPr>
        <w:t xml:space="preserve">Summary Suit No. _____ of 2026</w:t>
      </w:r>
    </w:p>
    <w:p>
      <w:pPr>
        <w:spacing w:after="160"/>
        <w:jc w:val="both"/>
      </w:pPr>
      <w:r>
        <w:rPr>
          <w:rFonts w:ascii="Arial" w:cs="Arial" w:eastAsia="Arial" w:hAnsi="Arial"/>
          <w:sz w:val="22"/>
          <w:szCs w:val="22"/>
        </w:rPr>
        <w:t xml:space="preserve">(Filed under Order XXXVII of the Code of Civil Procedure, 1908)</w:t>
      </w:r>
    </w:p>
    <w:p>
      <w:pPr>
        <w:spacing w:after="160"/>
        <w:jc w:val="both"/>
      </w:pPr>
      <w:r>
        <w:rPr>
          <w:rFonts w:ascii="Arial" w:cs="Arial" w:eastAsia="Arial" w:hAnsi="Arial"/>
          <w:sz w:val="22"/>
          <w:szCs w:val="22"/>
        </w:rPr>
        <w:t xml:space="preserve">M/s Bright Traders, through its partner, Mr. Vinod Joshi ..........................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Suresh Patil ........................................................................ DEFENDANT</w:t>
      </w:r>
    </w:p>
    <w:p>
      <w:pPr>
        <w:spacing w:after="160"/>
        <w:jc w:val="both"/>
      </w:pPr>
      <w:r>
        <w:rPr>
          <w:rFonts w:ascii="Arial" w:cs="Arial" w:eastAsia="Arial" w:hAnsi="Arial"/>
          <w:sz w:val="22"/>
          <w:szCs w:val="22"/>
        </w:rPr>
        <w:t xml:space="preserve">SUIT FOR RECOVERY OF RS. 8,00,000/- UNDER ORDER XXXVII OF THE CODE OF CIVIL PROCEDURE, 1908, ON THE BASIS OF A PROMISSORY NOTE</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present suit is filed under the summary procedure prescribed by Order XXXVII of the Code of Civil Procedure, 1908, the claim being founded upon a promissory note, which falls squarely within the categories of suits enumerated under Order XXXVII Rule 1(2) CPC.</w:t>
      </w:r>
    </w:p>
    <w:p>
      <w:pPr>
        <w:spacing w:after="160"/>
        <w:jc w:val="both"/>
      </w:pPr>
      <w:r>
        <w:rPr>
          <w:rFonts w:ascii="Arial" w:cs="Arial" w:eastAsia="Arial" w:hAnsi="Arial"/>
          <w:sz w:val="22"/>
          <w:szCs w:val="22"/>
        </w:rPr>
        <w:t xml:space="preserve">2. That the Defendant, for valuable consideration received, executed and delivered to the Plaintiff a promissory note dated 1st February 2024 for a sum of Rs. 8,00,000/- (Rupees Eight Lakh only), promising to pay the said sum to the Plaintiff on demand, together with interest at 12% per annum. A true copy of the said promissory note is filed herewith and marked as ANNEXURE P-1.</w:t>
      </w:r>
    </w:p>
    <w:p>
      <w:pPr>
        <w:spacing w:after="160"/>
        <w:jc w:val="both"/>
      </w:pPr>
      <w:r>
        <w:rPr>
          <w:rFonts w:ascii="Arial" w:cs="Arial" w:eastAsia="Arial" w:hAnsi="Arial"/>
          <w:sz w:val="22"/>
          <w:szCs w:val="22"/>
        </w:rPr>
        <w:t xml:space="preserve">3. That despite repeated demands made by the Plaintiff upon the Defendant, both orally and in writing, the Defendant has failed and neglected to pay the amount due under the said promissory note.</w:t>
      </w:r>
    </w:p>
    <w:p>
      <w:pPr>
        <w:spacing w:after="160"/>
        <w:jc w:val="both"/>
      </w:pPr>
      <w:r>
        <w:rPr>
          <w:rFonts w:ascii="Arial" w:cs="Arial" w:eastAsia="Arial" w:hAnsi="Arial"/>
          <w:sz w:val="22"/>
          <w:szCs w:val="22"/>
        </w:rPr>
        <w:t xml:space="preserve">4. That the Plaintiff issued a legal notice of demand dated 10th December 2024, calling upon the Defendant to pay the said sum within fifteen days, which notice was duly served upon the Defendant, but evoked no response and no payment. A true copy of the said legal notice along with postal proof of service is filed herewith and marked as ANNEXURE P-2 (Colly.).</w:t>
      </w:r>
    </w:p>
    <w:p>
      <w:pPr>
        <w:spacing w:after="160"/>
        <w:jc w:val="both"/>
      </w:pPr>
      <w:r>
        <w:rPr>
          <w:rFonts w:ascii="Arial" w:cs="Arial" w:eastAsia="Arial" w:hAnsi="Arial"/>
          <w:sz w:val="22"/>
          <w:szCs w:val="22"/>
        </w:rPr>
        <w:t xml:space="preserve">5. That the cause of action for the present suit arose on 1st February 2024, when the promissory note was executed and the amount became payable on demand, and further arose upon expiry of the period of fifteen days from service of the legal notice dated 10th December 2024, i.e., with effect from on or about 28th December 2024, and the suit is filed within the period of limitation prescribed by law.</w:t>
      </w:r>
    </w:p>
    <w:p>
      <w:pPr>
        <w:spacing w:after="160"/>
        <w:jc w:val="both"/>
      </w:pPr>
      <w:r>
        <w:rPr>
          <w:rFonts w:ascii="Arial" w:cs="Arial" w:eastAsia="Arial" w:hAnsi="Arial"/>
          <w:sz w:val="22"/>
          <w:szCs w:val="22"/>
        </w:rPr>
        <w:t xml:space="preserve">6. That this Hon'ble Court has the requisite territorial and pecuniary jurisdiction to entertain the present suit, the Defendant residing within, and the promissory note having been executed within, the local limits of the jurisdiction of this Hon'ble Court, and the value of the suit being within the pecuniary jurisdiction of this Hon'ble Court.</w:t>
      </w:r>
    </w:p>
    <w:p>
      <w:pPr>
        <w:spacing w:after="160"/>
        <w:jc w:val="both"/>
      </w:pPr>
      <w:r>
        <w:rPr>
          <w:rFonts w:ascii="Arial" w:cs="Arial" w:eastAsia="Arial" w:hAnsi="Arial"/>
          <w:sz w:val="22"/>
          <w:szCs w:val="22"/>
        </w:rPr>
        <w:t xml:space="preserve">7. That the value of the suit for purposes of court fee and jurisdiction is fixed at Rs. 8,00,000/-, together with interest claimed, and court fee has been duly paid thereon.</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pass a decree for Rs. 8,00,000/- together with interest at 12% per annum from 1st February 2024 till realisation, in favour of the Plaintiff and against the Defendant;</w:t>
      </w:r>
    </w:p>
    <w:p>
      <w:pPr>
        <w:spacing w:after="160"/>
        <w:jc w:val="both"/>
      </w:pPr>
      <w:r>
        <w:rPr>
          <w:rFonts w:ascii="Arial" w:cs="Arial" w:eastAsia="Arial" w:hAnsi="Arial"/>
          <w:sz w:val="22"/>
          <w:szCs w:val="22"/>
        </w:rPr>
        <w:t xml:space="preserve">(b) award costs of the suit; and</w:t>
      </w:r>
    </w:p>
    <w:p>
      <w:pPr>
        <w:spacing w:after="160"/>
        <w:jc w:val="both"/>
      </w:pPr>
      <w:r>
        <w:rPr>
          <w:rFonts w:ascii="Arial" w:cs="Arial" w:eastAsia="Arial" w:hAnsi="Arial"/>
          <w:sz w:val="22"/>
          <w:szCs w:val="22"/>
        </w:rPr>
        <w:t xml:space="preserve">(c) pass such other order(s) as this Hon'ble Court may deem fit.</w:t>
      </w:r>
    </w:p>
    <w:p>
      <w:pPr>
        <w:spacing w:after="160"/>
        <w:jc w:val="both"/>
      </w:pPr>
      <w:r>
        <w:rPr>
          <w:rFonts w:ascii="Arial" w:cs="Arial" w:eastAsia="Arial" w:hAnsi="Arial"/>
          <w:sz w:val="22"/>
          <w:szCs w:val="22"/>
        </w:rPr>
        <w:t xml:space="preserve">PLAINTIFF</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VERIFICATION</w:t>
      </w:r>
    </w:p>
    <w:p>
      <w:pPr>
        <w:spacing w:after="160"/>
        <w:jc w:val="both"/>
      </w:pPr>
      <w:r>
        <w:rPr>
          <w:rFonts w:ascii="Arial" w:cs="Arial" w:eastAsia="Arial" w:hAnsi="Arial"/>
          <w:sz w:val="22"/>
          <w:szCs w:val="22"/>
        </w:rPr>
        <w:t xml:space="preserve">Verified at [City] on this _____ day of ________, 2026, that the contents of paragraphs 1 to 7 above are true to my knowledge and belief.</w:t>
      </w:r>
    </w:p>
    <w:p>
      <w:pPr>
        <w:spacing w:after="160"/>
        <w:jc w:val="both"/>
      </w:pPr>
      <w:r>
        <w:rPr>
          <w:rFonts w:ascii="Arial" w:cs="Arial" w:eastAsia="Arial" w:hAnsi="Arial"/>
          <w:sz w:val="22"/>
          <w:szCs w:val="22"/>
        </w:rPr>
        <w:t xml:space="preserve">DEPONENT</w:t>
      </w:r>
    </w:p>
    <w:p>
      <w:pPr>
        <w:spacing w:after="200" w:before="200"/>
        <w:jc w:val="center"/>
      </w:pPr>
      <w:r>
        <w:rPr>
          <w:rFonts w:ascii="Arial" w:cs="Arial" w:eastAsia="Arial" w:hAnsi="Arial"/>
          <w:b/>
          <w:bCs/>
          <w:sz w:val="22"/>
          <w:szCs w:val="22"/>
        </w:rPr>
        <w:t xml:space="preserve">PART B — AFFIDAVIT IN SUPPORT OF SUMMONS FOR JUDGMENT</w:t>
      </w:r>
    </w:p>
    <w:p>
      <w:pPr>
        <w:spacing w:after="160"/>
        <w:jc w:val="both"/>
      </w:pPr>
      <w:r>
        <w:rPr>
          <w:rFonts w:ascii="Arial" w:cs="Arial" w:eastAsia="Arial" w:hAnsi="Arial"/>
          <w:sz w:val="22"/>
          <w:szCs w:val="22"/>
        </w:rPr>
        <w:t xml:space="preserve">(To be filed by the Plaintiff under Order XXXVII Rule 3(2))</w:t>
      </w:r>
    </w:p>
    <w:p>
      <w:pPr>
        <w:spacing w:after="160"/>
        <w:jc w:val="both"/>
      </w:pPr>
      <w:r>
        <w:rPr>
          <w:rFonts w:ascii="Arial" w:cs="Arial" w:eastAsia="Arial" w:hAnsi="Arial"/>
          <w:sz w:val="22"/>
          <w:szCs w:val="22"/>
        </w:rPr>
        <w:t xml:space="preserve">I, Mr. Vinod Joshi, partner of M/s Bright Traders, do hereby solemnly affirm and state as under:</w:t>
      </w:r>
    </w:p>
    <w:p>
      <w:pPr>
        <w:spacing w:after="160"/>
        <w:jc w:val="both"/>
      </w:pPr>
      <w:r>
        <w:rPr>
          <w:rFonts w:ascii="Arial" w:cs="Arial" w:eastAsia="Arial" w:hAnsi="Arial"/>
          <w:sz w:val="22"/>
          <w:szCs w:val="22"/>
        </w:rPr>
        <w:t xml:space="preserve">1. That I am the partner of the Plaintiff firm and am well conversant with the facts of the case and competent to swear this affidavit.</w:t>
      </w:r>
    </w:p>
    <w:p>
      <w:pPr>
        <w:spacing w:after="160"/>
        <w:jc w:val="both"/>
      </w:pPr>
      <w:r>
        <w:rPr>
          <w:rFonts w:ascii="Arial" w:cs="Arial" w:eastAsia="Arial" w:hAnsi="Arial"/>
          <w:sz w:val="22"/>
          <w:szCs w:val="22"/>
        </w:rPr>
        <w:t xml:space="preserve">2. That the suit is filed for recovery of Rs. 8,00,000/- together with interest, due and payable by the Defendant under the promissory note dated 1st February 2024, true copy whereof is Annexure P-1 to the plaint.</w:t>
      </w:r>
    </w:p>
    <w:p>
      <w:pPr>
        <w:spacing w:after="160"/>
        <w:jc w:val="both"/>
      </w:pPr>
      <w:r>
        <w:rPr>
          <w:rFonts w:ascii="Arial" w:cs="Arial" w:eastAsia="Arial" w:hAnsi="Arial"/>
          <w:sz w:val="22"/>
          <w:szCs w:val="22"/>
        </w:rPr>
        <w:t xml:space="preserve">3. That, in my belief, there is no defence to the suit, and the Defendant has no genuine ground to contest the claim of the Plaintiff.</w:t>
      </w:r>
    </w:p>
    <w:p>
      <w:pPr>
        <w:spacing w:after="160"/>
        <w:jc w:val="both"/>
      </w:pPr>
      <w:r>
        <w:rPr>
          <w:rFonts w:ascii="Arial" w:cs="Arial" w:eastAsia="Arial" w:hAnsi="Arial"/>
          <w:sz w:val="22"/>
          <w:szCs w:val="22"/>
        </w:rPr>
        <w:t xml:space="preserve">DEPONENT (Verified/Sworn before Notary/Oath Commissioner)</w:t>
      </w:r>
    </w:p>
    <w:p>
      <w:pPr>
        <w:spacing w:after="200" w:before="200"/>
        <w:jc w:val="center"/>
      </w:pPr>
      <w:r>
        <w:rPr>
          <w:rFonts w:ascii="Arial" w:cs="Arial" w:eastAsia="Arial" w:hAnsi="Arial"/>
          <w:b/>
          <w:bCs/>
          <w:sz w:val="22"/>
          <w:szCs w:val="22"/>
        </w:rPr>
        <w:t xml:space="preserve">PART C — APPLICATION FOR LEAVE TO DEFEND ON BEHALF OF THE DEFENDANT</w:t>
      </w:r>
    </w:p>
    <w:p>
      <w:pPr>
        <w:spacing w:after="160"/>
        <w:jc w:val="both"/>
      </w:pPr>
      <w:r>
        <w:rPr>
          <w:rFonts w:ascii="Arial" w:cs="Arial" w:eastAsia="Arial" w:hAnsi="Arial"/>
          <w:sz w:val="22"/>
          <w:szCs w:val="22"/>
        </w:rPr>
        <w:t xml:space="preserve">(Under Order XXXVII Rule 3(5) of the Code of Civil Procedure, 1908)</w:t>
      </w:r>
    </w:p>
    <w:p>
      <w:pPr>
        <w:spacing w:after="200" w:before="200"/>
        <w:jc w:val="center"/>
      </w:pPr>
      <w:r>
        <w:rPr>
          <w:rFonts w:ascii="Arial" w:cs="Arial" w:eastAsia="Arial" w:hAnsi="Arial"/>
          <w:b/>
          <w:bCs/>
          <w:sz w:val="22"/>
          <w:szCs w:val="22"/>
        </w:rPr>
        <w:t xml:space="preserve">IN THE COURT OF THE CIVIL JUDGE (SENIOR DIVISION), AT [CITY]</w:t>
      </w:r>
    </w:p>
    <w:p>
      <w:pPr>
        <w:spacing w:after="160"/>
        <w:jc w:val="both"/>
      </w:pPr>
      <w:r>
        <w:rPr>
          <w:rFonts w:ascii="Arial" w:cs="Arial" w:eastAsia="Arial" w:hAnsi="Arial"/>
          <w:sz w:val="22"/>
          <w:szCs w:val="22"/>
        </w:rPr>
        <w:t xml:space="preserve">Summary Suit No. _____ of 2026</w:t>
      </w:r>
    </w:p>
    <w:p>
      <w:pPr>
        <w:spacing w:after="160"/>
        <w:jc w:val="both"/>
      </w:pPr>
      <w:r>
        <w:rPr>
          <w:rFonts w:ascii="Arial" w:cs="Arial" w:eastAsia="Arial" w:hAnsi="Arial"/>
          <w:sz w:val="22"/>
          <w:szCs w:val="22"/>
        </w:rPr>
        <w:t xml:space="preserve">M/s Bright Traders .....................................................................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Suresh Patil ........................................................................ DEFENDANT</w:t>
      </w:r>
    </w:p>
    <w:p>
      <w:pPr>
        <w:spacing w:after="200" w:before="200"/>
        <w:jc w:val="center"/>
      </w:pPr>
      <w:r>
        <w:rPr>
          <w:rFonts w:ascii="Arial" w:cs="Arial" w:eastAsia="Arial" w:hAnsi="Arial"/>
          <w:b/>
          <w:bCs/>
          <w:sz w:val="22"/>
          <w:szCs w:val="22"/>
        </w:rPr>
        <w:t xml:space="preserve">APPLICATION FOR LEAVE TO DEFEND THE SUIT</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Plaintiff has instituted the present summary suit under Order XXXVII CPC for recovery of Rs. 8,00,000/- on the basis of an alleged promissory note dated 1st February 2024.</w:t>
      </w:r>
    </w:p>
    <w:p>
      <w:pPr>
        <w:spacing w:after="160"/>
        <w:jc w:val="both"/>
      </w:pPr>
      <w:r>
        <w:rPr>
          <w:rFonts w:ascii="Arial" w:cs="Arial" w:eastAsia="Arial" w:hAnsi="Arial"/>
          <w:sz w:val="22"/>
          <w:szCs w:val="22"/>
        </w:rPr>
        <w:t xml:space="preserve">2. That the Defendant has entered appearance within the prescribed time and has been served with the summons for judgment along with the supporting affidavit of the Plaintiff.</w:t>
      </w:r>
    </w:p>
    <w:p>
      <w:pPr>
        <w:spacing w:after="160"/>
        <w:jc w:val="both"/>
      </w:pPr>
      <w:r>
        <w:rPr>
          <w:rFonts w:ascii="Arial" w:cs="Arial" w:eastAsia="Arial" w:hAnsi="Arial"/>
          <w:sz w:val="22"/>
          <w:szCs w:val="22"/>
        </w:rPr>
        <w:t xml:space="preserve">3. That the Defendant has a substantial, bona fide, and triable defence to the suit, as set out hereunder, and is, therefore, entitled to unconditional leave to defend the suit; in the alternative, the facts disclosed herein are sufficient to entitle the Defendant to leave to defend, even if subject to conditions.</w:t>
      </w:r>
    </w:p>
    <w:p>
      <w:pPr>
        <w:spacing w:after="160"/>
        <w:jc w:val="both"/>
      </w:pPr>
      <w:r>
        <w:rPr>
          <w:rFonts w:ascii="Arial" w:cs="Arial" w:eastAsia="Arial" w:hAnsi="Arial"/>
          <w:sz w:val="22"/>
          <w:szCs w:val="22"/>
        </w:rPr>
        <w:t xml:space="preserve">4. That it is denied that any sum of Rs. 8,00,000/- is due and payable by the Defendant to the Plaintiff in the manner alleged. The true facts are as follows:</w:t>
      </w:r>
    </w:p>
    <w:p>
      <w:pPr>
        <w:spacing w:after="160"/>
        <w:jc w:val="both"/>
      </w:pPr>
      <w:r>
        <w:rPr>
          <w:rFonts w:ascii="Arial" w:cs="Arial" w:eastAsia="Arial" w:hAnsi="Arial"/>
          <w:sz w:val="22"/>
          <w:szCs w:val="22"/>
        </w:rPr>
        <w:t xml:space="preserve">(a) That the Defendant had taken a loan of Rs. 5,00,000/- only from the Plaintiff on 1st February 2024, and not Rs. 8,00,000/- as falsely shown in the promissory note.</w:t>
      </w:r>
    </w:p>
    <w:p>
      <w:pPr>
        <w:spacing w:after="160"/>
        <w:jc w:val="both"/>
      </w:pPr>
      <w:r>
        <w:rPr>
          <w:rFonts w:ascii="Arial" w:cs="Arial" w:eastAsia="Arial" w:hAnsi="Arial"/>
          <w:sz w:val="22"/>
          <w:szCs w:val="22"/>
        </w:rPr>
        <w:t xml:space="preserve">(b) That the Plaintiff, taking undue advantage of the Defendant's financial distress at the relevant time, coerced the Defendant into signing a promissory note for an inflated amount of Rs. 8,00,000/-, by threatening to expose certain personal matters of the Defendant unless he agreed to sign the said document; the promissory note was, therefore, executed under coercion within the meaning of Section 15 of the Indian Contract Act, 1872, and is voidable at the instance of the Defendant under Section 19 thereof.</w:t>
      </w:r>
    </w:p>
    <w:p>
      <w:pPr>
        <w:spacing w:after="160"/>
        <w:jc w:val="both"/>
      </w:pPr>
      <w:r>
        <w:rPr>
          <w:rFonts w:ascii="Arial" w:cs="Arial" w:eastAsia="Arial" w:hAnsi="Arial"/>
          <w:sz w:val="22"/>
          <w:szCs w:val="22"/>
        </w:rPr>
        <w:t xml:space="preserve">(c) That, without prejudice to the above, the Defendant has, in any event, repaid a sum of Rs. 3,00,000/- to the Plaintiff in two instalments — Rs. 1,50,000/- on 15th May 2024 and Rs. 1,50,000/- on 20th August 2024 — through bank transfers, true copies of the relevant bank statements reflecting the said payments are annexed hereto and marked as ANNEXURE D-1 (Colly.). The Plaintiff has deliberately suppressed these payments while filing the present suit.</w:t>
      </w:r>
    </w:p>
    <w:p>
      <w:pPr>
        <w:spacing w:after="160"/>
        <w:jc w:val="both"/>
      </w:pPr>
      <w:r>
        <w:rPr>
          <w:rFonts w:ascii="Arial" w:cs="Arial" w:eastAsia="Arial" w:hAnsi="Arial"/>
          <w:sz w:val="22"/>
          <w:szCs w:val="22"/>
        </w:rPr>
        <w:t xml:space="preserve">(d) That, accordingly, even on the Plaintiff's own showing (without prejudice to the Defendant's primary contention regarding coercion and the true loan amount of Rs. 5,00,000/-), the Defendant cannot be held liable for more than the balance amount after adjustment of the said payments.</w:t>
      </w:r>
    </w:p>
    <w:p>
      <w:pPr>
        <w:spacing w:after="160"/>
        <w:jc w:val="both"/>
      </w:pPr>
      <w:r>
        <w:rPr>
          <w:rFonts w:ascii="Arial" w:cs="Arial" w:eastAsia="Arial" w:hAnsi="Arial"/>
          <w:sz w:val="22"/>
          <w:szCs w:val="22"/>
        </w:rPr>
        <w:t xml:space="preserve">5. That the above facts disclose triable issues of coercion, true consideration, and part-payment, which require evidence to be led and cannot be summarily decided against the Defendant without affording him an opportunity to establish his defence at trial.</w:t>
      </w:r>
    </w:p>
    <w:p>
      <w:pPr>
        <w:spacing w:after="160"/>
        <w:jc w:val="both"/>
      </w:pPr>
      <w:r>
        <w:rPr>
          <w:rFonts w:ascii="Arial" w:cs="Arial" w:eastAsia="Arial" w:hAnsi="Arial"/>
          <w:sz w:val="22"/>
          <w:szCs w:val="22"/>
        </w:rPr>
        <w:t xml:space="preserve">6. That the Defendant has a fair, bona fide, and reasonable defence to the suit and is not raising the present defence merely to prolong the proceedings or to delay payment of any amount genuinely due; the Defendant is ready and willing to abide by such reasonable conditions, if any, as this Hon'ble Court may deem fit to impose while granting leave to defend.</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grant unconditional leave to the Defendant to defend the present suit; or, in the alternative,</w:t>
      </w:r>
    </w:p>
    <w:p>
      <w:pPr>
        <w:spacing w:after="160"/>
        <w:jc w:val="both"/>
      </w:pPr>
      <w:r>
        <w:rPr>
          <w:rFonts w:ascii="Arial" w:cs="Arial" w:eastAsia="Arial" w:hAnsi="Arial"/>
          <w:sz w:val="22"/>
          <w:szCs w:val="22"/>
        </w:rPr>
        <w:t xml:space="preserve">(b) grant leave to defend on such terms as this Hon'ble Court may deem fit and proper;</w:t>
      </w:r>
    </w:p>
    <w:p>
      <w:pPr>
        <w:spacing w:after="160"/>
        <w:jc w:val="both"/>
      </w:pPr>
      <w:r>
        <w:rPr>
          <w:rFonts w:ascii="Arial" w:cs="Arial" w:eastAsia="Arial" w:hAnsi="Arial"/>
          <w:sz w:val="22"/>
          <w:szCs w:val="22"/>
        </w:rPr>
        <w:t xml:space="preserve">(c) pass such other order(s) as this Hon'ble Court may deem fit in the interest of justice.</w:t>
      </w:r>
    </w:p>
    <w:p>
      <w:pPr>
        <w:spacing w:after="160"/>
        <w:jc w:val="both"/>
      </w:pPr>
      <w:r>
        <w:rPr>
          <w:rFonts w:ascii="Arial" w:cs="Arial" w:eastAsia="Arial" w:hAnsi="Arial"/>
          <w:sz w:val="22"/>
          <w:szCs w:val="22"/>
        </w:rPr>
        <w:t xml:space="preserve">DEFENDANT</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AFFIDAVIT IN SUPPORT OF APPLICATION FOR LEAVE TO DEFEND</w:t>
      </w:r>
    </w:p>
    <w:p>
      <w:pPr>
        <w:spacing w:after="160"/>
        <w:jc w:val="both"/>
      </w:pPr>
      <w:r>
        <w:rPr>
          <w:rFonts w:ascii="Arial" w:cs="Arial" w:eastAsia="Arial" w:hAnsi="Arial"/>
          <w:sz w:val="22"/>
          <w:szCs w:val="22"/>
        </w:rPr>
        <w:t xml:space="preserve">I, Mr. Suresh Patil, the Defendant above named, do hereby solemnly affirm and state that the contents of paragraphs 1 to 6 of the accompanying application are true and correct to my knowledge and belief, and nothing material has been concealed therefrom.</w:t>
      </w:r>
    </w:p>
    <w:p>
      <w:pPr>
        <w:spacing w:after="160"/>
        <w:jc w:val="both"/>
      </w:pPr>
      <w:r>
        <w:rPr>
          <w:rFonts w:ascii="Arial" w:cs="Arial" w:eastAsia="Arial" w:hAnsi="Arial"/>
          <w:sz w:val="22"/>
          <w:szCs w:val="22"/>
        </w:rPr>
        <w:t xml:space="preserve">DEPONENT (Sworn before Notary/Oath Commissioner)</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Promissory note dated 1.2.2024 — Annexure P-1 (filed with plaint)</w:t>
      </w:r>
    </w:p>
    <w:p>
      <w:pPr>
        <w:spacing w:after="160"/>
        <w:jc w:val="both"/>
      </w:pPr>
      <w:r>
        <w:rPr>
          <w:rFonts w:ascii="Arial" w:cs="Arial" w:eastAsia="Arial" w:hAnsi="Arial"/>
          <w:sz w:val="22"/>
          <w:szCs w:val="22"/>
        </w:rPr>
        <w:t xml:space="preserve">2. Legal notice dated 10.12.2024 with postal proof — Annexure P-2 (filed with plaint)</w:t>
      </w:r>
    </w:p>
    <w:p>
      <w:pPr>
        <w:spacing w:after="160"/>
        <w:jc w:val="both"/>
      </w:pPr>
      <w:r>
        <w:rPr>
          <w:rFonts w:ascii="Arial" w:cs="Arial" w:eastAsia="Arial" w:hAnsi="Arial"/>
          <w:sz w:val="22"/>
          <w:szCs w:val="22"/>
        </w:rPr>
        <w:t xml:space="preserve">3. Bank statements evidencing part-payments dated 15.5.2024 and 20.8.2024 — Annexure D-1 (filed with application for leave to defend)</w:t>
      </w:r>
    </w:p>
    <w:p>
      <w:r>
        <w:br w:type="page"/>
      </w:r>
    </w:p>
    <w:p>
      <w:pPr>
        <w:pStyle w:val="Heading1"/>
      </w:pPr>
      <w:r>
        <w:t xml:space="preserve">4. CAVEAT</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 caveat, literally meaning "let him beware" or "let a person take heed," is a formal notice filed by a person ("caveator") in a court, cautioning the court not to take any action — such as granting an injunction, passing an ex parte order, or admitting a probate or letters of administration application — in a matter in which the caveator has an interest, without first giving the caveator notice and a hearing. The law relating to caveats in civil proceedings generally is contained in Section 148-A of the Code of Civil Procedure, 1908 ("CPC"), inserted by the CPC (Amendment) Act, 1976. Caveats are also of considerable significance in proceedings under the Indian Succession Act, 1925, relating to probate and letters of administration, though the present discussion will primarily address the caveat under Section 148-A CPC, with appropriate reference to the succession law context.</w:t>
      </w:r>
    </w:p>
    <w:p>
      <w:pPr>
        <w:pStyle w:val="Heading2"/>
      </w:pPr>
      <w:r>
        <w:t xml:space="preserve">2. Object and Rationale</w:t>
      </w:r>
    </w:p>
    <w:p>
      <w:pPr>
        <w:spacing w:after="160"/>
        <w:jc w:val="both"/>
      </w:pPr>
      <w:r>
        <w:rPr>
          <w:rFonts w:ascii="Arial" w:cs="Arial" w:eastAsia="Arial" w:hAnsi="Arial"/>
          <w:sz w:val="22"/>
          <w:szCs w:val="22"/>
        </w:rPr>
        <w:t xml:space="preserve">The mischief that Section 148-A CPC was designed to remedy is the practice of parties obtaining ex parte ad interim injunctions or other orders from a court behind the back of a person who has a real interest in opposing such an application, often with serious and sometimes irreversible consequences before the affected party even becomes aware that a suit or application has been filed. The caveat procedure ensures that a person who apprehends that a suit may be filed against him, or that an application may be made in a suit already instituted against him, can pre-emptively place the court on notice, so that no order is passed without his being heard. The provision thus embodies and operationalises a facet of the audi alteram partem principle of natural justice within the procedural framework of civil litigation.</w:t>
      </w:r>
    </w:p>
    <w:p>
      <w:pPr>
        <w:pStyle w:val="Heading2"/>
      </w:pPr>
      <w:r>
        <w:t xml:space="preserve">3. Statutory Text and Essential Requirements: Section 148-A CPC</w:t>
      </w:r>
    </w:p>
    <w:p>
      <w:pPr>
        <w:spacing w:after="160"/>
        <w:jc w:val="both"/>
      </w:pPr>
      <w:r>
        <w:rPr>
          <w:rFonts w:ascii="Arial" w:cs="Arial" w:eastAsia="Arial" w:hAnsi="Arial"/>
          <w:sz w:val="22"/>
          <w:szCs w:val="22"/>
        </w:rPr>
        <w:t xml:space="preserve">Section 148-A provides:</w:t>
      </w:r>
    </w:p>
    <w:p>
      <w:pPr>
        <w:spacing w:after="160"/>
        <w:ind w:left="360"/>
        <w:jc w:val="both"/>
      </w:pPr>
      <w:r>
        <w:rPr>
          <w:rFonts w:ascii="Arial" w:cs="Arial" w:eastAsia="Arial" w:hAnsi="Arial"/>
          <w:sz w:val="22"/>
          <w:szCs w:val="22"/>
        </w:rPr>
        <w:t xml:space="preserve">(1) Where an application is expected to be made, or has been made, in a suit or proceeding instituted, or about to be instituted, in a court, any person claiming a right to appear before the court on the hearing of such application may lodge a caveat in respect thereof.</w:t>
      </w:r>
    </w:p>
    <w:p>
      <w:pPr>
        <w:spacing w:after="160"/>
        <w:ind w:left="360"/>
        <w:jc w:val="both"/>
      </w:pPr>
      <w:r>
        <w:rPr>
          <w:rFonts w:ascii="Arial" w:cs="Arial" w:eastAsia="Arial" w:hAnsi="Arial"/>
          <w:sz w:val="22"/>
          <w:szCs w:val="22"/>
        </w:rPr>
        <w:t xml:space="preserve">(2) Where a caveat has been lodged under sub-section (1), the person by whom the caveat has been lodged (hereinafter referred to as the caveator) shall serve a notice of the caveat by registered post, acknowledgment due, on the person by whom the application has been, or is expected to be, made, under sub-section (1).</w:t>
      </w:r>
    </w:p>
    <w:p>
      <w:pPr>
        <w:spacing w:after="160"/>
        <w:ind w:left="360"/>
        <w:jc w:val="both"/>
      </w:pPr>
      <w:r>
        <w:rPr>
          <w:rFonts w:ascii="Arial" w:cs="Arial" w:eastAsia="Arial" w:hAnsi="Arial"/>
          <w:sz w:val="22"/>
          <w:szCs w:val="22"/>
        </w:rPr>
        <w:t xml:space="preserve">(3) Where, after a caveat has been lodged under sub-section (1), any application is filed in any suit or proceeding, the court shall serve a notice of the application on the caveator.</w:t>
      </w:r>
    </w:p>
    <w:p>
      <w:pPr>
        <w:spacing w:after="160"/>
        <w:ind w:left="360"/>
        <w:jc w:val="both"/>
      </w:pPr>
      <w:r>
        <w:rPr>
          <w:rFonts w:ascii="Arial" w:cs="Arial" w:eastAsia="Arial" w:hAnsi="Arial"/>
          <w:sz w:val="22"/>
          <w:szCs w:val="22"/>
        </w:rPr>
        <w:t xml:space="preserve">(4) Where a notice of any caveat has been served on the applicant, he shall forthwith furnish the caveator, at the caveator's expense, with a copy of the application made by him and also with copies of any paper or document which has been, or may be, filed by him in support of the application.</w:t>
      </w:r>
    </w:p>
    <w:p>
      <w:pPr>
        <w:spacing w:after="160"/>
        <w:ind w:left="360"/>
        <w:jc w:val="both"/>
      </w:pPr>
      <w:r>
        <w:rPr>
          <w:rFonts w:ascii="Arial" w:cs="Arial" w:eastAsia="Arial" w:hAnsi="Arial"/>
          <w:sz w:val="22"/>
          <w:szCs w:val="22"/>
        </w:rPr>
        <w:t xml:space="preserve">(5) Where a caveat has been lodged under sub-section (1), such caveat shall remain in force for a period of ninety days from the date on which it was lodged, unless the suit or proceeding referred to therein is instituted before the expiry of the said period.</w:t>
      </w:r>
    </w:p>
    <w:p>
      <w:pPr>
        <w:pStyle w:val="Heading2"/>
      </w:pPr>
      <w:r>
        <w:t xml:space="preserve">4. Essential Ingredients</w:t>
      </w:r>
    </w:p>
    <w:p>
      <w:pPr>
        <w:spacing w:after="160"/>
        <w:jc w:val="both"/>
      </w:pPr>
      <w:r>
        <w:rPr>
          <w:rFonts w:ascii="Arial" w:cs="Arial" w:eastAsia="Arial" w:hAnsi="Arial"/>
          <w:sz w:val="22"/>
          <w:szCs w:val="22"/>
        </w:rPr>
        <w:t xml:space="preserve">From the text and judicial interpretation of Section 148-A, the following essentials emerge:</w:t>
      </w:r>
    </w:p>
    <w:p>
      <w:pPr>
        <w:spacing w:after="160"/>
        <w:ind w:left="360"/>
        <w:jc w:val="both"/>
      </w:pPr>
      <w:r>
        <w:rPr>
          <w:rFonts w:ascii="Arial" w:cs="Arial" w:eastAsia="Arial" w:hAnsi="Arial"/>
          <w:sz w:val="22"/>
          <w:szCs w:val="22"/>
        </w:rPr>
        <w:t xml:space="preserve">(i) </w:t>
      </w:r>
      <w:r>
        <w:rPr>
          <w:rFonts w:ascii="Arial" w:cs="Arial" w:eastAsia="Arial" w:hAnsi="Arial"/>
          <w:b/>
          <w:bCs/>
          <w:sz w:val="22"/>
          <w:szCs w:val="22"/>
        </w:rPr>
        <w:t xml:space="preserve">Who may lodge a caveat:</w:t>
      </w:r>
      <w:r>
        <w:rPr>
          <w:rFonts w:ascii="Arial" w:cs="Arial" w:eastAsia="Arial" w:hAnsi="Arial"/>
          <w:sz w:val="22"/>
          <w:szCs w:val="22"/>
        </w:rPr>
        <w:t xml:space="preserve"> Any person claiming a right to appear before the court on the hearing of an application that has been, or is expected to be, made in a suit or proceeding that has been, or is about to be, instituted. The caveator need not necessarily be a party to the suit already; the provision contemplates even a person against whom a suit is "about to be instituted."</w:t>
      </w:r>
    </w:p>
    <w:p>
      <w:pPr>
        <w:spacing w:after="160"/>
        <w:ind w:left="360"/>
        <w:jc w:val="both"/>
      </w:pPr>
      <w:r>
        <w:rPr>
          <w:rFonts w:ascii="Arial" w:cs="Arial" w:eastAsia="Arial" w:hAnsi="Arial"/>
          <w:sz w:val="22"/>
          <w:szCs w:val="22"/>
        </w:rPr>
        <w:t xml:space="preserve">(ii) </w:t>
      </w:r>
      <w:r>
        <w:rPr>
          <w:rFonts w:ascii="Arial" w:cs="Arial" w:eastAsia="Arial" w:hAnsi="Arial"/>
          <w:b/>
          <w:bCs/>
          <w:sz w:val="22"/>
          <w:szCs w:val="22"/>
        </w:rPr>
        <w:t xml:space="preserve">Apprehension of a suit or application:</w:t>
      </w:r>
      <w:r>
        <w:rPr>
          <w:rFonts w:ascii="Arial" w:cs="Arial" w:eastAsia="Arial" w:hAnsi="Arial"/>
          <w:sz w:val="22"/>
          <w:szCs w:val="22"/>
        </w:rPr>
        <w:t xml:space="preserve"> A caveat may be lodged either in anticipation of a suit being filed, or in anticipation of an application (e.g., for ad interim injunction, appointment of receiver, attachment before judgment) being filed in a suit already instituted.</w:t>
      </w:r>
    </w:p>
    <w:p>
      <w:pPr>
        <w:spacing w:after="160"/>
        <w:jc w:val="both"/>
      </w:pPr>
      <w:r>
        <w:rPr>
          <w:rFonts w:ascii="Arial" w:cs="Arial" w:eastAsia="Arial" w:hAnsi="Arial"/>
          <w:sz w:val="22"/>
          <w:szCs w:val="22"/>
        </w:rPr>
        <w:t xml:space="preserve">(iii) </w:t>
      </w:r>
      <w:r>
        <w:rPr>
          <w:rFonts w:ascii="Arial" w:cs="Arial" w:eastAsia="Arial" w:hAnsi="Arial"/>
          <w:b/>
          <w:bCs/>
          <w:sz w:val="22"/>
          <w:szCs w:val="22"/>
        </w:rPr>
        <w:t xml:space="preserve">Form of caveat:</w:t>
      </w:r>
      <w:r>
        <w:rPr>
          <w:rFonts w:ascii="Arial" w:cs="Arial" w:eastAsia="Arial" w:hAnsi="Arial"/>
          <w:sz w:val="22"/>
          <w:szCs w:val="22"/>
        </w:rPr>
        <w:t xml:space="preserve"> While the CPC does not prescribe a rigid format, in practice a caveat petition is presented in the form of a brief application, identifying the parties, the nature of the apprehended proceeding (if known), the caveator's interest in the matter, and a prayer that no order be passed without notice to the caveator. It must be signed and verified in the same manner as a pleading.</w:t>
      </w:r>
    </w:p>
    <w:p>
      <w:pPr>
        <w:spacing w:after="160"/>
        <w:ind w:left="360"/>
        <w:jc w:val="both"/>
      </w:pPr>
      <w:r>
        <w:rPr>
          <w:rFonts w:ascii="Arial" w:cs="Arial" w:eastAsia="Arial" w:hAnsi="Arial"/>
          <w:sz w:val="22"/>
          <w:szCs w:val="22"/>
        </w:rPr>
        <w:t xml:space="preserve">(iv) </w:t>
      </w:r>
      <w:r>
        <w:rPr>
          <w:rFonts w:ascii="Arial" w:cs="Arial" w:eastAsia="Arial" w:hAnsi="Arial"/>
          <w:b/>
          <w:bCs/>
          <w:sz w:val="22"/>
          <w:szCs w:val="22"/>
        </w:rPr>
        <w:t xml:space="preserve">Filing fee:</w:t>
      </w:r>
      <w:r>
        <w:rPr>
          <w:rFonts w:ascii="Arial" w:cs="Arial" w:eastAsia="Arial" w:hAnsi="Arial"/>
          <w:sz w:val="22"/>
          <w:szCs w:val="22"/>
        </w:rPr>
        <w:t xml:space="preserve"> A nominal court fee, prescribed under the relevant Court Fees Act/Rules of the High Court, is payable on a caveat petition.</w:t>
      </w:r>
    </w:p>
    <w:p>
      <w:pPr>
        <w:spacing w:after="160"/>
        <w:ind w:left="360"/>
        <w:jc w:val="both"/>
      </w:pPr>
      <w:r>
        <w:rPr>
          <w:rFonts w:ascii="Arial" w:cs="Arial" w:eastAsia="Arial" w:hAnsi="Arial"/>
          <w:sz w:val="22"/>
          <w:szCs w:val="22"/>
        </w:rPr>
        <w:t xml:space="preserve">(v) </w:t>
      </w:r>
      <w:r>
        <w:rPr>
          <w:rFonts w:ascii="Arial" w:cs="Arial" w:eastAsia="Arial" w:hAnsi="Arial"/>
          <w:b/>
          <w:bCs/>
          <w:sz w:val="22"/>
          <w:szCs w:val="22"/>
        </w:rPr>
        <w:t xml:space="preserve">Duration:</w:t>
      </w:r>
      <w:r>
        <w:rPr>
          <w:rFonts w:ascii="Arial" w:cs="Arial" w:eastAsia="Arial" w:hAnsi="Arial"/>
          <w:sz w:val="22"/>
          <w:szCs w:val="22"/>
        </w:rPr>
        <w:t xml:space="preserve"> A caveat lodged under sub-section (5) remains in force for ninety days from the date of lodging. If no suit or application is filed within ninety days, the caveat lapses, and the caveator would need to lodge a fresh caveat if his apprehension continues.</w:t>
      </w:r>
    </w:p>
    <w:p>
      <w:pPr>
        <w:spacing w:after="160"/>
        <w:jc w:val="both"/>
      </w:pPr>
      <w:r>
        <w:rPr>
          <w:rFonts w:ascii="Arial" w:cs="Arial" w:eastAsia="Arial" w:hAnsi="Arial"/>
          <w:sz w:val="22"/>
          <w:szCs w:val="22"/>
        </w:rPr>
        <w:t xml:space="preserve">(vi) </w:t>
      </w:r>
      <w:r>
        <w:rPr>
          <w:rFonts w:ascii="Arial" w:cs="Arial" w:eastAsia="Arial" w:hAnsi="Arial"/>
          <w:b/>
          <w:bCs/>
          <w:sz w:val="22"/>
          <w:szCs w:val="22"/>
        </w:rPr>
        <w:t xml:space="preserve">Effect of lodging a caveat:</w:t>
      </w:r>
      <w:r>
        <w:rPr>
          <w:rFonts w:ascii="Arial" w:cs="Arial" w:eastAsia="Arial" w:hAnsi="Arial"/>
          <w:sz w:val="22"/>
          <w:szCs w:val="22"/>
        </w:rPr>
        <w:t xml:space="preserve"> Once a valid caveat is lodged and brought to the notice of the court (through the registry, which is required to check the caveat register before passing orders), the court is under a mandatory obligation, under sub-section (3), to issue notice to the caveator before passing any order on the application in question. Any ex parte order passed in violation of a duly lodged and registered caveat is liable to be set aside, since it amounts to a violation of an express statutory right of the caveator to be heard.</w:t>
      </w:r>
    </w:p>
    <w:p>
      <w:pPr>
        <w:spacing w:after="160"/>
        <w:ind w:left="360"/>
        <w:jc w:val="both"/>
      </w:pPr>
      <w:r>
        <w:rPr>
          <w:rFonts w:ascii="Arial" w:cs="Arial" w:eastAsia="Arial" w:hAnsi="Arial"/>
          <w:sz w:val="22"/>
          <w:szCs w:val="22"/>
        </w:rPr>
        <w:t xml:space="preserve">(vii) </w:t>
      </w:r>
      <w:r>
        <w:rPr>
          <w:rFonts w:ascii="Arial" w:cs="Arial" w:eastAsia="Arial" w:hAnsi="Arial"/>
          <w:b/>
          <w:bCs/>
          <w:sz w:val="22"/>
          <w:szCs w:val="22"/>
        </w:rPr>
        <w:t xml:space="preserve">Service of notice on the opposite party:</w:t>
      </w:r>
      <w:r>
        <w:rPr>
          <w:rFonts w:ascii="Arial" w:cs="Arial" w:eastAsia="Arial" w:hAnsi="Arial"/>
          <w:sz w:val="22"/>
          <w:szCs w:val="22"/>
        </w:rPr>
        <w:t xml:space="preserve"> The caveator must, under sub-section (2), serve a notice of the caveat by registered post with acknowledgment due upon the person who is expected to make, or has made, the application, so that such person is also made aware that a caveat exists and that any application would not be heard ex parte.</w:t>
      </w:r>
    </w:p>
    <w:p>
      <w:pPr>
        <w:spacing w:after="160"/>
        <w:ind w:left="360"/>
        <w:jc w:val="both"/>
      </w:pPr>
      <w:r>
        <w:rPr>
          <w:rFonts w:ascii="Arial" w:cs="Arial" w:eastAsia="Arial" w:hAnsi="Arial"/>
          <w:sz w:val="22"/>
          <w:szCs w:val="22"/>
        </w:rPr>
        <w:t xml:space="preserve">(viii) </w:t>
      </w:r>
      <w:r>
        <w:rPr>
          <w:rFonts w:ascii="Arial" w:cs="Arial" w:eastAsia="Arial" w:hAnsi="Arial"/>
          <w:b/>
          <w:bCs/>
          <w:sz w:val="22"/>
          <w:szCs w:val="22"/>
        </w:rPr>
        <w:t xml:space="preserve">Obligation to furnish copies:</w:t>
      </w:r>
      <w:r>
        <w:rPr>
          <w:rFonts w:ascii="Arial" w:cs="Arial" w:eastAsia="Arial" w:hAnsi="Arial"/>
          <w:sz w:val="22"/>
          <w:szCs w:val="22"/>
        </w:rPr>
        <w:t xml:space="preserve"> Under sub-section (4), where notice of the caveat has been served on the applicant, the applicant is obliged, at the caveator's own expense, to furnish the caveator with copies of the application and supporting documents.</w:t>
      </w:r>
    </w:p>
    <w:p>
      <w:pPr>
        <w:pStyle w:val="Heading2"/>
      </w:pPr>
      <w:r>
        <w:t xml:space="preserve">5. Caveat Distinguished from Other Procedural Safeguards</w:t>
      </w:r>
    </w:p>
    <w:p>
      <w:pPr>
        <w:spacing w:after="160"/>
        <w:jc w:val="both"/>
      </w:pPr>
      <w:r>
        <w:rPr>
          <w:rFonts w:ascii="Arial" w:cs="Arial" w:eastAsia="Arial" w:hAnsi="Arial"/>
          <w:sz w:val="22"/>
          <w:szCs w:val="22"/>
        </w:rPr>
        <w:t xml:space="preserve">It is useful, particularly for examination purposes, to distinguish a caveat from related but distinct procedural concepts:</w:t>
      </w:r>
    </w:p>
    <w:p>
      <w:pPr>
        <w:spacing w:after="160"/>
        <w:jc w:val="both"/>
      </w:pPr>
      <w:r>
        <w:rPr>
          <w:rFonts w:ascii="Arial" w:cs="Arial" w:eastAsia="Arial" w:hAnsi="Arial"/>
          <w:sz w:val="22"/>
          <w:szCs w:val="22"/>
        </w:rPr>
        <w:t xml:space="preserve">(a) </w:t>
      </w:r>
      <w:r>
        <w:rPr>
          <w:rFonts w:ascii="Arial" w:cs="Arial" w:eastAsia="Arial" w:hAnsi="Arial"/>
          <w:b/>
          <w:bCs/>
          <w:sz w:val="22"/>
          <w:szCs w:val="22"/>
        </w:rPr>
        <w:t xml:space="preserve">Caveat vs. Written Statement:</w:t>
      </w:r>
      <w:r>
        <w:rPr>
          <w:rFonts w:ascii="Arial" w:cs="Arial" w:eastAsia="Arial" w:hAnsi="Arial"/>
          <w:sz w:val="22"/>
          <w:szCs w:val="22"/>
        </w:rPr>
        <w:t xml:space="preserve"> A caveat is not a substantive pleading on the merits of a dispute; it does not require the caveator to set out a defence to a claim. It is purely a procedural safeguard ensuring that the caveator gets a hearing before any order (particularly an ex parte interim order) is passed. A written statement, by contrast, is filed after the suit is instituted and the caveator (now defendant) has been served with summons, and deals with the merits.</w:t>
      </w:r>
    </w:p>
    <w:p>
      <w:pPr>
        <w:spacing w:after="160"/>
        <w:ind w:left="360"/>
        <w:jc w:val="both"/>
      </w:pPr>
      <w:r>
        <w:rPr>
          <w:rFonts w:ascii="Arial" w:cs="Arial" w:eastAsia="Arial" w:hAnsi="Arial"/>
          <w:sz w:val="22"/>
          <w:szCs w:val="22"/>
        </w:rPr>
        <w:t xml:space="preserve">(b) </w:t>
      </w:r>
      <w:r>
        <w:rPr>
          <w:rFonts w:ascii="Arial" w:cs="Arial" w:eastAsia="Arial" w:hAnsi="Arial"/>
          <w:b/>
          <w:bCs/>
          <w:sz w:val="22"/>
          <w:szCs w:val="22"/>
        </w:rPr>
        <w:t xml:space="preserve">Caveat vs. Injunction Application:</w:t>
      </w:r>
      <w:r>
        <w:rPr>
          <w:rFonts w:ascii="Arial" w:cs="Arial" w:eastAsia="Arial" w:hAnsi="Arial"/>
          <w:sz w:val="22"/>
          <w:szCs w:val="22"/>
        </w:rPr>
        <w:t xml:space="preserve"> An injunction application seeks substantive interim relief; a caveat does not seek any relief on merits at all — it merely seeks an opportunity to be heard before any relief (including an injunction) is granted against the caveator.</w:t>
      </w:r>
    </w:p>
    <w:p>
      <w:pPr>
        <w:spacing w:after="160"/>
        <w:jc w:val="both"/>
      </w:pPr>
      <w:r>
        <w:rPr>
          <w:rFonts w:ascii="Arial" w:cs="Arial" w:eastAsia="Arial" w:hAnsi="Arial"/>
          <w:sz w:val="22"/>
          <w:szCs w:val="22"/>
        </w:rPr>
        <w:t xml:space="preserve">(c) </w:t>
      </w:r>
      <w:r>
        <w:rPr>
          <w:rFonts w:ascii="Arial" w:cs="Arial" w:eastAsia="Arial" w:hAnsi="Arial"/>
          <w:b/>
          <w:bCs/>
          <w:sz w:val="22"/>
          <w:szCs w:val="22"/>
        </w:rPr>
        <w:t xml:space="preserve">Caveat in Civil Suits vs. Caveat in Probate Proceedings:</w:t>
      </w:r>
      <w:r>
        <w:rPr>
          <w:rFonts w:ascii="Arial" w:cs="Arial" w:eastAsia="Arial" w:hAnsi="Arial"/>
          <w:sz w:val="22"/>
          <w:szCs w:val="22"/>
        </w:rPr>
        <w:t xml:space="preserve"> Under the Indian Succession Act, 1925 (Sections 283 and 284), a caveat may be lodged against the grant of probate or letters of administration, requiring the court to issue a citation and not grant probate/letters of administration without hearing the caveator. The procedure, while conceptually similar (a pre-emptive notice to be heard), operates within the specific statutory framework of succession law and culminates, where contested, in the probate proceeding being converted into a regular suit.</w:t>
      </w:r>
    </w:p>
    <w:p>
      <w:pPr>
        <w:pStyle w:val="Heading2"/>
      </w:pPr>
      <w:r>
        <w:t xml:space="preserve">6. Procedure on Receipt of a Caveat by the Court Registry</w:t>
      </w:r>
    </w:p>
    <w:p>
      <w:pPr>
        <w:spacing w:after="160"/>
        <w:jc w:val="both"/>
      </w:pPr>
      <w:r>
        <w:rPr>
          <w:rFonts w:ascii="Arial" w:cs="Arial" w:eastAsia="Arial" w:hAnsi="Arial"/>
          <w:sz w:val="22"/>
          <w:szCs w:val="22"/>
        </w:rPr>
        <w:t xml:space="preserve">Most High Courts and subordinate courts maintain a "caveat register," and it is the standard practice and administrative duty of the court's registry, before placing any application (particularly an application for ad interim ex parte injunction, attachment before judgment, or the like) before the judge, to check whether a caveat has been lodged in respect of the matter. Where a caveat is found to be registered, the matter is listed with notice to the caveator, and the application is not taken up or decided ex parte.</w:t>
      </w:r>
    </w:p>
    <w:p>
      <w:pPr>
        <w:pStyle w:val="Heading2"/>
      </w:pPr>
      <w:r>
        <w:t xml:space="preserve">7. Judicial Approach to Violation of Caveat</w:t>
      </w:r>
    </w:p>
    <w:p>
      <w:pPr>
        <w:spacing w:after="160"/>
        <w:jc w:val="both"/>
      </w:pPr>
      <w:r>
        <w:rPr>
          <w:rFonts w:ascii="Arial" w:cs="Arial" w:eastAsia="Arial" w:hAnsi="Arial"/>
          <w:sz w:val="22"/>
          <w:szCs w:val="22"/>
        </w:rPr>
        <w:t xml:space="preserve">Courts have consistently held that an order passed in violation of a duly lodged caveat, without notice to the caveator, is liable to be recalled or set aside, since the caveator has a statutory right under Section 148-A to be heard, and failure to give such hearing vitiates the order on the ground of breach of natural justice as codified in the statute. The remedy available to an aggrieved caveator, in such circumstances, is to move an application before the same court for vacating/setting aside the ex parte order, bringing to the court's notice the fact that a valid caveat was on record at the time the order was passed.</w:t>
      </w:r>
    </w:p>
    <w:p>
      <w:pPr>
        <w:pStyle w:val="Heading2"/>
      </w:pPr>
      <w:r>
        <w:t xml:space="preserve">8. Limitations of a Caveat</w:t>
      </w:r>
    </w:p>
    <w:p>
      <w:pPr>
        <w:spacing w:after="160"/>
        <w:jc w:val="both"/>
      </w:pPr>
      <w:r>
        <w:rPr>
          <w:rFonts w:ascii="Arial" w:cs="Arial" w:eastAsia="Arial" w:hAnsi="Arial"/>
          <w:sz w:val="22"/>
          <w:szCs w:val="22"/>
        </w:rPr>
        <w:t xml:space="preserve">A caveat does not, by itself, prevent the institution of a suit or the filing of an application; it merely ensures that the caveator gets a hearing before any order is passed on such application. It is not a bar to the suit/application being filed, nor does it freeze any rights of the opposite party; it is purely a mechanism for procedural fairness. Further, since the caveat lapses after ninety days unless a suit or proceeding is instituted within that period, a caveator who continues to apprehend litigation must be vigilant to renew the caveat by lodging a fresh one upon expiry, if circumstances so warrant.</w:t>
      </w:r>
    </w:p>
    <w:p>
      <w:pPr>
        <w:pStyle w:val="Heading2"/>
      </w:pPr>
      <w:r>
        <w:t xml:space="preserve">9. Practical Considerations in Drafting a Caveat</w:t>
      </w:r>
    </w:p>
    <w:p>
      <w:pPr>
        <w:spacing w:after="160"/>
        <w:jc w:val="both"/>
      </w:pPr>
      <w:r>
        <w:rPr>
          <w:rFonts w:ascii="Arial" w:cs="Arial" w:eastAsia="Arial" w:hAnsi="Arial"/>
          <w:sz w:val="22"/>
          <w:szCs w:val="22"/>
        </w:rPr>
        <w:t xml:space="preserve">A well-drafted caveat petition should clearly set out:</w:t>
      </w:r>
    </w:p>
    <w:p>
      <w:pPr>
        <w:spacing w:after="160"/>
        <w:ind w:left="360"/>
        <w:jc w:val="both"/>
      </w:pPr>
      <w:r>
        <w:rPr>
          <w:rFonts w:ascii="Arial" w:cs="Arial" w:eastAsia="Arial" w:hAnsi="Arial"/>
          <w:sz w:val="22"/>
          <w:szCs w:val="22"/>
        </w:rPr>
        <w:t xml:space="preserve">(i) the identity of the caveator and his interest in the anticipated proceeding;</w:t>
      </w:r>
    </w:p>
    <w:p>
      <w:pPr>
        <w:spacing w:after="160"/>
        <w:ind w:left="360"/>
        <w:jc w:val="both"/>
      </w:pPr>
      <w:r>
        <w:rPr>
          <w:rFonts w:ascii="Arial" w:cs="Arial" w:eastAsia="Arial" w:hAnsi="Arial"/>
          <w:sz w:val="22"/>
          <w:szCs w:val="22"/>
        </w:rPr>
        <w:t xml:space="preserve">(ii) the facts and circumstances giving rise to the caveator's apprehension that a suit/application may be filed against him (e.g., a prior dispute, a legal notice received, knowledge of the opposite party's intentions);</w:t>
      </w:r>
    </w:p>
    <w:p>
      <w:pPr>
        <w:spacing w:after="160"/>
        <w:ind w:left="360"/>
        <w:jc w:val="both"/>
      </w:pPr>
      <w:r>
        <w:rPr>
          <w:rFonts w:ascii="Arial" w:cs="Arial" w:eastAsia="Arial" w:hAnsi="Arial"/>
          <w:sz w:val="22"/>
          <w:szCs w:val="22"/>
        </w:rPr>
        <w:t xml:space="preserve">(iii) the prayer that no ex parte order be passed in any suit or application that may be filed, without notice to and hearing of the caveator;</w:t>
      </w:r>
    </w:p>
    <w:p>
      <w:pPr>
        <w:spacing w:after="160"/>
        <w:ind w:left="360"/>
        <w:jc w:val="both"/>
      </w:pPr>
      <w:r>
        <w:rPr>
          <w:rFonts w:ascii="Arial" w:cs="Arial" w:eastAsia="Arial" w:hAnsi="Arial"/>
          <w:sz w:val="22"/>
          <w:szCs w:val="22"/>
        </w:rPr>
        <w:t xml:space="preserve">(iv) the caveator's address for service, to enable the court/registry and the opposite party to serve notice;</w:t>
      </w:r>
    </w:p>
    <w:p>
      <w:pPr>
        <w:spacing w:after="160"/>
        <w:ind w:left="360"/>
        <w:jc w:val="both"/>
      </w:pPr>
      <w:r>
        <w:rPr>
          <w:rFonts w:ascii="Arial" w:cs="Arial" w:eastAsia="Arial" w:hAnsi="Arial"/>
          <w:sz w:val="22"/>
          <w:szCs w:val="22"/>
        </w:rPr>
        <w:t xml:space="preserve">(v) a verification, in the same manner as a pleading.</w:t>
      </w:r>
    </w:p>
    <w:p>
      <w:pPr>
        <w:pStyle w:val="Heading2"/>
      </w:pPr>
      <w:r>
        <w:t xml:space="preserve">10. Conclusion</w:t>
      </w:r>
    </w:p>
    <w:p>
      <w:pPr>
        <w:spacing w:after="160"/>
        <w:jc w:val="both"/>
      </w:pPr>
      <w:r>
        <w:rPr>
          <w:rFonts w:ascii="Arial" w:cs="Arial" w:eastAsia="Arial" w:hAnsi="Arial"/>
          <w:sz w:val="22"/>
          <w:szCs w:val="22"/>
        </w:rPr>
        <w:t xml:space="preserve">The caveat under Section 148-A CPC is a crucial, though procedurally modest, safeguard available to any person who apprehends imminent litigation, particularly an application for ex parte interim relief that could substantially or irreversibly affect his interests before he is even heard. It operationalises the principle of natural justice in a targeted and efficient manner, casting a statutory duty on courts to verify the existence of a caveat before granting ex parte orders, and on the caveator to keep the opposite party informed by serving notice of the caveat. From a drafting perspective, the document is comparatively brief but must precisely identify the anticipated proceeding (or the general apprehension, where the precise proceeding is not yet known), the caveator's interest, and must be diligently renewed every ninety days for as long as the apprehension subsists.</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CAVEAT PETITION UNDER SECTION 148-A OF THE CODE OF CIVIL PROCEDURE, 1908</w:t>
      </w:r>
    </w:p>
    <w:p>
      <w:pPr>
        <w:spacing w:after="300"/>
        <w:jc w:val="center"/>
      </w:pPr>
      <w:r>
        <w:rPr>
          <w:rFonts w:ascii="Arial" w:cs="Arial" w:eastAsia="Arial" w:hAnsi="Arial"/>
          <w:i/>
          <w:iCs/>
          <w:sz w:val="20"/>
          <w:szCs w:val="20"/>
        </w:rPr>
        <w:t xml:space="preserve">(Presumed Facts: Mr. Rajiv Malhotra has received information that his estranged business partner, Mr. Deepak Chawla, intends to file a suit for dissolution of partnership and for an ex parte ad interim injunction restraining Mr. Malhotra from operating the firm's bank accounts and from dealing with firm assets. Mr. Malhotra lodges a caveat to ensure he is heard before any ex parte order is passed.)</w:t>
      </w:r>
    </w:p>
    <w:p>
      <w:pPr>
        <w:spacing w:after="200" w:before="200"/>
        <w:jc w:val="center"/>
      </w:pPr>
      <w:r>
        <w:rPr>
          <w:rFonts w:ascii="Arial" w:cs="Arial" w:eastAsia="Arial" w:hAnsi="Arial"/>
          <w:b/>
          <w:bCs/>
          <w:sz w:val="22"/>
          <w:szCs w:val="22"/>
        </w:rPr>
        <w:t xml:space="preserve">IN THE COURT OF THE DISTRICT JUDGE, AT [CITY], [STATE]</w:t>
      </w:r>
    </w:p>
    <w:p>
      <w:pPr>
        <w:spacing w:after="160"/>
        <w:jc w:val="both"/>
      </w:pPr>
      <w:r>
        <w:rPr>
          <w:rFonts w:ascii="Arial" w:cs="Arial" w:eastAsia="Arial" w:hAnsi="Arial"/>
          <w:sz w:val="22"/>
          <w:szCs w:val="22"/>
        </w:rPr>
        <w:t xml:space="preserve">Caveat Petition No. _____ of 2026</w:t>
      </w:r>
    </w:p>
    <w:p>
      <w:pPr>
        <w:spacing w:after="160"/>
        <w:jc w:val="both"/>
      </w:pPr>
      <w:r>
        <w:rPr>
          <w:rFonts w:ascii="Arial" w:cs="Arial" w:eastAsia="Arial" w:hAnsi="Arial"/>
          <w:sz w:val="22"/>
          <w:szCs w:val="22"/>
        </w:rPr>
        <w:t xml:space="preserve">(Under Section 148-A of the Code of Civil Procedure, 1908)</w:t>
      </w:r>
    </w:p>
    <w:p>
      <w:pPr>
        <w:spacing w:after="200" w:before="200"/>
        <w:jc w:val="center"/>
      </w:pPr>
      <w:r>
        <w:rPr>
          <w:rFonts w:ascii="Arial" w:cs="Arial" w:eastAsia="Arial" w:hAnsi="Arial"/>
          <w:b/>
          <w:bCs/>
          <w:sz w:val="22"/>
          <w:szCs w:val="22"/>
        </w:rPr>
        <w:t xml:space="preserve">IN THE MATTER OF AN ANTICIPATED SUIT FOR DISSOLUTION OF PARTNERSHIP, RENDITION OF ACCOUNTS AND INJUNCTION BETWEEN:</w:t>
      </w:r>
    </w:p>
    <w:p>
      <w:pPr>
        <w:spacing w:after="160"/>
        <w:jc w:val="both"/>
      </w:pPr>
      <w:r>
        <w:rPr>
          <w:rFonts w:ascii="Arial" w:cs="Arial" w:eastAsia="Arial" w:hAnsi="Arial"/>
          <w:sz w:val="22"/>
          <w:szCs w:val="22"/>
        </w:rPr>
        <w:t xml:space="preserve">Mr. Deepak Chawla,</w:t>
      </w:r>
    </w:p>
    <w:p>
      <w:pPr>
        <w:spacing w:after="160"/>
        <w:jc w:val="both"/>
      </w:pPr>
      <w:r>
        <w:rPr>
          <w:rFonts w:ascii="Arial" w:cs="Arial" w:eastAsia="Arial" w:hAnsi="Arial"/>
          <w:sz w:val="22"/>
          <w:szCs w:val="22"/>
        </w:rPr>
        <w:t xml:space="preserve">S/o Mr. Mahesh Chawla,</w:t>
      </w:r>
    </w:p>
    <w:p>
      <w:pPr>
        <w:spacing w:after="160"/>
        <w:jc w:val="both"/>
      </w:pPr>
      <w:r>
        <w:rPr>
          <w:rFonts w:ascii="Arial" w:cs="Arial" w:eastAsia="Arial" w:hAnsi="Arial"/>
          <w:sz w:val="22"/>
          <w:szCs w:val="22"/>
        </w:rPr>
        <w:t xml:space="preserve">residing at C-45, Greenwood Colony, [City] – [PIN]</w:t>
      </w:r>
    </w:p>
    <w:p>
      <w:pPr>
        <w:spacing w:after="160"/>
        <w:jc w:val="both"/>
      </w:pPr>
      <w:r>
        <w:rPr>
          <w:rFonts w:ascii="Arial" w:cs="Arial" w:eastAsia="Arial" w:hAnsi="Arial"/>
          <w:sz w:val="22"/>
          <w:szCs w:val="22"/>
        </w:rPr>
        <w:t xml:space="preserve">.............................................................................. EXPECTED PLAINTIFF / APPLICANT</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Rajiv Malhotra,</w:t>
      </w:r>
    </w:p>
    <w:p>
      <w:pPr>
        <w:spacing w:after="160"/>
        <w:jc w:val="both"/>
      </w:pPr>
      <w:r>
        <w:rPr>
          <w:rFonts w:ascii="Arial" w:cs="Arial" w:eastAsia="Arial" w:hAnsi="Arial"/>
          <w:sz w:val="22"/>
          <w:szCs w:val="22"/>
        </w:rPr>
        <w:t xml:space="preserve">S/o Mr. Om Prakash Malhotra,</w:t>
      </w:r>
    </w:p>
    <w:p>
      <w:pPr>
        <w:spacing w:after="160"/>
        <w:jc w:val="both"/>
      </w:pPr>
      <w:r>
        <w:rPr>
          <w:rFonts w:ascii="Arial" w:cs="Arial" w:eastAsia="Arial" w:hAnsi="Arial"/>
          <w:sz w:val="22"/>
          <w:szCs w:val="22"/>
        </w:rPr>
        <w:t xml:space="preserve">aged about 51 years,</w:t>
      </w:r>
    </w:p>
    <w:p>
      <w:pPr>
        <w:spacing w:after="160"/>
        <w:jc w:val="both"/>
      </w:pPr>
      <w:r>
        <w:rPr>
          <w:rFonts w:ascii="Arial" w:cs="Arial" w:eastAsia="Arial" w:hAnsi="Arial"/>
          <w:sz w:val="22"/>
          <w:szCs w:val="22"/>
        </w:rPr>
        <w:t xml:space="preserve">residing at B-12, Sunrise Apartments, [City] – [PIN]</w:t>
      </w:r>
    </w:p>
    <w:p>
      <w:pPr>
        <w:spacing w:after="160"/>
        <w:jc w:val="both"/>
      </w:pPr>
      <w:r>
        <w:rPr>
          <w:rFonts w:ascii="Arial" w:cs="Arial" w:eastAsia="Arial" w:hAnsi="Arial"/>
          <w:sz w:val="22"/>
          <w:szCs w:val="22"/>
        </w:rPr>
        <w:t xml:space="preserve">.............................................................................. CAVEATOR / EXPECTED DEFENDANT</w:t>
      </w:r>
    </w:p>
    <w:p>
      <w:pPr>
        <w:spacing w:after="200" w:before="200"/>
        <w:jc w:val="center"/>
      </w:pPr>
      <w:r>
        <w:rPr>
          <w:rFonts w:ascii="Arial" w:cs="Arial" w:eastAsia="Arial" w:hAnsi="Arial"/>
          <w:b/>
          <w:bCs/>
          <w:sz w:val="22"/>
          <w:szCs w:val="22"/>
        </w:rPr>
        <w:t xml:space="preserve">CAVEAT PETITION UNDER SECTION 148-A OF THE CODE OF CIVIL PROCEDURE, 1908</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Caveator and Mr. Deepak Chawla (hereinafter "the Expected Plaintiff") are partners in a partnership firm carrying on business under the name and style of "M/s Chawla-Malhotra Enterprises," constituted vide Partnership Deed dated 1st April 2018, registered with the Registrar of Firms, [State], engaged in the business of wholesale distribution of electrical goods, having its principal place of business at Shop No. 7, Industrial Estate, [City]. A true copy of the said Partnership Deed is filed herewith and marked as ANNEXURE C-1.</w:t>
      </w:r>
    </w:p>
    <w:p>
      <w:pPr>
        <w:spacing w:after="160"/>
        <w:jc w:val="both"/>
      </w:pPr>
      <w:r>
        <w:rPr>
          <w:rFonts w:ascii="Arial" w:cs="Arial" w:eastAsia="Arial" w:hAnsi="Arial"/>
          <w:sz w:val="22"/>
          <w:szCs w:val="22"/>
        </w:rPr>
        <w:t xml:space="preserve">2. That disputes and differences have arisen between the Caveator and the Expected Plaintiff in relation to the management, accounts, and conduct of the affairs of the said partnership firm over the course of the last several months, on account of which the relationship between the partners has become acrimonious.</w:t>
      </w:r>
    </w:p>
    <w:p>
      <w:pPr>
        <w:spacing w:after="160"/>
        <w:jc w:val="both"/>
      </w:pPr>
      <w:r>
        <w:rPr>
          <w:rFonts w:ascii="Arial" w:cs="Arial" w:eastAsia="Arial" w:hAnsi="Arial"/>
          <w:sz w:val="22"/>
          <w:szCs w:val="22"/>
        </w:rPr>
        <w:t xml:space="preserve">3. That the Caveator has reliable and credible information, communicated to him by a common acquaintance and further corroborated by the conduct of the Expected Plaintiff (including the Expected Plaintiff's recent visit to this Hon'ble Court's premises and his having engaged the services of an advocate for the purpose), that the Expected Plaintiff intends shortly to institute a suit against the Caveator for dissolution of the said partnership firm, rendition of accounts, and ancillary reliefs, and, in particular, intends to seek an ex parte ad interim injunction restraining the Caveator from operating the current bank account of the firm maintained with [Bank Name], [Branch], and from dealing with, alienating, or removing any assets, stock, or records of the said partnership firm.</w:t>
      </w:r>
    </w:p>
    <w:p>
      <w:pPr>
        <w:spacing w:after="160"/>
        <w:jc w:val="both"/>
      </w:pPr>
      <w:r>
        <w:rPr>
          <w:rFonts w:ascii="Arial" w:cs="Arial" w:eastAsia="Arial" w:hAnsi="Arial"/>
          <w:sz w:val="22"/>
          <w:szCs w:val="22"/>
        </w:rPr>
        <w:t xml:space="preserve">4. That the Caveator has a vital and substantial interest in any such suit or application that may be instituted or made by the Expected Plaintiff, being a co-equal partner in the said firm with an equal right, title, and interest in the assets, accounts, and management of the firm, and any ex parte order passed in the absence of the Caveator would cause grave, immediate, and irreparable prejudice to the Caveator, including disruption of the day-to-day business operations of the firm (which is solely being managed by the Caveator at present on account of the Expected Plaintiff's voluntary absence from the firm's operations for the last four months) and consequent loss to the firm's clients, employees, and business reputation.</w:t>
      </w:r>
    </w:p>
    <w:p>
      <w:pPr>
        <w:spacing w:after="160"/>
        <w:jc w:val="both"/>
      </w:pPr>
      <w:r>
        <w:rPr>
          <w:rFonts w:ascii="Arial" w:cs="Arial" w:eastAsia="Arial" w:hAnsi="Arial"/>
          <w:sz w:val="22"/>
          <w:szCs w:val="22"/>
        </w:rPr>
        <w:t xml:space="preserve">5. That it is, therefore, necessary and expedient, in the interest of justice, that no ex parte order, whether ad interim or otherwise, be passed by this Hon'ble Court, or by any other court before which the anticipated suit or application may be filed, without prior notice to and without affording an opportunity of hearing to the Caveator, in accordance with Section 148-A of the Code of Civil Procedure, 1908.</w:t>
      </w:r>
    </w:p>
    <w:p>
      <w:pPr>
        <w:spacing w:after="160"/>
        <w:jc w:val="both"/>
      </w:pPr>
      <w:r>
        <w:rPr>
          <w:rFonts w:ascii="Arial" w:cs="Arial" w:eastAsia="Arial" w:hAnsi="Arial"/>
          <w:sz w:val="22"/>
          <w:szCs w:val="22"/>
        </w:rPr>
        <w:t xml:space="preserve">6. That this caveat is being lodged bona fide and in good faith, solely to protect the legitimate interest of the Caveator in being heard before any order adverse to his interest is passed, and not with any intention to obstruct or delay any genuine proceeding that the Expected Plaintiff may be entitled in law to institute.</w:t>
      </w:r>
    </w:p>
    <w:p>
      <w:pPr>
        <w:spacing w:after="160"/>
        <w:jc w:val="both"/>
      </w:pPr>
      <w:r>
        <w:rPr>
          <w:rFonts w:ascii="Arial" w:cs="Arial" w:eastAsia="Arial" w:hAnsi="Arial"/>
          <w:sz w:val="22"/>
          <w:szCs w:val="22"/>
        </w:rPr>
        <w:t xml:space="preserve">7. That the present caveat is being lodged within the jurisdiction of this Hon'ble Court since the principal place of business of the partnership firm, as well as the residence of the Caveator, are situated within the local limits of the jurisdiction of this Hon'ble Court, and it is apprehended that any suit by the Expected Plaintiff would also be filed before this Hon'ble Court or before a court subordinate to it.</w:t>
      </w:r>
    </w:p>
    <w:p>
      <w:pPr>
        <w:spacing w:after="160"/>
        <w:jc w:val="both"/>
      </w:pPr>
      <w:r>
        <w:rPr>
          <w:rFonts w:ascii="Arial" w:cs="Arial" w:eastAsia="Arial" w:hAnsi="Arial"/>
          <w:sz w:val="22"/>
          <w:szCs w:val="22"/>
        </w:rPr>
        <w:t xml:space="preserve">8. That the address of the Caveator and his counsel for service of all notices, applications, and documents is as set out below.</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take this Caveat on record and direct that the same be duly registered in the caveat register maintained by this Hon'ble Court;</w:t>
      </w:r>
    </w:p>
    <w:p>
      <w:pPr>
        <w:spacing w:after="160"/>
        <w:jc w:val="both"/>
      </w:pPr>
      <w:r>
        <w:rPr>
          <w:rFonts w:ascii="Arial" w:cs="Arial" w:eastAsia="Arial" w:hAnsi="Arial"/>
          <w:sz w:val="22"/>
          <w:szCs w:val="22"/>
        </w:rPr>
        <w:t xml:space="preserve">(b) direct that no ex parte order, whether ad interim or otherwise, be passed in any suit or application that may be instituted or made by the Expected Plaintiff against the Caveator, without prior notice to, and without hearing, the Caveator;</w:t>
      </w:r>
    </w:p>
    <w:p>
      <w:pPr>
        <w:spacing w:after="160"/>
        <w:jc w:val="both"/>
      </w:pPr>
      <w:r>
        <w:rPr>
          <w:rFonts w:ascii="Arial" w:cs="Arial" w:eastAsia="Arial" w:hAnsi="Arial"/>
          <w:sz w:val="22"/>
          <w:szCs w:val="22"/>
        </w:rPr>
        <w:t xml:space="preserve">(c) direct that notice of any such suit or application, together with copies of the plaint/application and all supporting documents, be forthwith served upon the Caveator in the event any such suit or application is instituted or made; and</w:t>
      </w:r>
    </w:p>
    <w:p>
      <w:pPr>
        <w:spacing w:after="160"/>
        <w:jc w:val="both"/>
      </w:pPr>
      <w:r>
        <w:rPr>
          <w:rFonts w:ascii="Arial" w:cs="Arial" w:eastAsia="Arial" w:hAnsi="Arial"/>
          <w:sz w:val="22"/>
          <w:szCs w:val="22"/>
        </w:rPr>
        <w:t xml:space="preserve">(d) pass such other order(s) as this Hon'ble Court may deem fit and proper in the interest of justice.</w:t>
      </w:r>
    </w:p>
    <w:p>
      <w:pPr>
        <w:spacing w:after="200" w:before="200"/>
        <w:jc w:val="center"/>
      </w:pPr>
      <w:r>
        <w:rPr>
          <w:rFonts w:ascii="Arial" w:cs="Arial" w:eastAsia="Arial" w:hAnsi="Arial"/>
          <w:b/>
          <w:bCs/>
          <w:sz w:val="22"/>
          <w:szCs w:val="22"/>
        </w:rPr>
        <w:t xml:space="preserve">CAVEATOR</w:t>
      </w:r>
    </w:p>
    <w:p>
      <w:pPr>
        <w:spacing w:after="160"/>
        <w:jc w:val="both"/>
      </w:pPr>
      <w:r>
        <w:rPr>
          <w:rFonts w:ascii="Arial" w:cs="Arial" w:eastAsia="Arial" w:hAnsi="Arial"/>
          <w:sz w:val="22"/>
          <w:szCs w:val="22"/>
        </w:rPr>
        <w:t xml:space="preserve">Through Counsel</w:t>
      </w:r>
    </w:p>
    <w:p>
      <w:pPr>
        <w:spacing w:after="160"/>
        <w:jc w:val="both"/>
      </w:pPr>
      <w:r>
        <w:rPr>
          <w:rFonts w:ascii="Arial" w:cs="Arial" w:eastAsia="Arial" w:hAnsi="Arial"/>
          <w:sz w:val="22"/>
          <w:szCs w:val="22"/>
        </w:rPr>
        <w:t xml:space="preserve">Address for Service:</w:t>
      </w:r>
    </w:p>
    <w:p>
      <w:pPr>
        <w:spacing w:after="160"/>
        <w:jc w:val="both"/>
      </w:pPr>
      <w:r>
        <w:rPr>
          <w:rFonts w:ascii="Arial" w:cs="Arial" w:eastAsia="Arial" w:hAnsi="Arial"/>
          <w:sz w:val="22"/>
          <w:szCs w:val="22"/>
        </w:rPr>
        <w:t xml:space="preserve">[Name of Advocate]</w:t>
      </w:r>
    </w:p>
    <w:p>
      <w:pPr>
        <w:spacing w:after="160"/>
        <w:jc w:val="both"/>
      </w:pPr>
      <w:r>
        <w:rPr>
          <w:rFonts w:ascii="Arial" w:cs="Arial" w:eastAsia="Arial" w:hAnsi="Arial"/>
          <w:sz w:val="22"/>
          <w:szCs w:val="22"/>
        </w:rPr>
        <w:t xml:space="preserve">[Office Address]</w:t>
      </w:r>
    </w:p>
    <w:p>
      <w:pPr>
        <w:spacing w:after="160"/>
        <w:jc w:val="both"/>
      </w:pPr>
      <w:r>
        <w:rPr>
          <w:rFonts w:ascii="Arial" w:cs="Arial" w:eastAsia="Arial" w:hAnsi="Arial"/>
          <w:sz w:val="22"/>
          <w:szCs w:val="22"/>
        </w:rPr>
        <w:t xml:space="preserve">[Mobile/Email]</w:t>
      </w:r>
    </w:p>
    <w:p>
      <w:pPr>
        <w:spacing w:after="200" w:before="200"/>
        <w:jc w:val="center"/>
      </w:pPr>
      <w:r>
        <w:rPr>
          <w:rFonts w:ascii="Arial" w:cs="Arial" w:eastAsia="Arial" w:hAnsi="Arial"/>
          <w:b/>
          <w:bCs/>
          <w:sz w:val="22"/>
          <w:szCs w:val="22"/>
        </w:rPr>
        <w:t xml:space="preserve">VERIFICATION</w:t>
      </w:r>
    </w:p>
    <w:p>
      <w:pPr>
        <w:spacing w:after="160"/>
        <w:jc w:val="both"/>
      </w:pPr>
      <w:r>
        <w:rPr>
          <w:rFonts w:ascii="Arial" w:cs="Arial" w:eastAsia="Arial" w:hAnsi="Arial"/>
          <w:sz w:val="22"/>
          <w:szCs w:val="22"/>
        </w:rPr>
        <w:t xml:space="preserve">I, Mr. Rajiv Malhotra, the Caveator above named, do hereby verify that the contents of paragraphs 1 to 8 of the above caveat petition are true and correct to my knowledge and belief, save and except those stated to be on information received, which I believe to be true, and nothing material has been concealed therefrom.</w:t>
      </w:r>
    </w:p>
    <w:p>
      <w:pPr>
        <w:spacing w:after="160"/>
        <w:jc w:val="both"/>
      </w:pPr>
      <w:r>
        <w:rPr>
          <w:rFonts w:ascii="Arial" w:cs="Arial" w:eastAsia="Arial" w:hAnsi="Arial"/>
          <w:sz w:val="22"/>
          <w:szCs w:val="22"/>
        </w:rPr>
        <w:t xml:space="preserve">Verified at [City] on this _____ day of ________, 2026.</w:t>
      </w:r>
    </w:p>
    <w:p>
      <w:pPr>
        <w:spacing w:after="160"/>
        <w:jc w:val="both"/>
      </w:pPr>
      <w:r>
        <w:rPr>
          <w:rFonts w:ascii="Arial" w:cs="Arial" w:eastAsia="Arial" w:hAnsi="Arial"/>
          <w:sz w:val="22"/>
          <w:szCs w:val="22"/>
        </w:rPr>
        <w:t xml:space="preserve">DEPONENT</w:t>
      </w:r>
    </w:p>
    <w:p>
      <w:pPr>
        <w:spacing w:after="200" w:before="200"/>
        <w:jc w:val="center"/>
      </w:pPr>
      <w:r>
        <w:rPr>
          <w:rFonts w:ascii="Arial" w:cs="Arial" w:eastAsia="Arial" w:hAnsi="Arial"/>
          <w:b/>
          <w:bCs/>
          <w:sz w:val="22"/>
          <w:szCs w:val="22"/>
        </w:rPr>
        <w:t xml:space="preserve">NOTICE OF CAVEAT TO BE SERVED ON THE EXPECTED PLAINTIFF</w:t>
      </w:r>
    </w:p>
    <w:p>
      <w:pPr>
        <w:spacing w:after="160"/>
        <w:jc w:val="both"/>
      </w:pPr>
      <w:r>
        <w:rPr>
          <w:rFonts w:ascii="Arial" w:cs="Arial" w:eastAsia="Arial" w:hAnsi="Arial"/>
          <w:sz w:val="22"/>
          <w:szCs w:val="22"/>
        </w:rPr>
        <w:t xml:space="preserve">(Under Section 148-A(2) of the Code of Civil Procedure, 1908, by Registered Post A.D.)</w:t>
      </w:r>
    </w:p>
    <w:p>
      <w:pPr>
        <w:spacing w:after="160"/>
        <w:jc w:val="both"/>
      </w:pPr>
      <w:r>
        <w:rPr>
          <w:rFonts w:ascii="Arial" w:cs="Arial" w:eastAsia="Arial" w:hAnsi="Arial"/>
          <w:sz w:val="22"/>
          <w:szCs w:val="22"/>
        </w:rPr>
        <w:t xml:space="preserve">To,</w:t>
      </w:r>
    </w:p>
    <w:p>
      <w:pPr>
        <w:spacing w:after="160"/>
        <w:jc w:val="both"/>
      </w:pPr>
      <w:r>
        <w:rPr>
          <w:rFonts w:ascii="Arial" w:cs="Arial" w:eastAsia="Arial" w:hAnsi="Arial"/>
          <w:sz w:val="22"/>
          <w:szCs w:val="22"/>
        </w:rPr>
        <w:t xml:space="preserve">Mr. Deepak Chawla,</w:t>
      </w:r>
    </w:p>
    <w:p>
      <w:pPr>
        <w:spacing w:after="160"/>
        <w:jc w:val="both"/>
      </w:pPr>
      <w:r>
        <w:rPr>
          <w:rFonts w:ascii="Arial" w:cs="Arial" w:eastAsia="Arial" w:hAnsi="Arial"/>
          <w:sz w:val="22"/>
          <w:szCs w:val="22"/>
        </w:rPr>
        <w:t xml:space="preserve">C-45, Greenwood Colony, [City] – [PIN]</w:t>
      </w:r>
    </w:p>
    <w:p>
      <w:pPr>
        <w:spacing w:after="160"/>
        <w:jc w:val="both"/>
      </w:pPr>
      <w:r>
        <w:rPr>
          <w:rFonts w:ascii="Arial" w:cs="Arial" w:eastAsia="Arial" w:hAnsi="Arial"/>
          <w:sz w:val="22"/>
          <w:szCs w:val="22"/>
        </w:rPr>
        <w:t xml:space="preserve">Sir,</w:t>
      </w:r>
    </w:p>
    <w:p>
      <w:pPr>
        <w:spacing w:after="160"/>
        <w:jc w:val="both"/>
      </w:pPr>
      <w:r>
        <w:rPr>
          <w:rFonts w:ascii="Arial" w:cs="Arial" w:eastAsia="Arial" w:hAnsi="Arial"/>
          <w:sz w:val="22"/>
          <w:szCs w:val="22"/>
        </w:rPr>
        <w:t xml:space="preserve">TAKE NOTICE that a Caveat has been lodged by me, Rajiv Malhotra, on [date], before the Court of the District Judge at [City], in respect of any suit or application that may be filed by you against me in relation to the partnership firm M/s Chawla-Malhotra Enterprises, and that, in terms of Section 148-A of the Code of Civil Procedure, 1908, no order shall be passed by the said Court on any such suit or application without notice to me.</w:t>
      </w:r>
    </w:p>
    <w:p>
      <w:pPr>
        <w:spacing w:after="160"/>
        <w:jc w:val="both"/>
      </w:pPr>
      <w:r>
        <w:rPr>
          <w:rFonts w:ascii="Arial" w:cs="Arial" w:eastAsia="Arial" w:hAnsi="Arial"/>
          <w:sz w:val="22"/>
          <w:szCs w:val="22"/>
        </w:rPr>
        <w:t xml:space="preserve">You are accordingly required to take notice that any application for ex parte relief sought by you shall not be heard or decided without notice to me being given as aforesaid.</w:t>
      </w:r>
    </w:p>
    <w:p>
      <w:pPr>
        <w:spacing w:after="160"/>
        <w:jc w:val="both"/>
      </w:pPr>
      <w:r>
        <w:rPr>
          <w:rFonts w:ascii="Arial" w:cs="Arial" w:eastAsia="Arial" w:hAnsi="Arial"/>
          <w:sz w:val="22"/>
          <w:szCs w:val="22"/>
        </w:rPr>
        <w:t xml:space="preserve">Yours faithfully,</w:t>
      </w:r>
    </w:p>
    <w:p>
      <w:pPr>
        <w:spacing w:after="160"/>
        <w:jc w:val="both"/>
      </w:pPr>
      <w:r>
        <w:rPr>
          <w:rFonts w:ascii="Arial" w:cs="Arial" w:eastAsia="Arial" w:hAnsi="Arial"/>
          <w:sz w:val="22"/>
          <w:szCs w:val="22"/>
        </w:rPr>
        <w:t xml:space="preserve">(RAJIV MALHOTRA)</w:t>
      </w:r>
    </w:p>
    <w:p>
      <w:pPr>
        <w:spacing w:after="200" w:before="200"/>
        <w:jc w:val="center"/>
      </w:pPr>
      <w:r>
        <w:rPr>
          <w:rFonts w:ascii="Arial" w:cs="Arial" w:eastAsia="Arial" w:hAnsi="Arial"/>
          <w:b/>
          <w:bCs/>
          <w:sz w:val="22"/>
          <w:szCs w:val="22"/>
        </w:rPr>
        <w:t xml:space="preserve">CAVEATOR</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Partnership Deed dated 1.4.2018 — Annexure C-1</w:t>
      </w:r>
    </w:p>
    <w:p>
      <w:pPr>
        <w:spacing w:after="160"/>
        <w:jc w:val="both"/>
      </w:pPr>
      <w:r>
        <w:rPr>
          <w:rFonts w:ascii="Arial" w:cs="Arial" w:eastAsia="Arial" w:hAnsi="Arial"/>
          <w:sz w:val="22"/>
          <w:szCs w:val="22"/>
        </w:rPr>
        <w:t xml:space="preserve">2. Vakalatnama</w:t>
      </w:r>
    </w:p>
    <w:p>
      <w:pPr>
        <w:spacing w:after="160"/>
        <w:jc w:val="both"/>
      </w:pPr>
      <w:r>
        <w:rPr>
          <w:rFonts w:ascii="Arial" w:cs="Arial" w:eastAsia="Arial" w:hAnsi="Arial"/>
          <w:sz w:val="22"/>
          <w:szCs w:val="22"/>
        </w:rPr>
        <w:t xml:space="preserve">3. Court fee receipt</w:t>
      </w:r>
    </w:p>
    <w:p>
      <w:r>
        <w:br w:type="page"/>
      </w:r>
    </w:p>
    <w:p>
      <w:pPr>
        <w:pStyle w:val="Heading1"/>
      </w:pPr>
      <w:r>
        <w:t xml:space="preserve">5. INJUNCTION APPLICATION / PRELIMINARY ISSUE APPLICATION</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spacing w:after="160"/>
        <w:jc w:val="both"/>
      </w:pPr>
      <w:r>
        <w:rPr>
          <w:rFonts w:ascii="Arial" w:cs="Arial" w:eastAsia="Arial" w:hAnsi="Arial"/>
          <w:sz w:val="22"/>
          <w:szCs w:val="22"/>
        </w:rPr>
        <w:t xml:space="preserve">PART I: TEMPORARY INJUNCTION APPLICATION</w:t>
      </w:r>
    </w:p>
    <w:p>
      <w:pPr>
        <w:pStyle w:val="Heading2"/>
      </w:pPr>
      <w:r>
        <w:t xml:space="preserve">1. Introduction</w:t>
      </w:r>
    </w:p>
    <w:p>
      <w:pPr>
        <w:spacing w:after="160"/>
        <w:jc w:val="both"/>
      </w:pPr>
      <w:r>
        <w:rPr>
          <w:rFonts w:ascii="Arial" w:cs="Arial" w:eastAsia="Arial" w:hAnsi="Arial"/>
          <w:sz w:val="22"/>
          <w:szCs w:val="22"/>
        </w:rPr>
        <w:t xml:space="preserve">An injunction is an equitable, discretionary remedy by which a court directs a party to do, or refrain from doing, a particular act. Injunctions may be either temporary (interim/interlocutory) or perpetual (permanent). Temporary injunctions are governed by Order XXXIX, Rules 1 and 2, of the Code of Civil Procedure, 1908 ("CPC"), read with Sections 94 and 95 CPC, while the substantive law relating to injunctions generally — including perpetual injunctions and the circumstances in which injunctions may or may not be granted — is contained in the Specific Relief Act, 1963 ("SRA"), particularly Sections 36 to 42 thereof.</w:t>
      </w:r>
    </w:p>
    <w:p>
      <w:pPr>
        <w:pStyle w:val="Heading2"/>
      </w:pPr>
      <w:r>
        <w:t xml:space="preserve">2. Nature of Temporary Injunction</w:t>
      </w:r>
    </w:p>
    <w:p>
      <w:pPr>
        <w:spacing w:after="160"/>
        <w:jc w:val="both"/>
      </w:pPr>
      <w:r>
        <w:rPr>
          <w:rFonts w:ascii="Arial" w:cs="Arial" w:eastAsia="Arial" w:hAnsi="Arial"/>
          <w:sz w:val="22"/>
          <w:szCs w:val="22"/>
        </w:rPr>
        <w:t xml:space="preserve">A temporary injunction is granted during the pendency of the suit, to preserve the status quo or to prevent a particular injury pending final adjudication of the rights of the parties. It is, by its nature, an interim measure and does not finally determine the rights of the parties; its grant or refusal is based on a prima facie assessment, without conducting a full trial.</w:t>
      </w:r>
    </w:p>
    <w:p>
      <w:pPr>
        <w:pStyle w:val="Heading2"/>
      </w:pPr>
      <w:r>
        <w:t xml:space="preserve">3. Grounds for Grant of Temporary Injunction — Order XXXIX Rule 1</w:t>
      </w:r>
    </w:p>
    <w:p>
      <w:pPr>
        <w:spacing w:after="160"/>
        <w:jc w:val="both"/>
      </w:pPr>
      <w:r>
        <w:rPr>
          <w:rFonts w:ascii="Arial" w:cs="Arial" w:eastAsia="Arial" w:hAnsi="Arial"/>
          <w:sz w:val="22"/>
          <w:szCs w:val="22"/>
        </w:rPr>
        <w:t xml:space="preserve">Order XXXIX Rule 1 CPC empowers the court to grant a temporary injunction where:</w:t>
      </w:r>
    </w:p>
    <w:p>
      <w:pPr>
        <w:spacing w:after="160"/>
        <w:ind w:left="360"/>
        <w:jc w:val="both"/>
      </w:pPr>
      <w:r>
        <w:rPr>
          <w:rFonts w:ascii="Arial" w:cs="Arial" w:eastAsia="Arial" w:hAnsi="Arial"/>
          <w:sz w:val="22"/>
          <w:szCs w:val="22"/>
        </w:rPr>
        <w:t xml:space="preserve">(a) any property in dispute in a suit is in danger of being wasted, damaged, or alienated by any party to the suit, or wrongfully sold in execution of a decree; or</w:t>
      </w:r>
    </w:p>
    <w:p>
      <w:pPr>
        <w:spacing w:after="160"/>
        <w:ind w:left="360"/>
        <w:jc w:val="both"/>
      </w:pPr>
      <w:r>
        <w:rPr>
          <w:rFonts w:ascii="Arial" w:cs="Arial" w:eastAsia="Arial" w:hAnsi="Arial"/>
          <w:sz w:val="22"/>
          <w:szCs w:val="22"/>
        </w:rPr>
        <w:t xml:space="preserve">(b) the defendant threatens, or intends, to remove or dispose of his property with a view to defrauding his creditors; or</w:t>
      </w:r>
    </w:p>
    <w:p>
      <w:pPr>
        <w:spacing w:after="160"/>
        <w:ind w:left="360"/>
        <w:jc w:val="both"/>
      </w:pPr>
      <w:r>
        <w:rPr>
          <w:rFonts w:ascii="Arial" w:cs="Arial" w:eastAsia="Arial" w:hAnsi="Arial"/>
          <w:sz w:val="22"/>
          <w:szCs w:val="22"/>
        </w:rPr>
        <w:t xml:space="preserve">(c) the defendant threatens to dispossess the plaintiff, or otherwise cause injury to the plaintiff in relation to any property in dispute in the suit.</w:t>
      </w:r>
    </w:p>
    <w:p>
      <w:pPr>
        <w:spacing w:after="160"/>
        <w:jc w:val="both"/>
      </w:pPr>
      <w:r>
        <w:rPr>
          <w:rFonts w:ascii="Arial" w:cs="Arial" w:eastAsia="Arial" w:hAnsi="Arial"/>
          <w:sz w:val="22"/>
          <w:szCs w:val="22"/>
        </w:rPr>
        <w:t xml:space="preserve">Order XXXIX Rule 2 additionally empowers the court to grant a temporary injunction to restrain the defendant from committing a breach of contract, or other injury of any kind, in any suit for restraining the defendant from committing a breach of contract or other injury, whether compensation is claimed in the suit or not.</w:t>
      </w:r>
    </w:p>
    <w:p>
      <w:pPr>
        <w:pStyle w:val="Heading2"/>
      </w:pPr>
      <w:r>
        <w:t xml:space="preserve">4. The Three Settled Conditions for Grant of Temporary Injunction</w:t>
      </w:r>
    </w:p>
    <w:p>
      <w:pPr>
        <w:spacing w:after="160"/>
        <w:jc w:val="both"/>
      </w:pPr>
      <w:r>
        <w:rPr>
          <w:rFonts w:ascii="Arial" w:cs="Arial" w:eastAsia="Arial" w:hAnsi="Arial"/>
          <w:sz w:val="22"/>
          <w:szCs w:val="22"/>
        </w:rPr>
        <w:t xml:space="preserve">Although Order XXXIX does not itself enumerate the conditions for grant of injunction in so many words, it is settled law, reiterated by the Supreme Court time and again, that a plaintiff seeking a temporary injunction must establish the existence of three cumulative conditions:</w:t>
      </w:r>
    </w:p>
    <w:p>
      <w:pPr>
        <w:spacing w:after="160"/>
        <w:jc w:val="both"/>
      </w:pPr>
      <w:r>
        <w:rPr>
          <w:rFonts w:ascii="Arial" w:cs="Arial" w:eastAsia="Arial" w:hAnsi="Arial"/>
          <w:sz w:val="22"/>
          <w:szCs w:val="22"/>
        </w:rPr>
        <w:t xml:space="preserve">(i) </w:t>
      </w:r>
      <w:r>
        <w:rPr>
          <w:rFonts w:ascii="Arial" w:cs="Arial" w:eastAsia="Arial" w:hAnsi="Arial"/>
          <w:b/>
          <w:bCs/>
          <w:sz w:val="22"/>
          <w:szCs w:val="22"/>
        </w:rPr>
        <w:t xml:space="preserve">Prima facie case:</w:t>
      </w:r>
      <w:r>
        <w:rPr>
          <w:rFonts w:ascii="Arial" w:cs="Arial" w:eastAsia="Arial" w:hAnsi="Arial"/>
          <w:sz w:val="22"/>
          <w:szCs w:val="22"/>
        </w:rPr>
        <w:t xml:space="preserve"> The plaintiff must establish that there is a bona fide dispute raised by him, and that on the facts before the court, there is a probability of the plaintiff being entitled to the relief claimed by him. This does not mean that the plaintiff must establish a case which would entitle him to succeed at trial; it only means a case which discloses that there is a substantial question to be investigated and that the matter should be preserved in status quo until the question can be finally disposed of.</w:t>
      </w:r>
    </w:p>
    <w:p>
      <w:pPr>
        <w:spacing w:after="160"/>
        <w:jc w:val="both"/>
      </w:pPr>
      <w:r>
        <w:rPr>
          <w:rFonts w:ascii="Arial" w:cs="Arial" w:eastAsia="Arial" w:hAnsi="Arial"/>
          <w:sz w:val="22"/>
          <w:szCs w:val="22"/>
        </w:rPr>
        <w:t xml:space="preserve">(ii) </w:t>
      </w:r>
      <w:r>
        <w:rPr>
          <w:rFonts w:ascii="Arial" w:cs="Arial" w:eastAsia="Arial" w:hAnsi="Arial"/>
          <w:b/>
          <w:bCs/>
          <w:sz w:val="22"/>
          <w:szCs w:val="22"/>
        </w:rPr>
        <w:t xml:space="preserve">Balance of convenience:</w:t>
      </w:r>
      <w:r>
        <w:rPr>
          <w:rFonts w:ascii="Arial" w:cs="Arial" w:eastAsia="Arial" w:hAnsi="Arial"/>
          <w:sz w:val="22"/>
          <w:szCs w:val="22"/>
        </w:rPr>
        <w:t xml:space="preserve"> The court must weigh the comparative mischief or inconvenience that is likely to be caused to either party. The balance of convenience must be in favour of the party seeking the injunction, that is, the court must be satisfied that the inconvenience or injury that the plaintiff would suffer from withholding the injunction would be greater than the inconvenience or injury that the defendant would suffer if the injunction were granted.</w:t>
      </w:r>
    </w:p>
    <w:p>
      <w:pPr>
        <w:spacing w:after="160"/>
        <w:jc w:val="both"/>
      </w:pPr>
      <w:r>
        <w:rPr>
          <w:rFonts w:ascii="Arial" w:cs="Arial" w:eastAsia="Arial" w:hAnsi="Arial"/>
          <w:sz w:val="22"/>
          <w:szCs w:val="22"/>
        </w:rPr>
        <w:t xml:space="preserve">(iii) </w:t>
      </w:r>
      <w:r>
        <w:rPr>
          <w:rFonts w:ascii="Arial" w:cs="Arial" w:eastAsia="Arial" w:hAnsi="Arial"/>
          <w:b/>
          <w:bCs/>
          <w:sz w:val="22"/>
          <w:szCs w:val="22"/>
        </w:rPr>
        <w:t xml:space="preserve">Irreparable injury:</w:t>
      </w:r>
      <w:r>
        <w:rPr>
          <w:rFonts w:ascii="Arial" w:cs="Arial" w:eastAsia="Arial" w:hAnsi="Arial"/>
          <w:sz w:val="22"/>
          <w:szCs w:val="22"/>
        </w:rPr>
        <w:t xml:space="preserve"> The plaintiff must further establish that he would suffer irreparable injury if the injunction sought is not granted, and that there is no other adequate remedy available to him, such as a claim for damages, which would be an adequate substitute. "Irreparable injury" does not necessarily mean that there must be no physical possibility of repairing the injury, but means injury which is substantial and could not be adequately compensated for in terms of money.</w:t>
      </w:r>
    </w:p>
    <w:p>
      <w:pPr>
        <w:spacing w:after="160"/>
        <w:jc w:val="both"/>
      </w:pPr>
      <w:r>
        <w:rPr>
          <w:rFonts w:ascii="Arial" w:cs="Arial" w:eastAsia="Arial" w:hAnsi="Arial"/>
          <w:sz w:val="22"/>
          <w:szCs w:val="22"/>
        </w:rPr>
        <w:t xml:space="preserve">All three conditions must ordinarily be satisfied conjunctively; the absence of any one is generally fatal to the grant of a temporary injunction, although courts retain a measure of discretion in weighing these factors holistically rather than mechanically.</w:t>
      </w:r>
    </w:p>
    <w:p>
      <w:pPr>
        <w:pStyle w:val="Heading2"/>
      </w:pPr>
      <w:r>
        <w:t xml:space="preserve">5. Procedure: Notice and Ex Parte Injunctions</w:t>
      </w:r>
    </w:p>
    <w:p>
      <w:pPr>
        <w:spacing w:after="160"/>
        <w:jc w:val="both"/>
      </w:pPr>
      <w:r>
        <w:rPr>
          <w:rFonts w:ascii="Arial" w:cs="Arial" w:eastAsia="Arial" w:hAnsi="Arial"/>
          <w:sz w:val="22"/>
          <w:szCs w:val="22"/>
        </w:rPr>
        <w:t xml:space="preserve">Order XXXIX Rule 3 mandates that the court shall, in all cases, before granting an injunction, direct notice of the application to be given to the opposite party, except where it appears that the object of granting the injunction would be defeated by the delay. Where the court proposes to grant an injunction without giving notice (i.e., an ex parte ad interim injunction), it must record reasons for its opinion that the object of granting the injunction would be defeated by delay, and the plaintiff must, in such case:</w:t>
      </w:r>
    </w:p>
    <w:p>
      <w:pPr>
        <w:spacing w:after="160"/>
        <w:ind w:left="360"/>
        <w:jc w:val="both"/>
      </w:pPr>
      <w:r>
        <w:rPr>
          <w:rFonts w:ascii="Arial" w:cs="Arial" w:eastAsia="Arial" w:hAnsi="Arial"/>
          <w:sz w:val="22"/>
          <w:szCs w:val="22"/>
        </w:rPr>
        <w:t xml:space="preserve">(a) deliver to the opposite party, or send by registered post/courier, immediately after the order granting the injunction, a copy of the application, the affidavit filed in support, the plaint, and any other documents; and</w:t>
      </w:r>
    </w:p>
    <w:p>
      <w:pPr>
        <w:spacing w:after="160"/>
        <w:ind w:left="360"/>
        <w:jc w:val="both"/>
      </w:pPr>
      <w:r>
        <w:rPr>
          <w:rFonts w:ascii="Arial" w:cs="Arial" w:eastAsia="Arial" w:hAnsi="Arial"/>
          <w:sz w:val="22"/>
          <w:szCs w:val="22"/>
        </w:rPr>
        <w:t xml:space="preserve">(b) file an affidavit confirming that the said copies have been so delivered or sent, within the time fixed by the court (ordinarily within a few days of the order).</w:t>
      </w:r>
    </w:p>
    <w:p>
      <w:pPr>
        <w:spacing w:after="160"/>
        <w:jc w:val="both"/>
      </w:pPr>
      <w:r>
        <w:rPr>
          <w:rFonts w:ascii="Arial" w:cs="Arial" w:eastAsia="Arial" w:hAnsi="Arial"/>
          <w:sz w:val="22"/>
          <w:szCs w:val="22"/>
        </w:rPr>
        <w:t xml:space="preserve">Failure to comply with these requirements may result in vacation of the ex parte order. Further, Rule 3-A requires that where an injunction has been granted without giving notice to the opposite party, the court shall make an endeavour to finally dispose of the application within thirty days from the date on which the injunction was granted, and where it is unable to do so, it must record reasons for such inability.</w:t>
      </w:r>
    </w:p>
    <w:p>
      <w:pPr>
        <w:pStyle w:val="Heading2"/>
      </w:pPr>
      <w:r>
        <w:t xml:space="preserve">6. Undertaking and Security</w:t>
      </w:r>
    </w:p>
    <w:p>
      <w:pPr>
        <w:spacing w:after="160"/>
        <w:jc w:val="both"/>
      </w:pPr>
      <w:r>
        <w:rPr>
          <w:rFonts w:ascii="Arial" w:cs="Arial" w:eastAsia="Arial" w:hAnsi="Arial"/>
          <w:sz w:val="22"/>
          <w:szCs w:val="22"/>
        </w:rPr>
        <w:t xml:space="preserve">Order XXXIX Rule 1 itself contemplates that the court, while granting a temporary injunction, may direct the applicant to furnish security for due performance of any order which may be made finally, or may require an undertaking from the applicant as to damages, costs, etc. Courts often grant interim injunctions subject to the plaintiff undertaking to make good any loss caused to the defendant in case the suit ultimately fails.</w:t>
      </w:r>
    </w:p>
    <w:p>
      <w:pPr>
        <w:pStyle w:val="Heading2"/>
      </w:pPr>
      <w:r>
        <w:t xml:space="preserve">7. Vacating/Dissolving an Injunction; Disobedience</w:t>
      </w:r>
    </w:p>
    <w:p>
      <w:pPr>
        <w:spacing w:after="160"/>
        <w:jc w:val="both"/>
      </w:pPr>
      <w:r>
        <w:rPr>
          <w:rFonts w:ascii="Arial" w:cs="Arial" w:eastAsia="Arial" w:hAnsi="Arial"/>
          <w:sz w:val="22"/>
          <w:szCs w:val="22"/>
        </w:rPr>
        <w:t xml:space="preserve">Order XXXIX Rule 4 allows the court, on application made to it, to discharge, vary, or set aside an order of injunction, particularly where it is proved that such order was obtained by suppression of material facts or misrepresentation, or where there has been a change of circumstances. Order XXXIX Rule 2-A makes consequences for disobedience of an injunction order clear — the court may order attachment of the property of the disobeying party, and, in appropriate cases, order detention in civil prison for a term not exceeding three months, unless the court directs the property to be released earlier or the detention to terminate earlier on the disobeying party giving an undertaking to obey.</w:t>
      </w:r>
    </w:p>
    <w:p>
      <w:pPr>
        <w:pStyle w:val="Heading2"/>
      </w:pPr>
      <w:r>
        <w:t xml:space="preserve">8. Perpetual Injunction under the Specific Relief Act, 1963</w:t>
      </w:r>
    </w:p>
    <w:p>
      <w:pPr>
        <w:spacing w:after="160"/>
        <w:jc w:val="both"/>
      </w:pPr>
      <w:r>
        <w:rPr>
          <w:rFonts w:ascii="Arial" w:cs="Arial" w:eastAsia="Arial" w:hAnsi="Arial"/>
          <w:sz w:val="22"/>
          <w:szCs w:val="22"/>
        </w:rPr>
        <w:t xml:space="preserve">Sections 36 to 42 of the SRA deal with the substantive grant of preventive relief by way of injunction:</w:t>
      </w:r>
    </w:p>
    <w:p>
      <w:pPr>
        <w:spacing w:after="160"/>
        <w:jc w:val="both"/>
      </w:pPr>
      <w:r>
        <w:rPr>
          <w:rFonts w:ascii="Arial" w:cs="Arial" w:eastAsia="Arial" w:hAnsi="Arial"/>
          <w:sz w:val="22"/>
          <w:szCs w:val="22"/>
        </w:rPr>
        <w:t xml:space="preserve">- Section 38 SRA deals with the cases in which perpetual injunction may be granted, including where the defendant invades or threatens to invade the plaintiff's right to, or enjoyment of, property, and includes circumstances such as where the defendant is a trustee of the property for the plaintiff, where there exists no standard for ascertaining actual damage caused by invasion, where compensation in money would not afford adequate relief, or where the injunction is necessary to prevent a multiplicity of judicial proceedings.</w:t>
      </w:r>
    </w:p>
    <w:p>
      <w:pPr>
        <w:spacing w:after="160"/>
        <w:jc w:val="both"/>
      </w:pPr>
      <w:r>
        <w:rPr>
          <w:rFonts w:ascii="Arial" w:cs="Arial" w:eastAsia="Arial" w:hAnsi="Arial"/>
          <w:sz w:val="22"/>
          <w:szCs w:val="22"/>
        </w:rPr>
        <w:t xml:space="preserve">- Section 41 SRA enumerates circumstances in which an injunction cannot be granted, e.g., to restrain any person from prosecuting a judicial proceeding pending at the institution of the suit unless restraint is necessary to prevent multiplicity of proceedings; to restrain any person from instituting/prosecuting any proceeding in a court not subordinate to the one from which the injunction is sought; to restrain any party from applying to a legislative body; to restrain any person from instituting or prosecuting any proceeding in a criminal matter; where equally efficacious relief can be obtained by other usual mode of proceeding (except in breach of trust); where the conduct of the plaintiff or his agents disentitles him from court's assistance; or where the plaintiff has no personal interest in the matter.</w:t>
      </w:r>
    </w:p>
    <w:p>
      <w:pPr>
        <w:spacing w:after="160"/>
        <w:jc w:val="both"/>
      </w:pPr>
      <w:r>
        <w:rPr>
          <w:rFonts w:ascii="Arial" w:cs="Arial" w:eastAsia="Arial" w:hAnsi="Arial"/>
          <w:sz w:val="22"/>
          <w:szCs w:val="22"/>
        </w:rPr>
        <w:t xml:space="preserve">- Section 41(h) (after the 2018 amendment to the SRA, which substituted "equally efficacious relief" reading) restricts grant of injunction where such other equally efficacious relief is obtainable by other usual mode of proceeding.</w:t>
      </w:r>
    </w:p>
    <w:p>
      <w:pPr>
        <w:pStyle w:val="Heading2"/>
      </w:pPr>
      <w:r>
        <w:t xml:space="preserve">9. Mandatory Injunction</w:t>
      </w:r>
    </w:p>
    <w:p>
      <w:pPr>
        <w:spacing w:after="160"/>
        <w:jc w:val="both"/>
      </w:pPr>
      <w:r>
        <w:rPr>
          <w:rFonts w:ascii="Arial" w:cs="Arial" w:eastAsia="Arial" w:hAnsi="Arial"/>
          <w:sz w:val="22"/>
          <w:szCs w:val="22"/>
        </w:rPr>
        <w:t xml:space="preserve">Section 39 SRA deals with mandatory injunctions, which compel performance of an act, and may be granted to prevent breach of an obligation, where it is necessary to compel performance of the requisite acts. Mandatory injunctions, even at the interim stage, are granted sparingly and only in cases of a clear and strong prima facie case, since they go beyond merely preserving status quo and effectively grant final relief at an interlocutory stage.</w:t>
      </w:r>
    </w:p>
    <w:p>
      <w:pPr>
        <w:spacing w:after="160"/>
        <w:jc w:val="both"/>
      </w:pPr>
      <w:r>
        <w:rPr>
          <w:rFonts w:ascii="Arial" w:cs="Arial" w:eastAsia="Arial" w:hAnsi="Arial"/>
          <w:sz w:val="22"/>
          <w:szCs w:val="22"/>
        </w:rPr>
        <w:t xml:space="preserve">PART II: APPLICATION ON PRELIMINARY ISSUE</w:t>
      </w:r>
    </w:p>
    <w:p>
      <w:pPr>
        <w:pStyle w:val="Heading2"/>
      </w:pPr>
      <w:r>
        <w:t xml:space="preserve">10. Framing of Preliminary Issues — Order XIV Rule 2 CPC</w:t>
      </w:r>
    </w:p>
    <w:p>
      <w:pPr>
        <w:spacing w:after="160"/>
        <w:jc w:val="both"/>
      </w:pPr>
      <w:r>
        <w:rPr>
          <w:rFonts w:ascii="Arial" w:cs="Arial" w:eastAsia="Arial" w:hAnsi="Arial"/>
          <w:sz w:val="22"/>
          <w:szCs w:val="22"/>
        </w:rPr>
        <w:t xml:space="preserve">Order XIV Rule 2 CPC provides that where issues both of law and of fact arise in the same suit, and the court is of the opinion that the case, or any part thereof, may be disposed of on an issue of law only, it may try that issue first if it relates to (a) the jurisdiction of the court, or (b) a bar to the suit created by any law for the time being in force. Such an issue is termed a "preliminary issue." The object of trying a preliminary issue first is to avoid the time, cost, and effort of a full trial where the suit can be disposed of, in whole or part, purely on a question of law, such as limitation, lack of jurisdiction, or a statutory bar (e.g., res judicata, absence of mandatory notice under Section 80 CPC, or an arbitration clause attracting Section 8 of the Arbitration and Conciliation Act, 1996).</w:t>
      </w:r>
    </w:p>
    <w:p>
      <w:pPr>
        <w:pStyle w:val="Heading2"/>
      </w:pPr>
      <w:r>
        <w:t xml:space="preserve">11. Application to Try Preliminary Issue</w:t>
      </w:r>
    </w:p>
    <w:p>
      <w:pPr>
        <w:spacing w:after="160"/>
        <w:jc w:val="both"/>
      </w:pPr>
      <w:r>
        <w:rPr>
          <w:rFonts w:ascii="Arial" w:cs="Arial" w:eastAsia="Arial" w:hAnsi="Arial"/>
          <w:sz w:val="22"/>
          <w:szCs w:val="22"/>
        </w:rPr>
        <w:t xml:space="preserve">A party (typically the defendant) who believes that the suit is liable to be dismissed purely on a legal/jurisdictional ground may move an application requesting the court to frame and try that issue as a preliminary issue before proceeding to record evidence on the merits, thereby avoiding unnecessary trial of fact-intensive issues if the suit can be disposed of on the threshold legal ground alone. While Order XIV Rule 2 vests the court with the discretion to try issues of law as preliminary issues suo motu, in practice a party files a formal application drawing the court's attention to the legal/jurisdictional issue and requesting that the same be tried first.</w:t>
      </w:r>
    </w:p>
    <w:p>
      <w:pPr>
        <w:pStyle w:val="Heading2"/>
      </w:pPr>
      <w:r>
        <w:t xml:space="preserve">12. Conclusion</w:t>
      </w:r>
    </w:p>
    <w:p>
      <w:pPr>
        <w:spacing w:after="160"/>
        <w:jc w:val="both"/>
      </w:pPr>
      <w:r>
        <w:rPr>
          <w:rFonts w:ascii="Arial" w:cs="Arial" w:eastAsia="Arial" w:hAnsi="Arial"/>
          <w:sz w:val="22"/>
          <w:szCs w:val="22"/>
        </w:rPr>
        <w:t xml:space="preserve">Injunction applications are among the most frequently litigated interlocutory applications in civil practice, since the grant or refusal of interim relief can often determine the practical outcome of a dispute long before the final trial concludes. A well-drafted injunction application must squarely establish prima facie case, balance of convenience, and irreparable injury, supported by a detailed affidavit and documentary evidence, and must justify, where ex parte relief is sought, why notice to the opposite party would defeat the object of the application. An application for trial of a preliminary issue, on the other hand, is a procedural tool of efficiency, properly invoked where a clear question of law or jurisdiction is capable of disposing of the suit (or a substantial part of it) without the need for a full-fledged trial on facts.</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(A) DRAFT APPLICATION FOR TEMPORARY INJUNCTION UNDER ORDER XXXIX RULES 1 AND 2 CPC, AND (B) DRAFT APPLICATION FOR TRIAL OF PRELIMINARY ISSUE UNDER ORDER XIV RULE 2 CPC</w:t>
      </w:r>
    </w:p>
    <w:p>
      <w:pPr>
        <w:spacing w:after="300"/>
        <w:jc w:val="center"/>
      </w:pPr>
      <w:r>
        <w:rPr>
          <w:rFonts w:ascii="Arial" w:cs="Arial" w:eastAsia="Arial" w:hAnsi="Arial"/>
          <w:i/>
          <w:iCs/>
          <w:sz w:val="20"/>
          <w:szCs w:val="20"/>
        </w:rPr>
        <w:t xml:space="preserve">(Presumed Facts: The Plaintiff, owner of a residential plot, has filed a suit for permanent injunction against the Defendant neighbour who has commenced unauthorised construction encroaching upon a 4-foot strip of the Plaintiff's land, and seeks an ad interim injunction pending the suit. Separately, the Defendant, in the same suit, files an application contending that the suit is barred by limitation and seeks trial of this issue as a preliminary issue.)</w:t>
      </w:r>
    </w:p>
    <w:p>
      <w:pPr>
        <w:spacing w:after="200" w:before="200"/>
        <w:jc w:val="center"/>
      </w:pPr>
      <w:r>
        <w:rPr>
          <w:rFonts w:ascii="Arial" w:cs="Arial" w:eastAsia="Arial" w:hAnsi="Arial"/>
          <w:b/>
          <w:bCs/>
          <w:sz w:val="22"/>
          <w:szCs w:val="22"/>
        </w:rPr>
        <w:t xml:space="preserve">PART A — APPLICATION FOR TEMPORARY INJUNCTION</w:t>
      </w:r>
    </w:p>
    <w:p>
      <w:pPr>
        <w:spacing w:after="200" w:before="200"/>
        <w:jc w:val="center"/>
      </w:pPr>
      <w:r>
        <w:rPr>
          <w:rFonts w:ascii="Arial" w:cs="Arial" w:eastAsia="Arial" w:hAnsi="Arial"/>
          <w:b/>
          <w:bCs/>
          <w:sz w:val="22"/>
          <w:szCs w:val="22"/>
        </w:rPr>
        <w:t xml:space="preserve">IN THE COURT OF THE CIVIL JUDGE (SENIOR DIVISION), AT [CITY]</w:t>
      </w:r>
    </w:p>
    <w:p>
      <w:pPr>
        <w:spacing w:after="160"/>
        <w:jc w:val="both"/>
      </w:pPr>
      <w:r>
        <w:rPr>
          <w:rFonts w:ascii="Arial" w:cs="Arial" w:eastAsia="Arial" w:hAnsi="Arial"/>
          <w:sz w:val="22"/>
          <w:szCs w:val="22"/>
        </w:rPr>
        <w:t xml:space="preserve">Civil Suit No. _____ of 2026</w:t>
      </w:r>
    </w:p>
    <w:p>
      <w:pPr>
        <w:spacing w:after="160"/>
        <w:jc w:val="both"/>
      </w:pPr>
      <w:r>
        <w:rPr>
          <w:rFonts w:ascii="Arial" w:cs="Arial" w:eastAsia="Arial" w:hAnsi="Arial"/>
          <w:sz w:val="22"/>
          <w:szCs w:val="22"/>
        </w:rPr>
        <w:t xml:space="preserve">Mr. Vikram Mehta ..........................................................................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Sanjay Oberoi .......................................................................... DEFENDANT</w:t>
      </w:r>
    </w:p>
    <w:p>
      <w:pPr>
        <w:spacing w:after="160"/>
        <w:jc w:val="both"/>
      </w:pPr>
      <w:r>
        <w:rPr>
          <w:rFonts w:ascii="Arial" w:cs="Arial" w:eastAsia="Arial" w:hAnsi="Arial"/>
          <w:sz w:val="22"/>
          <w:szCs w:val="22"/>
        </w:rPr>
        <w:t xml:space="preserve">APPLICATION FOR TEMPORARY INJUNCTION UNDER ORDER XXXIX RULES 1 AND 2 READ WITH SECTION 151 OF THE CODE OF CIVIL PROCEDURE, 1908</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Plaintiff has filed the accompanying suit for a permanent and mandatory injunction against the Defendant, restraining the Defendant from carrying out any construction over, and directing removal of existing encroachment from, a strip of land admeasuring 4 feet in width and 60 feet in length, forming part of Plot No. 45, Sector 12, [City], more particularly described in the Schedule to the plaint and shown in the site plan annexed thereto ("the suit property"), which the Plaintiff is the lawful owner of, having purchased the same vide registered Sale Deed dated 14th June 2015. A true copy of the said Sale Deed is filed as Annexure P-1 to the plaint.</w:t>
      </w:r>
    </w:p>
    <w:p>
      <w:pPr>
        <w:spacing w:after="160"/>
        <w:jc w:val="both"/>
      </w:pPr>
      <w:r>
        <w:rPr>
          <w:rFonts w:ascii="Arial" w:cs="Arial" w:eastAsia="Arial" w:hAnsi="Arial"/>
          <w:sz w:val="22"/>
          <w:szCs w:val="22"/>
        </w:rPr>
        <w:t xml:space="preserve">2. That the Defendant is the owner of the adjoining Plot No. 46, and has, since on or about 10th June 2026, commenced construction of a boundary wall and a portion of a residential structure that physically encroaches upon and trespasses into the said 4-foot strip forming part of the Plaintiff's plot, as is evident from photographs taken on 12th and 18th June 2026, filed herewith and marked as ANNEXURE IA-1 (Colly.), and from the report of a Licensed Surveyor dated 20th June 2026, filed herewith and marked as ANNEXURE IA-2, who measured both plots and confirmed the encroachment.</w:t>
      </w:r>
    </w:p>
    <w:p>
      <w:pPr>
        <w:spacing w:after="160"/>
        <w:jc w:val="both"/>
      </w:pPr>
      <w:r>
        <w:rPr>
          <w:rFonts w:ascii="Arial" w:cs="Arial" w:eastAsia="Arial" w:hAnsi="Arial"/>
          <w:sz w:val="22"/>
          <w:szCs w:val="22"/>
        </w:rPr>
        <w:t xml:space="preserve">3. That the Plaintiff has a strong prima facie case in his favour, the title to the suit property being established by the registered Sale Deed, the demarcation of the boundary being independently confirmed by the Licensed Surveyor's report, and the photographic evidence clearly depicting ongoing, unauthorised construction activity by the Defendant on the encroached strip.</w:t>
      </w:r>
    </w:p>
    <w:p>
      <w:pPr>
        <w:spacing w:after="160"/>
        <w:jc w:val="both"/>
      </w:pPr>
      <w:r>
        <w:rPr>
          <w:rFonts w:ascii="Arial" w:cs="Arial" w:eastAsia="Arial" w:hAnsi="Arial"/>
          <w:sz w:val="22"/>
          <w:szCs w:val="22"/>
        </w:rPr>
        <w:t xml:space="preserve">4. That the balance of convenience lies heavily in favour of the Plaintiff and against the Defendant, inasmuch as if the construction is permitted to continue, the Defendant shall complete a permanent structure on land not belonging to him, whereas if the injunction is granted, the Defendant merely has to confine his construction activity to his own plot, causing no real prejudice to the Defendant, who continues to enjoy the unencumbered use of the remainder of his plot.</w:t>
      </w:r>
    </w:p>
    <w:p>
      <w:pPr>
        <w:spacing w:after="160"/>
        <w:jc w:val="both"/>
      </w:pPr>
      <w:r>
        <w:rPr>
          <w:rFonts w:ascii="Arial" w:cs="Arial" w:eastAsia="Arial" w:hAnsi="Arial"/>
          <w:sz w:val="22"/>
          <w:szCs w:val="22"/>
        </w:rPr>
        <w:t xml:space="preserve">5. That the Plaintiff shall suffer grave and irreparable injury if the injunction sought is not granted, since once the Defendant completes construction of a permanent structure (including a boundary wall and a portion of a building) on the encroached strip, the demolition of such permanent structure at a later stage, even if the Plaintiff succeeds in the suit, would entail substantial expense, inconvenience, and potential damage to the Plaintiff's own adjoining structures, and no amount of monetary compensation could adequately compensate the Plaintiff for the loss of peaceful enjoyment of his property in its original dimensions.</w:t>
      </w:r>
    </w:p>
    <w:p>
      <w:pPr>
        <w:spacing w:after="160"/>
        <w:jc w:val="both"/>
      </w:pPr>
      <w:r>
        <w:rPr>
          <w:rFonts w:ascii="Arial" w:cs="Arial" w:eastAsia="Arial" w:hAnsi="Arial"/>
          <w:sz w:val="22"/>
          <w:szCs w:val="22"/>
        </w:rPr>
        <w:t xml:space="preserve">6. That unless an ad interim ex parte order is granted restraining the Defendant from continuing the construction activity pending notice to the Defendant, the very purpose of the present application would be defeated, since construction work is ongoing on a daily basis, as evidenced by the photographs taken merely two days prior to the filing hereof, and any delay occasioned by issuing prior notice to the Defendant would result in the Defendant completing or substantially advancing the encroaching construction before the application can even be heard.</w:t>
      </w:r>
    </w:p>
    <w:p>
      <w:pPr>
        <w:spacing w:after="160"/>
        <w:jc w:val="both"/>
      </w:pPr>
      <w:r>
        <w:rPr>
          <w:rFonts w:ascii="Arial" w:cs="Arial" w:eastAsia="Arial" w:hAnsi="Arial"/>
          <w:sz w:val="22"/>
          <w:szCs w:val="22"/>
        </w:rPr>
        <w:t xml:space="preserve">7. That the Plaintiff undertakes to abide by any order this Hon'ble Court may pass as to damages, costs, or otherwise, in the event the suit of the Plaintiff is ultimately dismissed, and undertakes to make good any loss that may be caused to the Defendant by virtue of the interim order sought, should the same be found, upon final adjudication, to have been wrongly obtained.</w:t>
      </w:r>
    </w:p>
    <w:p>
      <w:pPr>
        <w:spacing w:after="160"/>
        <w:jc w:val="both"/>
      </w:pPr>
      <w:r>
        <w:rPr>
          <w:rFonts w:ascii="Arial" w:cs="Arial" w:eastAsia="Arial" w:hAnsi="Arial"/>
          <w:sz w:val="22"/>
          <w:szCs w:val="22"/>
        </w:rPr>
        <w:t xml:space="preserve">8. That no application of a similar nature has been filed by the Plaintiff earlier in this or in any other court in respect of the same subject-matter.</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grant an ad interim ex parte order of temporary injunction restraining the Defendant, his agents, servants, contractors, and all persons claiming through him, from carrying out any further construction activity upon, or otherwise dealing with, the 4-foot strip of land described in the Schedule, pending notice to the Defendant;</w:t>
      </w:r>
    </w:p>
    <w:p>
      <w:pPr>
        <w:spacing w:after="160"/>
        <w:jc w:val="both"/>
      </w:pPr>
      <w:r>
        <w:rPr>
          <w:rFonts w:ascii="Arial" w:cs="Arial" w:eastAsia="Arial" w:hAnsi="Arial"/>
          <w:sz w:val="22"/>
          <w:szCs w:val="22"/>
        </w:rPr>
        <w:t xml:space="preserve">(b) thereafter, after hearing the Defendant, confirm the said order of temporary injunction in the same terms, to operate during the pendency of the present suit;</w:t>
      </w:r>
    </w:p>
    <w:p>
      <w:pPr>
        <w:spacing w:after="160"/>
        <w:jc w:val="both"/>
      </w:pPr>
      <w:r>
        <w:rPr>
          <w:rFonts w:ascii="Arial" w:cs="Arial" w:eastAsia="Arial" w:hAnsi="Arial"/>
          <w:sz w:val="22"/>
          <w:szCs w:val="22"/>
        </w:rPr>
        <w:t xml:space="preserve">(c) pass such other order(s) as this Hon'ble Court may deem fit and proper in the interest of justice.</w:t>
      </w:r>
    </w:p>
    <w:p>
      <w:pPr>
        <w:spacing w:after="160"/>
        <w:jc w:val="both"/>
      </w:pPr>
      <w:r>
        <w:rPr>
          <w:rFonts w:ascii="Arial" w:cs="Arial" w:eastAsia="Arial" w:hAnsi="Arial"/>
          <w:sz w:val="22"/>
          <w:szCs w:val="22"/>
        </w:rPr>
        <w:t xml:space="preserve">PLAINTIFF</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AFFIDAVIT IN SUPPORT</w:t>
      </w:r>
    </w:p>
    <w:p>
      <w:pPr>
        <w:spacing w:after="160"/>
        <w:jc w:val="both"/>
      </w:pPr>
      <w:r>
        <w:rPr>
          <w:rFonts w:ascii="Arial" w:cs="Arial" w:eastAsia="Arial" w:hAnsi="Arial"/>
          <w:sz w:val="22"/>
          <w:szCs w:val="22"/>
        </w:rPr>
        <w:t xml:space="preserve">I, Mr. Vikram Mehta, the Plaintiff above named, do hereby solemnly affirm and state that the contents of paragraphs 1 to 8 of the accompanying application are true and correct to my knowledge, save those stated to be on information and belief, which I believe to be true.</w:t>
      </w:r>
    </w:p>
    <w:p>
      <w:pPr>
        <w:spacing w:after="160"/>
        <w:jc w:val="both"/>
      </w:pPr>
      <w:r>
        <w:rPr>
          <w:rFonts w:ascii="Arial" w:cs="Arial" w:eastAsia="Arial" w:hAnsi="Arial"/>
          <w:sz w:val="22"/>
          <w:szCs w:val="22"/>
        </w:rPr>
        <w:t xml:space="preserve">DEPONENT (Sworn before Notary/Oath Commissioner)</w:t>
      </w:r>
    </w:p>
    <w:p>
      <w:pPr>
        <w:spacing w:after="200" w:before="200"/>
        <w:jc w:val="center"/>
      </w:pPr>
      <w:r>
        <w:rPr>
          <w:rFonts w:ascii="Arial" w:cs="Arial" w:eastAsia="Arial" w:hAnsi="Arial"/>
          <w:b/>
          <w:bCs/>
          <w:sz w:val="22"/>
          <w:szCs w:val="22"/>
        </w:rPr>
        <w:t xml:space="preserve">PART B — APPLICATION FOR TRIAL OF PRELIMINARY ISSUE</w:t>
      </w:r>
    </w:p>
    <w:p>
      <w:pPr>
        <w:spacing w:after="200" w:before="200"/>
        <w:jc w:val="center"/>
      </w:pPr>
      <w:r>
        <w:rPr>
          <w:rFonts w:ascii="Arial" w:cs="Arial" w:eastAsia="Arial" w:hAnsi="Arial"/>
          <w:b/>
          <w:bCs/>
          <w:sz w:val="22"/>
          <w:szCs w:val="22"/>
        </w:rPr>
        <w:t xml:space="preserve">IN THE COURT OF THE CIVIL JUDGE (SENIOR DIVISION), AT [CITY]</w:t>
      </w:r>
    </w:p>
    <w:p>
      <w:pPr>
        <w:spacing w:after="160"/>
        <w:jc w:val="both"/>
      </w:pPr>
      <w:r>
        <w:rPr>
          <w:rFonts w:ascii="Arial" w:cs="Arial" w:eastAsia="Arial" w:hAnsi="Arial"/>
          <w:sz w:val="22"/>
          <w:szCs w:val="22"/>
        </w:rPr>
        <w:t xml:space="preserve">Civil Suit No. _____ of 2026</w:t>
      </w:r>
    </w:p>
    <w:p>
      <w:pPr>
        <w:spacing w:after="160"/>
        <w:jc w:val="both"/>
      </w:pPr>
      <w:r>
        <w:rPr>
          <w:rFonts w:ascii="Arial" w:cs="Arial" w:eastAsia="Arial" w:hAnsi="Arial"/>
          <w:sz w:val="22"/>
          <w:szCs w:val="22"/>
        </w:rPr>
        <w:t xml:space="preserve">Mr. Vikram Mehta ..........................................................................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Sanjay Oberoi .......................................................................... DEFENDANT</w:t>
      </w:r>
    </w:p>
    <w:p>
      <w:pPr>
        <w:spacing w:after="160"/>
        <w:jc w:val="both"/>
      </w:pPr>
      <w:r>
        <w:rPr>
          <w:rFonts w:ascii="Arial" w:cs="Arial" w:eastAsia="Arial" w:hAnsi="Arial"/>
          <w:sz w:val="22"/>
          <w:szCs w:val="22"/>
        </w:rPr>
        <w:t xml:space="preserve">APPLICATION UNDER ORDER XIV RULE 2 OF THE CODE OF CIVIL PROCEDURE, 1908, FOR TRIAL OF ISSUE OF LIMITATION AS A PRELIMINARY ISSUE</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Plaintiff has instituted the present suit alleging encroachment by the Defendant upon a strip of land allegedly forming part of the Plaintiff's plot.</w:t>
      </w:r>
    </w:p>
    <w:p>
      <w:pPr>
        <w:spacing w:after="160"/>
        <w:jc w:val="both"/>
      </w:pPr>
      <w:r>
        <w:rPr>
          <w:rFonts w:ascii="Arial" w:cs="Arial" w:eastAsia="Arial" w:hAnsi="Arial"/>
          <w:sz w:val="22"/>
          <w:szCs w:val="22"/>
        </w:rPr>
        <w:t xml:space="preserve">2. That a bare perusal of the averments in the plaint itself reveals that the boundary wall now sought to be challenged was, in fact, originally constructed by the predecessor-in-title of the Defendant as far back as the year 2008, i.e., more than twelve years prior to the institution of the present suit in 2026, and the Plaintiff has, at paragraph 6 of the plaint, himself admitted to having raised an objection to the said boundary wall as early as in the year 2009, which objection was never pursued thereafter.</w:t>
      </w:r>
    </w:p>
    <w:p>
      <w:pPr>
        <w:spacing w:after="160"/>
        <w:jc w:val="both"/>
      </w:pPr>
      <w:r>
        <w:rPr>
          <w:rFonts w:ascii="Arial" w:cs="Arial" w:eastAsia="Arial" w:hAnsi="Arial"/>
          <w:sz w:val="22"/>
          <w:szCs w:val="22"/>
        </w:rPr>
        <w:t xml:space="preserve">3. That, in these circumstances, the present suit, insofar as it seeks removal of the boundary wall existing since 2008/2009, is patently barred by limitation under Article 65 of the Schedule to the Limitation Act, 1963 (limitation for suits for possession of immovable property based on title being twelve years), as well as under the general law applicable to suits for mandatory injunction for removal of long-standing structures, since the Plaintiff's own pleadings disclose that the cause of action, if any, arose more than twelve years prior to the institution of the suit.</w:t>
      </w:r>
    </w:p>
    <w:p>
      <w:pPr>
        <w:spacing w:after="160"/>
        <w:jc w:val="both"/>
      </w:pPr>
      <w:r>
        <w:rPr>
          <w:rFonts w:ascii="Arial" w:cs="Arial" w:eastAsia="Arial" w:hAnsi="Arial"/>
          <w:sz w:val="22"/>
          <w:szCs w:val="22"/>
        </w:rPr>
        <w:t xml:space="preserve">4. That the issue of limitation is a pure question of law, capable of being decided on the basis of the admitted facts pleaded in the plaint itself, without the necessity of recording any further evidence, and squarely falls within the scope of Order XIV Rule 2(2)(b) of the Code of Civil Procedure, 1908, as a bar to the suit created by the law of limitation.</w:t>
      </w:r>
    </w:p>
    <w:p>
      <w:pPr>
        <w:spacing w:after="160"/>
        <w:jc w:val="both"/>
      </w:pPr>
      <w:r>
        <w:rPr>
          <w:rFonts w:ascii="Arial" w:cs="Arial" w:eastAsia="Arial" w:hAnsi="Arial"/>
          <w:sz w:val="22"/>
          <w:szCs w:val="22"/>
        </w:rPr>
        <w:t xml:space="preserve">5. That in the interest of judicial economy, and to avoid unnecessary expenditure of time and resources of both parties and of this Hon'ble Court on a full trial, including recording of evidence on facts that may become wholly academic if the suit is found to be barred by limitation, it is just, expedient, and in consonance with settled principles of law that the issue of limitation be tried as a preliminary issue, prior to recording of evidence on the other issues arising in the suit.</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frame the issue of limitation as a preliminary issue under Order XIV Rule 2 of the Code of Civil Procedure, 1908;</w:t>
      </w:r>
    </w:p>
    <w:p>
      <w:pPr>
        <w:spacing w:after="160"/>
        <w:jc w:val="both"/>
      </w:pPr>
      <w:r>
        <w:rPr>
          <w:rFonts w:ascii="Arial" w:cs="Arial" w:eastAsia="Arial" w:hAnsi="Arial"/>
          <w:sz w:val="22"/>
          <w:szCs w:val="22"/>
        </w:rPr>
        <w:t xml:space="preserve">(b) hear and decide the said preliminary issue prior to proceeding with the trial of the other issues in the suit; and</w:t>
      </w:r>
    </w:p>
    <w:p>
      <w:pPr>
        <w:spacing w:after="160"/>
        <w:jc w:val="both"/>
      </w:pPr>
      <w:r>
        <w:rPr>
          <w:rFonts w:ascii="Arial" w:cs="Arial" w:eastAsia="Arial" w:hAnsi="Arial"/>
          <w:sz w:val="22"/>
          <w:szCs w:val="22"/>
        </w:rPr>
        <w:t xml:space="preserve">(c) pass such other order(s) as this Hon'ble Court may deem fit and proper in the interest of justice.</w:t>
      </w:r>
    </w:p>
    <w:p>
      <w:pPr>
        <w:spacing w:after="160"/>
        <w:jc w:val="both"/>
      </w:pPr>
      <w:r>
        <w:rPr>
          <w:rFonts w:ascii="Arial" w:cs="Arial" w:eastAsia="Arial" w:hAnsi="Arial"/>
          <w:sz w:val="22"/>
          <w:szCs w:val="22"/>
        </w:rPr>
        <w:t xml:space="preserve">DEFENDANT</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AFFIDAVIT IN SUPPORT</w:t>
      </w:r>
    </w:p>
    <w:p>
      <w:pPr>
        <w:spacing w:after="160"/>
        <w:jc w:val="both"/>
      </w:pPr>
      <w:r>
        <w:rPr>
          <w:rFonts w:ascii="Arial" w:cs="Arial" w:eastAsia="Arial" w:hAnsi="Arial"/>
          <w:sz w:val="22"/>
          <w:szCs w:val="22"/>
        </w:rPr>
        <w:t xml:space="preserve">I, Mr. Sanjay Oberoi, the Defendant above named, do hereby solemnly affirm and state that the contents of paragraphs 1 to 5 of the accompanying application are true and correct to my knowledge and based on the record of the suit.</w:t>
      </w:r>
    </w:p>
    <w:p>
      <w:pPr>
        <w:spacing w:after="160"/>
        <w:jc w:val="both"/>
      </w:pPr>
      <w:r>
        <w:rPr>
          <w:rFonts w:ascii="Arial" w:cs="Arial" w:eastAsia="Arial" w:hAnsi="Arial"/>
          <w:sz w:val="22"/>
          <w:szCs w:val="22"/>
        </w:rPr>
        <w:t xml:space="preserve">DEPONENT (Sworn before Notary/Oath Commissioner)</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Photographs dated 12.6.2026 and 18.6.2026 — Annexure IA-1 (Colly.)</w:t>
      </w:r>
    </w:p>
    <w:p>
      <w:pPr>
        <w:spacing w:after="160"/>
        <w:jc w:val="both"/>
      </w:pPr>
      <w:r>
        <w:rPr>
          <w:rFonts w:ascii="Arial" w:cs="Arial" w:eastAsia="Arial" w:hAnsi="Arial"/>
          <w:sz w:val="22"/>
          <w:szCs w:val="22"/>
        </w:rPr>
        <w:t xml:space="preserve">2. Licensed Surveyor's Report dated 20.6.2026 — Annexure IA-2</w:t>
      </w:r>
    </w:p>
    <w:p>
      <w:pPr>
        <w:spacing w:after="160"/>
        <w:jc w:val="both"/>
      </w:pPr>
      <w:r>
        <w:rPr>
          <w:rFonts w:ascii="Arial" w:cs="Arial" w:eastAsia="Arial" w:hAnsi="Arial"/>
          <w:sz w:val="22"/>
          <w:szCs w:val="22"/>
        </w:rPr>
        <w:t xml:space="preserve">3. Vakalatnama</w:t>
      </w:r>
    </w:p>
    <w:p>
      <w:r>
        <w:br w:type="page"/>
      </w:r>
    </w:p>
    <w:p>
      <w:pPr>
        <w:pStyle w:val="Heading1"/>
      </w:pPr>
      <w:r>
        <w:t xml:space="preserve">6. EXECUTION PETITION</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Execution is the process by which a decree-holder enforces, or gives effect to, a decree or order passed in his favour by a civil court, compelling the judgment-debtor to comply with its terms. It has been famously observed by courts that "execution is the fruit and end of law," and that a litigant who has obtained a decree but is unable to realise its fruits through effective execution suffers as much injustice as a litigant who is wrongly denied a decree in the first place. The law of execution in India is principally contained in Sections 36 to 74 and Order XXI of the Code of Civil Procedure, 1908 ("CPC"), Order XXI being by far the most elaborate Order in the entire Code, containing over 106 rules.</w:t>
      </w:r>
    </w:p>
    <w:p>
      <w:pPr>
        <w:pStyle w:val="Heading2"/>
      </w:pPr>
      <w:r>
        <w:t xml:space="preserve">2. Meaning of "Execution" and "Decree"</w:t>
      </w:r>
    </w:p>
    <w:p>
      <w:pPr>
        <w:spacing w:after="160"/>
        <w:jc w:val="both"/>
      </w:pPr>
      <w:r>
        <w:rPr>
          <w:rFonts w:ascii="Arial" w:cs="Arial" w:eastAsia="Arial" w:hAnsi="Arial"/>
          <w:sz w:val="22"/>
          <w:szCs w:val="22"/>
        </w:rPr>
        <w:t xml:space="preserve">"Execution" is not defined in the CPC, but is understood as the process by which a decree-holder compels the judgment-debtor to carry out, or to suffer the consequences of, the mandate of a decree or order. A "decree," under Section 2(2) CPC, means the formal expression of an adjudication which conclusively determines the rights of the parties with regard to all or any of the matters in controversy in the suit, and includes the rejection of a plaint and determination of any question under Section 144 CPC, but does not include any adjudication from which an appeal lies as from an order, or any order of dismissal for default.</w:t>
      </w:r>
    </w:p>
    <w:p>
      <w:pPr>
        <w:pStyle w:val="Heading2"/>
      </w:pPr>
      <w:r>
        <w:t xml:space="preserve">3. Court Which May Execute a Decree</w:t>
      </w:r>
    </w:p>
    <w:p>
      <w:pPr>
        <w:spacing w:after="160"/>
        <w:jc w:val="both"/>
      </w:pPr>
      <w:r>
        <w:rPr>
          <w:rFonts w:ascii="Arial" w:cs="Arial" w:eastAsia="Arial" w:hAnsi="Arial"/>
          <w:sz w:val="22"/>
          <w:szCs w:val="22"/>
        </w:rPr>
        <w:t xml:space="preserve">Section 38 CPC provides that a decree may be executed either by the court which passed it, or by the court to which it is sent for execution. Section 39 CPC enumerates the circumstances in which the court which passed the decree may, on application of the decree-holder, send the decree for execution to another court, namely:</w:t>
      </w:r>
    </w:p>
    <w:p>
      <w:pPr>
        <w:spacing w:after="160"/>
        <w:ind w:left="360"/>
        <w:jc w:val="both"/>
      </w:pPr>
      <w:r>
        <w:rPr>
          <w:rFonts w:ascii="Arial" w:cs="Arial" w:eastAsia="Arial" w:hAnsi="Arial"/>
          <w:sz w:val="22"/>
          <w:szCs w:val="22"/>
        </w:rPr>
        <w:t xml:space="preserve">(a) where the judgment-debtor actually and voluntarily resides, or carries on business, or personally works for gain, within the local limits of the jurisdiction of such other court;</w:t>
      </w:r>
    </w:p>
    <w:p>
      <w:pPr>
        <w:spacing w:after="160"/>
        <w:ind w:left="360"/>
        <w:jc w:val="both"/>
      </w:pPr>
      <w:r>
        <w:rPr>
          <w:rFonts w:ascii="Arial" w:cs="Arial" w:eastAsia="Arial" w:hAnsi="Arial"/>
          <w:sz w:val="22"/>
          <w:szCs w:val="22"/>
        </w:rPr>
        <w:t xml:space="preserve">(b) where the judgment-debtor does not have property within the jurisdiction of the court which passed the decree sufficient to satisfy the decree, but has property within the jurisdiction of such other court;</w:t>
      </w:r>
    </w:p>
    <w:p>
      <w:pPr>
        <w:spacing w:after="160"/>
        <w:ind w:left="360"/>
        <w:jc w:val="both"/>
      </w:pPr>
      <w:r>
        <w:rPr>
          <w:rFonts w:ascii="Arial" w:cs="Arial" w:eastAsia="Arial" w:hAnsi="Arial"/>
          <w:sz w:val="22"/>
          <w:szCs w:val="22"/>
        </w:rPr>
        <w:t xml:space="preserve">(c) where the decree directs the sale or delivery of immovable property situated outside the local limits of the jurisdiction of the court which passed it; or</w:t>
      </w:r>
    </w:p>
    <w:p>
      <w:pPr>
        <w:spacing w:after="160"/>
        <w:ind w:left="360"/>
        <w:jc w:val="both"/>
      </w:pPr>
      <w:r>
        <w:rPr>
          <w:rFonts w:ascii="Arial" w:cs="Arial" w:eastAsia="Arial" w:hAnsi="Arial"/>
          <w:sz w:val="22"/>
          <w:szCs w:val="22"/>
        </w:rPr>
        <w:t xml:space="preserve">(d) where the court which passed the decree considers, for any other reason recorded in writing, that the decree should be executed by such other court.</w:t>
      </w:r>
    </w:p>
    <w:p>
      <w:pPr>
        <w:pStyle w:val="Heading2"/>
      </w:pPr>
      <w:r>
        <w:t xml:space="preserve">4. Who May Apply for Execution</w:t>
      </w:r>
    </w:p>
    <w:p>
      <w:pPr>
        <w:spacing w:after="160"/>
        <w:jc w:val="both"/>
      </w:pPr>
      <w:r>
        <w:rPr>
          <w:rFonts w:ascii="Arial" w:cs="Arial" w:eastAsia="Arial" w:hAnsi="Arial"/>
          <w:sz w:val="22"/>
          <w:szCs w:val="22"/>
        </w:rPr>
        <w:t xml:space="preserve">Section 37 read with the relevant provisions clarifies that the term "court which passed a decree" includes the court of first instance, and, where the decree is varied or reversed in appeal, the court of first instance is deemed to be the court which passed the decree as varied. The decree-holder, his legal representatives (in case of his death), a transferee of the decree (under Order XXI Rule 16, where the transfer is by assignment in writing or by operation of law), and, in certain circumstances, one or more of several joint decree-holders, may apply for execution.</w:t>
      </w:r>
    </w:p>
    <w:p>
      <w:pPr>
        <w:pStyle w:val="Heading2"/>
      </w:pPr>
      <w:r>
        <w:t xml:space="preserve">5. Form and Contents of Execution Application — Order XXI Rule 11</w:t>
      </w:r>
    </w:p>
    <w:p>
      <w:pPr>
        <w:spacing w:after="160"/>
        <w:jc w:val="both"/>
      </w:pPr>
      <w:r>
        <w:rPr>
          <w:rFonts w:ascii="Arial" w:cs="Arial" w:eastAsia="Arial" w:hAnsi="Arial"/>
          <w:sz w:val="22"/>
          <w:szCs w:val="22"/>
        </w:rPr>
        <w:t xml:space="preserve">Order XXI Rule 11 provides that, save in cases where execution is sought by arrest and detention in the first instance, every application for execution shall be in writing, signed and verified by the applicant or by some person proved to the satisfaction of the court to be acquainted with the facts of the case, and shall contain the following particulars in a tabular form:</w:t>
      </w:r>
    </w:p>
    <w:p>
      <w:pPr>
        <w:spacing w:after="160"/>
        <w:ind w:left="360"/>
        <w:jc w:val="both"/>
      </w:pPr>
      <w:r>
        <w:rPr>
          <w:rFonts w:ascii="Arial" w:cs="Arial" w:eastAsia="Arial" w:hAnsi="Arial"/>
          <w:sz w:val="22"/>
          <w:szCs w:val="22"/>
        </w:rPr>
        <w:t xml:space="preserve">(a) the number of the suit;</w:t>
      </w:r>
    </w:p>
    <w:p>
      <w:pPr>
        <w:spacing w:after="160"/>
        <w:ind w:left="360"/>
        <w:jc w:val="both"/>
      </w:pPr>
      <w:r>
        <w:rPr>
          <w:rFonts w:ascii="Arial" w:cs="Arial" w:eastAsia="Arial" w:hAnsi="Arial"/>
          <w:sz w:val="22"/>
          <w:szCs w:val="22"/>
        </w:rPr>
        <w:t xml:space="preserve">(b) the names of the parties;</w:t>
      </w:r>
    </w:p>
    <w:p>
      <w:pPr>
        <w:spacing w:after="160"/>
        <w:ind w:left="360"/>
        <w:jc w:val="both"/>
      </w:pPr>
      <w:r>
        <w:rPr>
          <w:rFonts w:ascii="Arial" w:cs="Arial" w:eastAsia="Arial" w:hAnsi="Arial"/>
          <w:sz w:val="22"/>
          <w:szCs w:val="22"/>
        </w:rPr>
        <w:t xml:space="preserve">(c) the date of the decree;</w:t>
      </w:r>
    </w:p>
    <w:p>
      <w:pPr>
        <w:spacing w:after="160"/>
        <w:ind w:left="360"/>
        <w:jc w:val="both"/>
      </w:pPr>
      <w:r>
        <w:rPr>
          <w:rFonts w:ascii="Arial" w:cs="Arial" w:eastAsia="Arial" w:hAnsi="Arial"/>
          <w:sz w:val="22"/>
          <w:szCs w:val="22"/>
        </w:rPr>
        <w:t xml:space="preserve">(d) whether any appeal has been preferred from the decree;</w:t>
      </w:r>
    </w:p>
    <w:p>
      <w:pPr>
        <w:spacing w:after="160"/>
        <w:ind w:left="360"/>
        <w:jc w:val="both"/>
      </w:pPr>
      <w:r>
        <w:rPr>
          <w:rFonts w:ascii="Arial" w:cs="Arial" w:eastAsia="Arial" w:hAnsi="Arial"/>
          <w:sz w:val="22"/>
          <w:szCs w:val="22"/>
        </w:rPr>
        <w:t xml:space="preserve">(e) whether any, and (if any) what, payment or other adjustment of the matter in controversy has been made between the parties subsequent to the decree;</w:t>
      </w:r>
    </w:p>
    <w:p>
      <w:pPr>
        <w:spacing w:after="160"/>
        <w:ind w:left="360"/>
        <w:jc w:val="both"/>
      </w:pPr>
      <w:r>
        <w:rPr>
          <w:rFonts w:ascii="Arial" w:cs="Arial" w:eastAsia="Arial" w:hAnsi="Arial"/>
          <w:sz w:val="22"/>
          <w:szCs w:val="22"/>
        </w:rPr>
        <w:t xml:space="preserve">(f) whether any, and (if any) what, previous applications have been made for the execution of the decree, the dates of such applications, and their results;</w:t>
      </w:r>
    </w:p>
    <w:p>
      <w:pPr>
        <w:spacing w:after="160"/>
        <w:ind w:left="360"/>
        <w:jc w:val="both"/>
      </w:pPr>
      <w:r>
        <w:rPr>
          <w:rFonts w:ascii="Arial" w:cs="Arial" w:eastAsia="Arial" w:hAnsi="Arial"/>
          <w:sz w:val="22"/>
          <w:szCs w:val="22"/>
        </w:rPr>
        <w:t xml:space="preserve">(g) the amount with interest (if any) due upon the decree, or other relief granted thereby, together with particulars of any cross-decree, whether passed before or after the date of the decree sought to be executed;</w:t>
      </w:r>
    </w:p>
    <w:p>
      <w:pPr>
        <w:spacing w:after="160"/>
        <w:ind w:left="360"/>
        <w:jc w:val="both"/>
      </w:pPr>
      <w:r>
        <w:rPr>
          <w:rFonts w:ascii="Arial" w:cs="Arial" w:eastAsia="Arial" w:hAnsi="Arial"/>
          <w:sz w:val="22"/>
          <w:szCs w:val="22"/>
        </w:rPr>
        <w:t xml:space="preserve">(h) the amount of the costs (if any) awarded;</w:t>
      </w:r>
    </w:p>
    <w:p>
      <w:pPr>
        <w:spacing w:after="160"/>
        <w:ind w:left="360"/>
        <w:jc w:val="both"/>
      </w:pPr>
      <w:r>
        <w:rPr>
          <w:rFonts w:ascii="Arial" w:cs="Arial" w:eastAsia="Arial" w:hAnsi="Arial"/>
          <w:sz w:val="22"/>
          <w:szCs w:val="22"/>
        </w:rPr>
        <w:t xml:space="preserve">(i) the name of the person against whom execution of the decree is sought; and</w:t>
      </w:r>
    </w:p>
    <w:p>
      <w:pPr>
        <w:spacing w:after="160"/>
        <w:ind w:left="360"/>
        <w:jc w:val="both"/>
      </w:pPr>
      <w:r>
        <w:rPr>
          <w:rFonts w:ascii="Arial" w:cs="Arial" w:eastAsia="Arial" w:hAnsi="Arial"/>
          <w:sz w:val="22"/>
          <w:szCs w:val="22"/>
        </w:rPr>
        <w:t xml:space="preserve">(j) the mode in which the assistance of the court is required, whether—</w:t>
      </w:r>
    </w:p>
    <w:p>
      <w:pPr>
        <w:spacing w:after="160"/>
        <w:jc w:val="both"/>
      </w:pPr>
      <w:r>
        <w:rPr>
          <w:rFonts w:ascii="Arial" w:cs="Arial" w:eastAsia="Arial" w:hAnsi="Arial"/>
          <w:sz w:val="22"/>
          <w:szCs w:val="22"/>
        </w:rPr>
        <w:t xml:space="preserve">(i) by delivery of any property specifically decreed;</w:t>
      </w:r>
    </w:p>
    <w:p>
      <w:pPr>
        <w:spacing w:after="160"/>
        <w:jc w:val="both"/>
      </w:pPr>
      <w:r>
        <w:rPr>
          <w:rFonts w:ascii="Arial" w:cs="Arial" w:eastAsia="Arial" w:hAnsi="Arial"/>
          <w:sz w:val="22"/>
          <w:szCs w:val="22"/>
        </w:rPr>
        <w:t xml:space="preserve">(ii) by attachment, or by attachment and sale, or by sale without attachment, of any property;</w:t>
      </w:r>
    </w:p>
    <w:p>
      <w:pPr>
        <w:spacing w:after="160"/>
        <w:jc w:val="both"/>
      </w:pPr>
      <w:r>
        <w:rPr>
          <w:rFonts w:ascii="Arial" w:cs="Arial" w:eastAsia="Arial" w:hAnsi="Arial"/>
          <w:sz w:val="22"/>
          <w:szCs w:val="22"/>
        </w:rPr>
        <w:t xml:space="preserve">(iii) by arrest and detention in prison of any person;</w:t>
      </w:r>
    </w:p>
    <w:p>
      <w:pPr>
        <w:spacing w:after="160"/>
        <w:jc w:val="both"/>
      </w:pPr>
      <w:r>
        <w:rPr>
          <w:rFonts w:ascii="Arial" w:cs="Arial" w:eastAsia="Arial" w:hAnsi="Arial"/>
          <w:sz w:val="22"/>
          <w:szCs w:val="22"/>
        </w:rPr>
        <w:t xml:space="preserve">(iv) by appointment of a receiver;</w:t>
      </w:r>
    </w:p>
    <w:p>
      <w:pPr>
        <w:spacing w:after="160"/>
        <w:jc w:val="both"/>
      </w:pPr>
      <w:r>
        <w:rPr>
          <w:rFonts w:ascii="Arial" w:cs="Arial" w:eastAsia="Arial" w:hAnsi="Arial"/>
          <w:sz w:val="22"/>
          <w:szCs w:val="22"/>
        </w:rPr>
        <w:t xml:space="preserve">(v) by any other manner as the nature of the relief granted may require.</w:t>
      </w:r>
    </w:p>
    <w:p>
      <w:pPr>
        <w:pStyle w:val="Heading2"/>
      </w:pPr>
      <w:r>
        <w:t xml:space="preserve">6. Limitation for Execution</w:t>
      </w:r>
    </w:p>
    <w:p>
      <w:pPr>
        <w:spacing w:after="160"/>
        <w:jc w:val="both"/>
      </w:pPr>
      <w:r>
        <w:rPr>
          <w:rFonts w:ascii="Arial" w:cs="Arial" w:eastAsia="Arial" w:hAnsi="Arial"/>
          <w:sz w:val="22"/>
          <w:szCs w:val="22"/>
        </w:rPr>
        <w:t xml:space="preserve">Under Article 136 of the Schedule to the Limitation Act, 1963, an application for execution of a decree (other than a decree granting a mandatory injunction) must be filed within twelve years from the date when the decree becomes enforceable, or, where the decree directs payment of money or delivery of property to be made at a certain date or recurring periods, when default in making the payment or delivery in respect of which execution is sought occurs. Section 48 CPC, which earlier imposed a similar limitation, was repealed by the Limitation Act, 1963, the matter now being governed by Article 136.</w:t>
      </w:r>
    </w:p>
    <w:p>
      <w:pPr>
        <w:pStyle w:val="Heading2"/>
      </w:pPr>
      <w:r>
        <w:t xml:space="preserve">7. Modes of Execution — Order XXI</w:t>
      </w:r>
    </w:p>
    <w:p>
      <w:pPr>
        <w:spacing w:after="160"/>
        <w:jc w:val="both"/>
      </w:pPr>
      <w:r>
        <w:rPr>
          <w:rFonts w:ascii="Arial" w:cs="Arial" w:eastAsia="Arial" w:hAnsi="Arial"/>
          <w:sz w:val="22"/>
          <w:szCs w:val="22"/>
        </w:rPr>
        <w:t xml:space="preserve">Order XXI prescribes diverse modes of execution depending on the nature of the decree:</w:t>
      </w:r>
    </w:p>
    <w:p>
      <w:pPr>
        <w:spacing w:after="160"/>
        <w:ind w:left="360"/>
        <w:jc w:val="both"/>
      </w:pPr>
      <w:r>
        <w:rPr>
          <w:rFonts w:ascii="Arial" w:cs="Arial" w:eastAsia="Arial" w:hAnsi="Arial"/>
          <w:sz w:val="22"/>
          <w:szCs w:val="22"/>
        </w:rPr>
        <w:t xml:space="preserve">(a) </w:t>
      </w:r>
      <w:r>
        <w:rPr>
          <w:rFonts w:ascii="Arial" w:cs="Arial" w:eastAsia="Arial" w:hAnsi="Arial"/>
          <w:b/>
          <w:bCs/>
          <w:sz w:val="22"/>
          <w:szCs w:val="22"/>
        </w:rPr>
        <w:t xml:space="preserve">Delivery of possession of immovable property</w:t>
      </w:r>
      <w:r>
        <w:rPr>
          <w:rFonts w:ascii="Arial" w:cs="Arial" w:eastAsia="Arial" w:hAnsi="Arial"/>
          <w:sz w:val="22"/>
          <w:szCs w:val="22"/>
        </w:rPr>
        <w:t xml:space="preserve"> (Rules 35, 36): Where the decree is for delivery of possession of immovable property, the court orders such possession to be delivered to the party to whom it has been adjudged, removing any person bound by the decree who refuses to vacate.</w:t>
      </w:r>
    </w:p>
    <w:p>
      <w:pPr>
        <w:spacing w:after="160"/>
        <w:jc w:val="both"/>
      </w:pPr>
      <w:r>
        <w:rPr>
          <w:rFonts w:ascii="Arial" w:cs="Arial" w:eastAsia="Arial" w:hAnsi="Arial"/>
          <w:sz w:val="22"/>
          <w:szCs w:val="22"/>
        </w:rPr>
        <w:t xml:space="preserve">(b) </w:t>
      </w:r>
      <w:r>
        <w:rPr>
          <w:rFonts w:ascii="Arial" w:cs="Arial" w:eastAsia="Arial" w:hAnsi="Arial"/>
          <w:b/>
          <w:bCs/>
          <w:sz w:val="22"/>
          <w:szCs w:val="22"/>
        </w:rPr>
        <w:t xml:space="preserve">Attachment and sale of property</w:t>
      </w:r>
      <w:r>
        <w:rPr>
          <w:rFonts w:ascii="Arial" w:cs="Arial" w:eastAsia="Arial" w:hAnsi="Arial"/>
          <w:sz w:val="22"/>
          <w:szCs w:val="22"/>
        </w:rPr>
        <w:t xml:space="preserve"> (Rules 41 to 57, 64 to 73): The decree-holder may seek attachment of movable or immovable property of the judgment-debtor, followed by sale in execution, with the sale proceeds applied towards satisfaction of the decree. Various properties are exempt from attachment under the proviso to Section 60 CPC, including necessary wearing apparel, bedding, cooking vessels, tools of artisans, and, subject to conditions, a certain portion of salary/wages.</w:t>
      </w:r>
    </w:p>
    <w:p>
      <w:pPr>
        <w:spacing w:after="160"/>
        <w:jc w:val="both"/>
      </w:pPr>
      <w:r>
        <w:rPr>
          <w:rFonts w:ascii="Arial" w:cs="Arial" w:eastAsia="Arial" w:hAnsi="Arial"/>
          <w:sz w:val="22"/>
          <w:szCs w:val="22"/>
        </w:rPr>
        <w:t xml:space="preserve">(c) </w:t>
      </w:r>
      <w:r>
        <w:rPr>
          <w:rFonts w:ascii="Arial" w:cs="Arial" w:eastAsia="Arial" w:hAnsi="Arial"/>
          <w:b/>
          <w:bCs/>
          <w:sz w:val="22"/>
          <w:szCs w:val="22"/>
        </w:rPr>
        <w:t xml:space="preserve">Arrest and detention in civil prison</w:t>
      </w:r>
      <w:r>
        <w:rPr>
          <w:rFonts w:ascii="Arial" w:cs="Arial" w:eastAsia="Arial" w:hAnsi="Arial"/>
          <w:sz w:val="22"/>
          <w:szCs w:val="22"/>
        </w:rPr>
        <w:t xml:space="preserve"> (Rules 37 to 40, Sections 51, 55 to 59): A judgment-debtor may be arrested and detained in civil prison in execution of a money decree, but only after the court has given the judgment-debtor an opportunity to show cause why he should not be committed to prison, and the court is satisfied that the judgment-debtor has, or has had since the date of the decree, the means to pay the decretal amount, or some substantial part thereof, but refuses or neglects to pay, or has been guilty of dishonest transfer, removal, or concealment of property. Certain categories of persons (e.g., women, in most circumstances; persons under 15 or above 70 years of age in certain conditions; judgment-debtors in respect of decrees for maintenance, except as specifically permitted) enjoy protection from arrest under Section 56 and related provisions.</w:t>
      </w:r>
    </w:p>
    <w:p>
      <w:pPr>
        <w:spacing w:after="160"/>
        <w:ind w:left="360"/>
        <w:jc w:val="both"/>
      </w:pPr>
      <w:r>
        <w:rPr>
          <w:rFonts w:ascii="Arial" w:cs="Arial" w:eastAsia="Arial" w:hAnsi="Arial"/>
          <w:sz w:val="22"/>
          <w:szCs w:val="22"/>
        </w:rPr>
        <w:t xml:space="preserve">(d) </w:t>
      </w:r>
      <w:r>
        <w:rPr>
          <w:rFonts w:ascii="Arial" w:cs="Arial" w:eastAsia="Arial" w:hAnsi="Arial"/>
          <w:b/>
          <w:bCs/>
          <w:sz w:val="22"/>
          <w:szCs w:val="22"/>
        </w:rPr>
        <w:t xml:space="preserve">Appointment of a Receiver</w:t>
      </w:r>
      <w:r>
        <w:rPr>
          <w:rFonts w:ascii="Arial" w:cs="Arial" w:eastAsia="Arial" w:hAnsi="Arial"/>
          <w:sz w:val="22"/>
          <w:szCs w:val="22"/>
        </w:rPr>
        <w:t xml:space="preserve"> (Order XL, applied in aid of execution): In appropriate cases, the court may appoint a receiver to manage and preserve property pending execution.</w:t>
      </w:r>
    </w:p>
    <w:p>
      <w:pPr>
        <w:spacing w:after="160"/>
        <w:ind w:left="360"/>
        <w:jc w:val="both"/>
      </w:pPr>
      <w:r>
        <w:rPr>
          <w:rFonts w:ascii="Arial" w:cs="Arial" w:eastAsia="Arial" w:hAnsi="Arial"/>
          <w:sz w:val="22"/>
          <w:szCs w:val="22"/>
        </w:rPr>
        <w:t xml:space="preserve">(e) </w:t>
      </w:r>
      <w:r>
        <w:rPr>
          <w:rFonts w:ascii="Arial" w:cs="Arial" w:eastAsia="Arial" w:hAnsi="Arial"/>
          <w:b/>
          <w:bCs/>
          <w:sz w:val="22"/>
          <w:szCs w:val="22"/>
        </w:rPr>
        <w:t xml:space="preserve">Garnishee proceedings</w:t>
      </w:r>
      <w:r>
        <w:rPr>
          <w:rFonts w:ascii="Arial" w:cs="Arial" w:eastAsia="Arial" w:hAnsi="Arial"/>
          <w:sz w:val="22"/>
          <w:szCs w:val="22"/>
        </w:rPr>
        <w:t xml:space="preserve"> (Order XXI Rules 46-A to 46-I): Where a debt is due to the judgment-debtor from a third party (the garnishee), the court may, by order, require the garnishee to pay the decree-holder directly.</w:t>
      </w:r>
    </w:p>
    <w:p>
      <w:pPr>
        <w:spacing w:after="160"/>
        <w:jc w:val="both"/>
      </w:pPr>
      <w:r>
        <w:rPr>
          <w:rFonts w:ascii="Arial" w:cs="Arial" w:eastAsia="Arial" w:hAnsi="Arial"/>
          <w:sz w:val="22"/>
          <w:szCs w:val="22"/>
        </w:rPr>
        <w:t xml:space="preserve">(f) </w:t>
      </w:r>
      <w:r>
        <w:rPr>
          <w:rFonts w:ascii="Arial" w:cs="Arial" w:eastAsia="Arial" w:hAnsi="Arial"/>
          <w:b/>
          <w:bCs/>
          <w:sz w:val="22"/>
          <w:szCs w:val="22"/>
        </w:rPr>
        <w:t xml:space="preserve">Specific performance / execution of decree for specific act</w:t>
      </w:r>
      <w:r>
        <w:rPr>
          <w:rFonts w:ascii="Arial" w:cs="Arial" w:eastAsia="Arial" w:hAnsi="Arial"/>
          <w:sz w:val="22"/>
          <w:szCs w:val="22"/>
        </w:rPr>
        <w:t xml:space="preserve"> (Rules 31 to 34): A decree for specific performance of a contract, or for execution of a document, may be executed by directing the judgment-debtor to perform the act, failing which the court itself may execute the document or do the act through an officer appointed by it, deeming such act to have been done by the judgment-debtor.</w:t>
      </w:r>
    </w:p>
    <w:p>
      <w:pPr>
        <w:pStyle w:val="Heading2"/>
      </w:pPr>
      <w:r>
        <w:t xml:space="preserve">8. Stay of Execution</w:t>
      </w:r>
    </w:p>
    <w:p>
      <w:pPr>
        <w:spacing w:after="160"/>
        <w:jc w:val="both"/>
      </w:pPr>
      <w:r>
        <w:rPr>
          <w:rFonts w:ascii="Arial" w:cs="Arial" w:eastAsia="Arial" w:hAnsi="Arial"/>
          <w:sz w:val="22"/>
          <w:szCs w:val="22"/>
        </w:rPr>
        <w:t xml:space="preserve">Order XXI Rule 26 empowers the court to which a decree is sent for execution to stay execution for a reasonable time, on sufficient cause shown, to enable the judgment-debtor to apply to the court which passed the decree, or to the appellate court, for an order to stay execution, or for any other order relating to the decree as the judgment-debtor may think fit. Order XLI Rule 5 separately empowers an appellate court to stay execution of a decree under appeal, pending disposal of the appeal, on such terms as it considers fit, including furnishing of security.</w:t>
      </w:r>
    </w:p>
    <w:p>
      <w:pPr>
        <w:pStyle w:val="Heading2"/>
      </w:pPr>
      <w:r>
        <w:t xml:space="preserve">9. Resistance to or Obstruction of Execution — Order XXI Rules 97 to 106</w:t>
      </w:r>
    </w:p>
    <w:p>
      <w:pPr>
        <w:spacing w:after="160"/>
        <w:jc w:val="both"/>
      </w:pPr>
      <w:r>
        <w:rPr>
          <w:rFonts w:ascii="Arial" w:cs="Arial" w:eastAsia="Arial" w:hAnsi="Arial"/>
          <w:sz w:val="22"/>
          <w:szCs w:val="22"/>
        </w:rPr>
        <w:t xml:space="preserve">Where the holder of a decree for possession of immovable property, or the purchaser of any such property sold in execution, is resisted or obstructed by any person in obtaining possession, he may make an application to the executing court complaining of such resistance or obstruction, and the court is required to proceed to adjudicate upon the application, in accordance with the procedure laid down therein, including a determination of whether the resisting person is a person claiming a right independent of the judgment-debtor or merely a person acting at the instance/on behalf of the judgment-debtor. The orders passed on such applications are deemed to be decrees, under Rule 103, and are appealable as such.</w:t>
      </w:r>
    </w:p>
    <w:p>
      <w:pPr>
        <w:pStyle w:val="Heading2"/>
      </w:pPr>
      <w:r>
        <w:t xml:space="preserve">10. Objections to Execution by the Judgment-Debtor — Section 47 CPC</w:t>
      </w:r>
    </w:p>
    <w:p>
      <w:pPr>
        <w:spacing w:after="160"/>
        <w:jc w:val="both"/>
      </w:pPr>
      <w:r>
        <w:rPr>
          <w:rFonts w:ascii="Arial" w:cs="Arial" w:eastAsia="Arial" w:hAnsi="Arial"/>
          <w:sz w:val="22"/>
          <w:szCs w:val="22"/>
        </w:rPr>
        <w:t xml:space="preserve">Section 47 CPC provides that all questions arising between the parties to the suit in which the decree was passed, or their representatives, and relating to the execution, discharge, or satisfaction of the decree, shall be determined by the court executing the decree, and not by a separate suit. This provision is intended to ensure that execution proceeds expeditiously and is not unduly delayed by collateral or fresh suits between the same parties relating to matters that can and ought to be agitated within the execution proceedings themselves; a judgment-debtor objecting to executability typically does so by an application under Section 47 before the executing court.</w:t>
      </w:r>
    </w:p>
    <w:p>
      <w:pPr>
        <w:pStyle w:val="Heading2"/>
      </w:pPr>
      <w:r>
        <w:t xml:space="preserve">11. Doctrine that Executing Court Cannot Go Behind the Decree</w:t>
      </w:r>
    </w:p>
    <w:p>
      <w:pPr>
        <w:spacing w:after="160"/>
        <w:jc w:val="both"/>
      </w:pPr>
      <w:r>
        <w:rPr>
          <w:rFonts w:ascii="Arial" w:cs="Arial" w:eastAsia="Arial" w:hAnsi="Arial"/>
          <w:sz w:val="22"/>
          <w:szCs w:val="22"/>
        </w:rPr>
        <w:t xml:space="preserve">It is well settled that an executing court cannot go behind the decree, that is, it cannot question the correctness or legality of the decree on its merits, and must take the decree as it stands; the executing court's jurisdiction is confined to ensuring that the decree, as it stands, is properly executed, save in cases where the decree is shown to be a nullity (e.g., passed by a court lacking inherent jurisdiction) — in which event the objection that the decree is void can be raised even in execution.</w:t>
      </w:r>
    </w:p>
    <w:p>
      <w:pPr>
        <w:pStyle w:val="Heading2"/>
      </w:pPr>
      <w:r>
        <w:t xml:space="preserve">12. Conclusion</w:t>
      </w:r>
    </w:p>
    <w:p>
      <w:pPr>
        <w:spacing w:after="160"/>
        <w:jc w:val="both"/>
      </w:pPr>
      <w:r>
        <w:rPr>
          <w:rFonts w:ascii="Arial" w:cs="Arial" w:eastAsia="Arial" w:hAnsi="Arial"/>
          <w:sz w:val="22"/>
          <w:szCs w:val="22"/>
        </w:rPr>
        <w:t xml:space="preserve">Execution proceedings represent the practical culmination of civil litigation — the stage at which the rights declared by a decree are translated into real, tangible relief for the decree-holder. Order XXI CPC provides a comprehensive, multi-modal framework for execution, encompassing attachment and sale of property, delivery of possession, arrest and detention, appointment of receivers, and garnishee proceedings, tailored to the nature of the decree sought to be executed. A well-drafted execution petition must scrupulously comply with the tabular particulars prescribed under Order XXI Rule 11, correctly identify the mode of execution sought having regard to the nature of the decree and the assets/conduct of the judgment-debtor, and must be filed within the period of limitation prescribed under Article 136 of the Limitation Act, 1963.</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EXECUTION PETITION UNDER ORDER XXI RULE 11 OF THE CODE OF CIVIL PROCEDURE, 1908</w:t>
      </w:r>
    </w:p>
    <w:p>
      <w:pPr>
        <w:spacing w:after="300"/>
        <w:jc w:val="center"/>
      </w:pPr>
      <w:r>
        <w:rPr>
          <w:rFonts w:ascii="Arial" w:cs="Arial" w:eastAsia="Arial" w:hAnsi="Arial"/>
          <w:i/>
          <w:iCs/>
          <w:sz w:val="20"/>
          <w:szCs w:val="20"/>
        </w:rPr>
        <w:t xml:space="preserve">(Presumed Facts: The Plaintiff (now Decree-Holder), M/s Shree Enterprises, has obtained a money decree dated 15th March 2026 for Rs. 14,37,500/- with interest against the Defendant (now Judgment-Debtor), Mr. Anil Kumar Verma, in Civil Suit No. ___ of 2026 [continuing from Topic 1 above]. Despite the decree, the Judgment-Debtor has failed to pay, and the Decree-Holder now seeks execution by attachment and sale of the Judgment-Debtor's immovable property and a bank account.)</w:t>
      </w:r>
    </w:p>
    <w:p>
      <w:pPr>
        <w:spacing w:after="200" w:before="200"/>
        <w:jc w:val="center"/>
      </w:pPr>
      <w:r>
        <w:rPr>
          <w:rFonts w:ascii="Arial" w:cs="Arial" w:eastAsia="Arial" w:hAnsi="Arial"/>
          <w:b/>
          <w:bCs/>
          <w:sz w:val="22"/>
          <w:szCs w:val="22"/>
        </w:rPr>
        <w:t xml:space="preserve">IN THE COURT OF THE CIVIL JUDGE (SENIOR DIVISION), AT [CITY]</w:t>
      </w:r>
    </w:p>
    <w:p>
      <w:pPr>
        <w:spacing w:after="160"/>
        <w:jc w:val="both"/>
      </w:pPr>
      <w:r>
        <w:rPr>
          <w:rFonts w:ascii="Arial" w:cs="Arial" w:eastAsia="Arial" w:hAnsi="Arial"/>
          <w:sz w:val="22"/>
          <w:szCs w:val="22"/>
        </w:rPr>
        <w:t xml:space="preserve">(Execution Side)</w:t>
      </w:r>
    </w:p>
    <w:p>
      <w:pPr>
        <w:spacing w:after="160"/>
        <w:jc w:val="both"/>
      </w:pPr>
      <w:r>
        <w:rPr>
          <w:rFonts w:ascii="Arial" w:cs="Arial" w:eastAsia="Arial" w:hAnsi="Arial"/>
          <w:sz w:val="22"/>
          <w:szCs w:val="22"/>
        </w:rPr>
        <w:t xml:space="preserve">Execution Petition No. _____ of 2026</w:t>
      </w:r>
    </w:p>
    <w:p>
      <w:pPr>
        <w:spacing w:after="160"/>
        <w:jc w:val="both"/>
      </w:pPr>
      <w:r>
        <w:rPr>
          <w:rFonts w:ascii="Arial" w:cs="Arial" w:eastAsia="Arial" w:hAnsi="Arial"/>
          <w:sz w:val="22"/>
          <w:szCs w:val="22"/>
        </w:rPr>
        <w:t xml:space="preserve">(Arising out of Civil Suit No. ___ of 2026, decided on 15.3.2026)</w:t>
      </w:r>
    </w:p>
    <w:p>
      <w:pPr>
        <w:spacing w:after="160"/>
        <w:jc w:val="both"/>
      </w:pPr>
      <w:r>
        <w:rPr>
          <w:rFonts w:ascii="Arial" w:cs="Arial" w:eastAsia="Arial" w:hAnsi="Arial"/>
          <w:sz w:val="22"/>
          <w:szCs w:val="22"/>
        </w:rPr>
        <w:t xml:space="preserve">M/s Shree Enterprises, through its proprietor, Mr. Ramesh Kumar Sharma .......... DECREE-HOLDER</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Anil Kumar Verma .......................................................... JUDGMENT-DEBTOR</w:t>
      </w:r>
    </w:p>
    <w:p>
      <w:pPr>
        <w:spacing w:after="160"/>
        <w:jc w:val="both"/>
      </w:pPr>
      <w:r>
        <w:rPr>
          <w:rFonts w:ascii="Arial" w:cs="Arial" w:eastAsia="Arial" w:hAnsi="Arial"/>
          <w:sz w:val="22"/>
          <w:szCs w:val="22"/>
        </w:rPr>
        <w:t xml:space="preserve">EXECUTION PETITION UNDER SECTION 51 READ WITH ORDER XXI RULE 11 OF THE CODE OF CIVIL PROCEDURE, 1908</w:t>
      </w:r>
    </w:p>
    <w:p>
      <w:pPr>
        <w:spacing w:after="160"/>
        <w:jc w:val="both"/>
      </w:pPr>
      <w:r>
        <w:rPr>
          <w:rFonts w:ascii="Arial" w:cs="Arial" w:eastAsia="Arial" w:hAnsi="Arial"/>
          <w:sz w:val="22"/>
          <w:szCs w:val="22"/>
        </w:rPr>
        <w:t xml:space="preserve">MOST RESPECTFULLY SHOWETH:</w:t>
      </w:r>
    </w:p>
    <w:p>
      <w:pPr>
        <w:spacing w:after="200" w:before="200"/>
        <w:jc w:val="center"/>
      </w:pPr>
      <w:r>
        <w:rPr>
          <w:rFonts w:ascii="Arial" w:cs="Arial" w:eastAsia="Arial" w:hAnsi="Arial"/>
          <w:b/>
          <w:bCs/>
          <w:sz w:val="22"/>
          <w:szCs w:val="22"/>
        </w:rPr>
        <w:t xml:space="preserve">PARTICULARS OF EXECUTION (AS REQUIRED UNDER ORDER XXI RULE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Particulars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Number of suit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 Suit No. ___ of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Names of parties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Shree Enterprises (Decree-Holder) v. Mr. Anil Kumar Verma (Judgment-Debtor)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Date of decree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15th March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Whether any appeal preferred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appeal has been preferred by the Judgment-Debtor, and the decree has attained finality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Payment/adjustment since decree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payment or adjustment has been made by the Judgment-Debtor since the date of the decree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 Previous execution applications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this is the first application for execution of the said decree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 Amount due with interest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14,37,500/- (principal and pre-suit interest) plus interest at 12% p.a. from the date of filing of suit till the date of decree, and further interest at 6% p.a. from the date of decree till realisation, as awarded by the decree; total amount presently due and payable, after calculation, being Rs. 16,82,300/- (Rupees Sixteen Lakh Eighty-Two Thousand Three Hundred only) as on the date of filing of this Execution Petition [Interest Calculation Sheet annexed]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 Costs awarded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 45,000/- towards costs of the suit, as awarded vide the decree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Person against whom execution is sought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 Anil Kumar Verma, Judgment-Debtor, residing at House No. 27, Sector 9, [City]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 Mode in which assistance of court is required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Attachment and sale of the immovable property of the Judgment-Debtor described in Schedule A below; and (ii) attachment of the bank account of the Judgment-Debtor described in Schedule B below, by way of garnishee proceedings under Order XXI Rules 46-A to 46-I CPC</w:t>
            </w:r>
          </w:p>
        </w:tc>
      </w:tr>
    </w:tbl>
    <w:p>
      <w:pPr>
        <w:spacing w:after="120"/>
      </w:pPr>
    </w:p>
    <w:p>
      <w:pPr>
        <w:spacing w:after="160"/>
        <w:jc w:val="both"/>
      </w:pPr>
      <w:r>
        <w:rPr>
          <w:rFonts w:ascii="Arial" w:cs="Arial" w:eastAsia="Arial" w:hAnsi="Arial"/>
          <w:sz w:val="22"/>
          <w:szCs w:val="22"/>
        </w:rPr>
        <w:t xml:space="preserve">1. That this Hon'ble Court was pleased to pass a decree dated 15th March 2026 in Civil Suit No. ___ of 2026, decreeing the suit of the Decree-Holder for a sum of Rs. 14,37,500/- together with pendente lite and future interest at 6% per annum from the date of the decree till realisation, and costs of Rs. 45,000/-, against the Judgment-Debtor. A certified copy of the decree dated 15th March 2026 is filed herewith and marked as ANNEXURE E-1.</w:t>
      </w:r>
    </w:p>
    <w:p>
      <w:pPr>
        <w:spacing w:after="160"/>
        <w:jc w:val="both"/>
      </w:pPr>
      <w:r>
        <w:rPr>
          <w:rFonts w:ascii="Arial" w:cs="Arial" w:eastAsia="Arial" w:hAnsi="Arial"/>
          <w:sz w:val="22"/>
          <w:szCs w:val="22"/>
        </w:rPr>
        <w:t xml:space="preserve">2. That the period of limitation for filing an appeal against the said decree has expired, and no appeal has been preferred by the Judgment-Debtor; the decree has, therefore, attained finality.</w:t>
      </w:r>
    </w:p>
    <w:p>
      <w:pPr>
        <w:spacing w:after="160"/>
        <w:jc w:val="both"/>
      </w:pPr>
      <w:r>
        <w:rPr>
          <w:rFonts w:ascii="Arial" w:cs="Arial" w:eastAsia="Arial" w:hAnsi="Arial"/>
          <w:sz w:val="22"/>
          <w:szCs w:val="22"/>
        </w:rPr>
        <w:t xml:space="preserve">3. That despite the decree having been passed more than three months ago, and despite repeated requests and demands made by the Decree-Holder, the Judgment-Debtor has failed and neglected to pay any part of the decretal amount.</w:t>
      </w:r>
    </w:p>
    <w:p>
      <w:pPr>
        <w:spacing w:after="160"/>
        <w:jc w:val="both"/>
      </w:pPr>
      <w:r>
        <w:rPr>
          <w:rFonts w:ascii="Arial" w:cs="Arial" w:eastAsia="Arial" w:hAnsi="Arial"/>
          <w:sz w:val="22"/>
          <w:szCs w:val="22"/>
        </w:rPr>
        <w:t xml:space="preserve">4. That the Decree-Holder has ascertained that the Judgment-Debtor owns immovable property bearing House No. 27, Sector 9, [City], more particularly described in Schedule A hereto, which property stands in the sole name of the Judgment-Debtor as per the records of the Sub-Registrar of Assurances, [City], and is not, to the knowledge of the Decree-Holder, encumbered by any prior charge or mortgage.</w:t>
      </w:r>
    </w:p>
    <w:p>
      <w:pPr>
        <w:spacing w:after="160"/>
        <w:jc w:val="both"/>
      </w:pPr>
      <w:r>
        <w:rPr>
          <w:rFonts w:ascii="Arial" w:cs="Arial" w:eastAsia="Arial" w:hAnsi="Arial"/>
          <w:sz w:val="22"/>
          <w:szCs w:val="22"/>
        </w:rPr>
        <w:t xml:space="preserve">5. That the Decree-Holder has further ascertained that the Judgment-Debtor maintains a savings bank account bearing Account No. XXXXXXXXXX1234 with [Bank Name], [Branch], more particularly described in Schedule B hereto, in which substantial funds are believed to be lying to the credit of the Judgment-Debtor from time to time.</w:t>
      </w:r>
    </w:p>
    <w:p>
      <w:pPr>
        <w:spacing w:after="160"/>
        <w:jc w:val="both"/>
      </w:pPr>
      <w:r>
        <w:rPr>
          <w:rFonts w:ascii="Arial" w:cs="Arial" w:eastAsia="Arial" w:hAnsi="Arial"/>
          <w:sz w:val="22"/>
          <w:szCs w:val="22"/>
        </w:rPr>
        <w:t xml:space="preserve">6. That the Decree-Holder, therefore, seeks execution of the decree dated 15th March 2026 by way of (i) attachment and sale of the immovable property described in Schedule A, and (ii) attachment of the monies lying in the bank account described in Schedule B, by issuance of a garnishee order/notice under Order XXI Rules 46-A to 46-I CPC to the said Bank, directing the Bank to pay into court, or to the Decree-Holder, such sum as may be necessary to satisfy the decree, out of the monies due or accruing due from the Bank to the Judgment-Debtor.</w:t>
      </w:r>
    </w:p>
    <w:p>
      <w:pPr>
        <w:spacing w:after="160"/>
        <w:jc w:val="both"/>
      </w:pPr>
      <w:r>
        <w:rPr>
          <w:rFonts w:ascii="Arial" w:cs="Arial" w:eastAsia="Arial" w:hAnsi="Arial"/>
          <w:sz w:val="22"/>
          <w:szCs w:val="22"/>
        </w:rPr>
        <w:t xml:space="preserve">7. That this Execution Petition is filed within the period of limitation prescribed under Article 136 of the Limitation Act, 1963.</w:t>
      </w:r>
    </w:p>
    <w:p>
      <w:pPr>
        <w:spacing w:after="160"/>
        <w:jc w:val="both"/>
      </w:pPr>
      <w:r>
        <w:rPr>
          <w:rFonts w:ascii="Arial" w:cs="Arial" w:eastAsia="Arial" w:hAnsi="Arial"/>
          <w:sz w:val="22"/>
          <w:szCs w:val="22"/>
        </w:rPr>
        <w:t xml:space="preserve">8. That this Hon'ble Court, being the court which passed the decree sought to be executed, and the Judgment-Debtor as well as the properties sought to be attached being situated within the local limits of the jurisdiction of this Hon'ble Court, this Hon'ble Court has jurisdiction to entertain and execute the present Execution Petition.</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issue warrant of attachment in respect of the immovable property described in Schedule A hereto, belonging to the Judgment-Debtor, and thereafter proceed to sell the said property by public auction, and apply the sale proceeds towards satisfaction of the decretal amount of Rs. 16,82,300/- together with further interest accruing till the date of realisation and the costs of this Execution Petition;</w:t>
      </w:r>
    </w:p>
    <w:p>
      <w:pPr>
        <w:spacing w:after="160"/>
        <w:jc w:val="both"/>
      </w:pPr>
      <w:r>
        <w:rPr>
          <w:rFonts w:ascii="Arial" w:cs="Arial" w:eastAsia="Arial" w:hAnsi="Arial"/>
          <w:sz w:val="22"/>
          <w:szCs w:val="22"/>
        </w:rPr>
        <w:t xml:space="preserve">(b) issue notice to [Bank Name], [Branch], under Order XXI Rules 46-A to 46-I of the Code of Civil Procedure, 1908, directing the said Bank to pay into this Hon'ble Court, or to the Decree-Holder, such sum from the account of the Judgment-Debtor described in Schedule B hereto as may be sufficient to satisfy the decree, or such part thereof as remains unsatisfied;</w:t>
      </w:r>
    </w:p>
    <w:p>
      <w:pPr>
        <w:spacing w:after="160"/>
        <w:jc w:val="both"/>
      </w:pPr>
      <w:r>
        <w:rPr>
          <w:rFonts w:ascii="Arial" w:cs="Arial" w:eastAsia="Arial" w:hAnsi="Arial"/>
          <w:sz w:val="22"/>
          <w:szCs w:val="22"/>
        </w:rPr>
        <w:t xml:space="preserve">(c) award the costs of the present Execution Petition to the Decree-Holder; and</w:t>
      </w:r>
    </w:p>
    <w:p>
      <w:pPr>
        <w:spacing w:after="160"/>
        <w:jc w:val="both"/>
      </w:pPr>
      <w:r>
        <w:rPr>
          <w:rFonts w:ascii="Arial" w:cs="Arial" w:eastAsia="Arial" w:hAnsi="Arial"/>
          <w:sz w:val="22"/>
          <w:szCs w:val="22"/>
        </w:rPr>
        <w:t xml:space="preserve">(d) pass such other order(s) as this Hon'ble Court may deem fit and proper in the interest of justice.</w:t>
      </w:r>
    </w:p>
    <w:p>
      <w:pPr>
        <w:spacing w:after="160"/>
        <w:jc w:val="both"/>
      </w:pPr>
      <w:r>
        <w:rPr>
          <w:rFonts w:ascii="Arial" w:cs="Arial" w:eastAsia="Arial" w:hAnsi="Arial"/>
          <w:sz w:val="22"/>
          <w:szCs w:val="22"/>
        </w:rPr>
        <w:t xml:space="preserve">DECREE-HOLDER</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SCHEDULE A</w:t>
      </w:r>
    </w:p>
    <w:p>
      <w:pPr>
        <w:spacing w:after="160"/>
        <w:jc w:val="both"/>
      </w:pPr>
      <w:r>
        <w:rPr>
          <w:rFonts w:ascii="Arial" w:cs="Arial" w:eastAsia="Arial" w:hAnsi="Arial"/>
          <w:sz w:val="22"/>
          <w:szCs w:val="22"/>
        </w:rPr>
        <w:t xml:space="preserve">(Immovable Property of the Judgment-Debtor)</w:t>
      </w:r>
    </w:p>
    <w:p>
      <w:pPr>
        <w:spacing w:after="160"/>
        <w:jc w:val="both"/>
      </w:pPr>
      <w:r>
        <w:rPr>
          <w:rFonts w:ascii="Arial" w:cs="Arial" w:eastAsia="Arial" w:hAnsi="Arial"/>
          <w:sz w:val="22"/>
          <w:szCs w:val="22"/>
        </w:rPr>
        <w:t xml:space="preserve">All that piece and parcel of immovable property bearing House No. 27, situated in Sector 9, [City], admeasuring approximately 200 square yards, bounded as follows:</w:t>
      </w:r>
    </w:p>
    <w:p>
      <w:pPr>
        <w:spacing w:after="160"/>
        <w:jc w:val="both"/>
      </w:pPr>
      <w:r>
        <w:rPr>
          <w:rFonts w:ascii="Arial" w:cs="Arial" w:eastAsia="Arial" w:hAnsi="Arial"/>
          <w:sz w:val="22"/>
          <w:szCs w:val="22"/>
        </w:rPr>
        <w:t xml:space="preserve">On the North by: [---]</w:t>
      </w:r>
    </w:p>
    <w:p>
      <w:pPr>
        <w:spacing w:after="160"/>
        <w:jc w:val="both"/>
      </w:pPr>
      <w:r>
        <w:rPr>
          <w:rFonts w:ascii="Arial" w:cs="Arial" w:eastAsia="Arial" w:hAnsi="Arial"/>
          <w:sz w:val="22"/>
          <w:szCs w:val="22"/>
        </w:rPr>
        <w:t xml:space="preserve">On the South by: [---]</w:t>
      </w:r>
    </w:p>
    <w:p>
      <w:pPr>
        <w:spacing w:after="160"/>
        <w:jc w:val="both"/>
      </w:pPr>
      <w:r>
        <w:rPr>
          <w:rFonts w:ascii="Arial" w:cs="Arial" w:eastAsia="Arial" w:hAnsi="Arial"/>
          <w:sz w:val="22"/>
          <w:szCs w:val="22"/>
        </w:rPr>
        <w:t xml:space="preserve">On the East by: [---]</w:t>
      </w:r>
    </w:p>
    <w:p>
      <w:pPr>
        <w:spacing w:after="160"/>
        <w:jc w:val="both"/>
      </w:pPr>
      <w:r>
        <w:rPr>
          <w:rFonts w:ascii="Arial" w:cs="Arial" w:eastAsia="Arial" w:hAnsi="Arial"/>
          <w:sz w:val="22"/>
          <w:szCs w:val="22"/>
        </w:rPr>
        <w:t xml:space="preserve">On the West by: [---]</w:t>
      </w:r>
    </w:p>
    <w:p>
      <w:pPr>
        <w:spacing w:after="160"/>
        <w:jc w:val="both"/>
      </w:pPr>
      <w:r>
        <w:rPr>
          <w:rFonts w:ascii="Arial" w:cs="Arial" w:eastAsia="Arial" w:hAnsi="Arial"/>
          <w:sz w:val="22"/>
          <w:szCs w:val="22"/>
        </w:rPr>
        <w:t xml:space="preserve">standing in the sole name of the Judgment-Debtor, Mr. Anil Kumar Verma, as per Index-II/Sale Deed registered as Document No. ___ of ____, in the office of the Sub-Registrar of Assurances, [City].</w:t>
      </w:r>
    </w:p>
    <w:p>
      <w:pPr>
        <w:spacing w:after="200" w:before="200"/>
        <w:jc w:val="center"/>
      </w:pPr>
      <w:r>
        <w:rPr>
          <w:rFonts w:ascii="Arial" w:cs="Arial" w:eastAsia="Arial" w:hAnsi="Arial"/>
          <w:b/>
          <w:bCs/>
          <w:sz w:val="22"/>
          <w:szCs w:val="22"/>
        </w:rPr>
        <w:t xml:space="preserve">SCHEDULE B</w:t>
      </w:r>
    </w:p>
    <w:p>
      <w:pPr>
        <w:spacing w:after="160"/>
        <w:jc w:val="both"/>
      </w:pPr>
      <w:r>
        <w:rPr>
          <w:rFonts w:ascii="Arial" w:cs="Arial" w:eastAsia="Arial" w:hAnsi="Arial"/>
          <w:sz w:val="22"/>
          <w:szCs w:val="22"/>
        </w:rPr>
        <w:t xml:space="preserve">(Bank Account of the Judgment-Debtor)</w:t>
      </w:r>
    </w:p>
    <w:p>
      <w:pPr>
        <w:spacing w:after="160"/>
        <w:jc w:val="both"/>
      </w:pPr>
      <w:r>
        <w:rPr>
          <w:rFonts w:ascii="Arial" w:cs="Arial" w:eastAsia="Arial" w:hAnsi="Arial"/>
          <w:sz w:val="22"/>
          <w:szCs w:val="22"/>
        </w:rPr>
        <w:t xml:space="preserve">Savings Bank Account No. XXXXXXXXXX1234, maintained in the name of Mr. Anil Kumar Verma, with [Bank Name], [Branch Address].</w:t>
      </w:r>
    </w:p>
    <w:p>
      <w:pPr>
        <w:spacing w:after="200" w:before="200"/>
        <w:jc w:val="center"/>
      </w:pPr>
      <w:r>
        <w:rPr>
          <w:rFonts w:ascii="Arial" w:cs="Arial" w:eastAsia="Arial" w:hAnsi="Arial"/>
          <w:b/>
          <w:bCs/>
          <w:sz w:val="22"/>
          <w:szCs w:val="22"/>
        </w:rPr>
        <w:t xml:space="preserve">VERIFICATION</w:t>
      </w:r>
    </w:p>
    <w:p>
      <w:pPr>
        <w:spacing w:after="160"/>
        <w:jc w:val="both"/>
      </w:pPr>
      <w:r>
        <w:rPr>
          <w:rFonts w:ascii="Arial" w:cs="Arial" w:eastAsia="Arial" w:hAnsi="Arial"/>
          <w:sz w:val="22"/>
          <w:szCs w:val="22"/>
        </w:rPr>
        <w:t xml:space="preserve">I, Mr. Ramesh Kumar Sharma, sole proprietor of the Decree-Holder firm, do hereby verify that the contents of paragraphs 1 to 8 above, and the particulars set out in the tabular statement, are true and correct to my knowledge and belief, based on the record of the suit and information available to me.</w:t>
      </w:r>
    </w:p>
    <w:p>
      <w:pPr>
        <w:spacing w:after="160"/>
        <w:jc w:val="both"/>
      </w:pPr>
      <w:r>
        <w:rPr>
          <w:rFonts w:ascii="Arial" w:cs="Arial" w:eastAsia="Arial" w:hAnsi="Arial"/>
          <w:sz w:val="22"/>
          <w:szCs w:val="22"/>
        </w:rPr>
        <w:t xml:space="preserve">Verified at [City] on this _____ day of ________, 2026.</w:t>
      </w:r>
    </w:p>
    <w:p>
      <w:pPr>
        <w:spacing w:after="160"/>
        <w:jc w:val="both"/>
      </w:pPr>
      <w:r>
        <w:rPr>
          <w:rFonts w:ascii="Arial" w:cs="Arial" w:eastAsia="Arial" w:hAnsi="Arial"/>
          <w:sz w:val="22"/>
          <w:szCs w:val="22"/>
        </w:rPr>
        <w:t xml:space="preserve">DEPONENT</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Certified copy of decree dated 15.3.2026 — Annexure E-1</w:t>
      </w:r>
    </w:p>
    <w:p>
      <w:pPr>
        <w:spacing w:after="160"/>
        <w:jc w:val="both"/>
      </w:pPr>
      <w:r>
        <w:rPr>
          <w:rFonts w:ascii="Arial" w:cs="Arial" w:eastAsia="Arial" w:hAnsi="Arial"/>
          <w:sz w:val="22"/>
          <w:szCs w:val="22"/>
        </w:rPr>
        <w:t xml:space="preserve">2. Interest calculation sheet</w:t>
      </w:r>
    </w:p>
    <w:p>
      <w:pPr>
        <w:spacing w:after="160"/>
        <w:jc w:val="both"/>
      </w:pPr>
      <w:r>
        <w:rPr>
          <w:rFonts w:ascii="Arial" w:cs="Arial" w:eastAsia="Arial" w:hAnsi="Arial"/>
          <w:sz w:val="22"/>
          <w:szCs w:val="22"/>
        </w:rPr>
        <w:t xml:space="preserve">3. Property/Index-II extract pertaining to Schedule A property</w:t>
      </w:r>
    </w:p>
    <w:p>
      <w:pPr>
        <w:spacing w:after="160"/>
        <w:jc w:val="both"/>
      </w:pPr>
      <w:r>
        <w:rPr>
          <w:rFonts w:ascii="Arial" w:cs="Arial" w:eastAsia="Arial" w:hAnsi="Arial"/>
          <w:sz w:val="22"/>
          <w:szCs w:val="22"/>
        </w:rPr>
        <w:t xml:space="preserve">4. Vakalatnama</w:t>
      </w:r>
    </w:p>
    <w:p>
      <w:r>
        <w:br w:type="page"/>
      </w:r>
    </w:p>
    <w:p>
      <w:pPr>
        <w:pStyle w:val="Heading1"/>
      </w:pPr>
      <w:r>
        <w:t xml:space="preserve">7. PIL PETITION / PETITION UNDER ARTICLE 226 / ARTICLE 32 OF THE CONSTITUTION OF INDIA</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Articles 32 and 226 of the Constitution of India confer writ jurisdiction upon the Supreme Court and the High Courts respectively, empowering them to issue writs for the enforcement of fundamental rights (and, in the case of Article 226, also for "any other purpose"). Public Interest Litigation ("PIL") is a procedural innovation evolved by the Indian judiciary, primarily through the writ jurisdiction under Articles 32 and 226, to enable persons or groups acting bona fide to espouse the cause of those who, by reason of poverty, disability, or socially or economically disadvantaged position, are unable to approach the court themselves. PIL represents one of the most significant contributions of the Indian judiciary to comparative constitutional law and access to justice.</w:t>
      </w:r>
    </w:p>
    <w:p>
      <w:pPr>
        <w:pStyle w:val="Heading2"/>
      </w:pPr>
      <w:r>
        <w:t xml:space="preserve">2. Article 32 — Right to Constitutional Remedies</w:t>
      </w:r>
    </w:p>
    <w:p>
      <w:pPr>
        <w:spacing w:after="160"/>
        <w:jc w:val="both"/>
      </w:pPr>
      <w:r>
        <w:rPr>
          <w:rFonts w:ascii="Arial" w:cs="Arial" w:eastAsia="Arial" w:hAnsi="Arial"/>
          <w:sz w:val="22"/>
          <w:szCs w:val="22"/>
        </w:rPr>
        <w:t xml:space="preserve">Article 32(1) guarantees the right to move the Supreme Court by appropriate proceedings for the enforcement of the rights conferred by Part III of the Constitution. Article 32(2) empowers the Supreme Court to issue directions, orders, or writs, including writs in the nature of habeas corpus, mandamus, prohibition, quo warranto, and certiorari, whichever may be appropriate, for the enforcement of any of the rights conferred by Part III. Dr. B.R. Ambedkar famously described Article 32 as "the very soul of the Constitution and the very heart of it," since it is itself a fundamental right (the right to move the Supreme Court for enforcement of fundamental rights), and not merely a procedural remedy. Significantly, Article 32 cannot ordinarily be suspended except as provided by the Constitution itself (e.g., during a Proclamation of Emergency under Article 359, subject to constitutional safeguards introduced after the 44th Amendment), underscoring its supreme importance.</w:t>
      </w:r>
    </w:p>
    <w:p>
      <w:pPr>
        <w:pStyle w:val="Heading2"/>
      </w:pPr>
      <w:r>
        <w:t xml:space="preserve">3. Article 226 — Power of High Courts to Issue Certain Writs</w:t>
      </w:r>
    </w:p>
    <w:p>
      <w:pPr>
        <w:spacing w:after="160"/>
        <w:jc w:val="both"/>
      </w:pPr>
      <w:r>
        <w:rPr>
          <w:rFonts w:ascii="Arial" w:cs="Arial" w:eastAsia="Arial" w:hAnsi="Arial"/>
          <w:sz w:val="22"/>
          <w:szCs w:val="22"/>
        </w:rPr>
        <w:t xml:space="preserve">Article 226(1) empowers every High Court to issue, to any person or authority, including in appropriate cases any Government, within its territorial jurisdiction, directions, orders, or writs, including writs in the nature of habeas corpus, mandamus, prohibition, quo warranto, and certiorari, or any of them, for the enforcement of any of the rights conferred by Part III, and for any other purpose. The phrase "for any other purpose" makes the jurisdiction of the High Courts under Article 226 wider than that of the Supreme Court under Article 32, since the High Courts can issue writs not only for enforcement of fundamental rights but also for enforcement of any legal right, ordinary statutory right, or to correct jurisdictional errors of subordinate courts/tribunals and public authorities, even where no fundamental right is involved.</w:t>
      </w:r>
    </w:p>
    <w:p>
      <w:pPr>
        <w:pStyle w:val="Heading2"/>
      </w:pPr>
      <w:r>
        <w:t xml:space="preserve">4. The Five Principal Writs</w:t>
      </w:r>
    </w:p>
    <w:p>
      <w:pPr>
        <w:spacing w:after="160"/>
        <w:ind w:left="360"/>
        <w:jc w:val="both"/>
      </w:pPr>
      <w:r>
        <w:rPr>
          <w:rFonts w:ascii="Arial" w:cs="Arial" w:eastAsia="Arial" w:hAnsi="Arial"/>
          <w:sz w:val="22"/>
          <w:szCs w:val="22"/>
        </w:rPr>
        <w:t xml:space="preserve">(a) </w:t>
      </w:r>
      <w:r>
        <w:rPr>
          <w:rFonts w:ascii="Arial" w:cs="Arial" w:eastAsia="Arial" w:hAnsi="Arial"/>
          <w:b/>
          <w:bCs/>
          <w:sz w:val="22"/>
          <w:szCs w:val="22"/>
        </w:rPr>
        <w:t xml:space="preserve">Habeas Corpus</w:t>
      </w:r>
      <w:r>
        <w:rPr>
          <w:rFonts w:ascii="Arial" w:cs="Arial" w:eastAsia="Arial" w:hAnsi="Arial"/>
          <w:sz w:val="22"/>
          <w:szCs w:val="22"/>
        </w:rPr>
        <w:t xml:space="preserve"> ("you may have the body"): Issued to produce a person who has been detained, whether in prison or private custody, before the court, and to set him at liberty if the detention is found to be without legal authority or otherwise illegal. It is the most fundamental safeguard against arbitrary detention.</w:t>
      </w:r>
    </w:p>
    <w:p>
      <w:pPr>
        <w:spacing w:after="160"/>
        <w:jc w:val="both"/>
      </w:pPr>
      <w:r>
        <w:rPr>
          <w:rFonts w:ascii="Arial" w:cs="Arial" w:eastAsia="Arial" w:hAnsi="Arial"/>
          <w:sz w:val="22"/>
          <w:szCs w:val="22"/>
        </w:rPr>
        <w:t xml:space="preserve">(b) </w:t>
      </w:r>
      <w:r>
        <w:rPr>
          <w:rFonts w:ascii="Arial" w:cs="Arial" w:eastAsia="Arial" w:hAnsi="Arial"/>
          <w:b/>
          <w:bCs/>
          <w:sz w:val="22"/>
          <w:szCs w:val="22"/>
        </w:rPr>
        <w:t xml:space="preserve">Mandamus</w:t>
      </w:r>
      <w:r>
        <w:rPr>
          <w:rFonts w:ascii="Arial" w:cs="Arial" w:eastAsia="Arial" w:hAnsi="Arial"/>
          <w:sz w:val="22"/>
          <w:szCs w:val="22"/>
        </w:rPr>
        <w:t xml:space="preserve"> ("we command"): Issued to a public authority, commanding it to perform a public or statutory duty which it has failed or refused to perform, where the petitioner has a legal right to compel performance of that duty and there exists a corresponding legal duty on the public authority. Mandamus does not lie to compel performance of a discretionary act in a particular manner, nor against a private individual (save in limited circumstances), nor to enforce private contractual obligations of the State (as opposed to public law duties), and does not lie against the President or Governor in their personal capacity.</w:t>
      </w:r>
    </w:p>
    <w:p>
      <w:pPr>
        <w:spacing w:after="160"/>
        <w:ind w:left="360"/>
        <w:jc w:val="both"/>
      </w:pPr>
      <w:r>
        <w:rPr>
          <w:rFonts w:ascii="Arial" w:cs="Arial" w:eastAsia="Arial" w:hAnsi="Arial"/>
          <w:sz w:val="22"/>
          <w:szCs w:val="22"/>
        </w:rPr>
        <w:t xml:space="preserve">(c) </w:t>
      </w:r>
      <w:r>
        <w:rPr>
          <w:rFonts w:ascii="Arial" w:cs="Arial" w:eastAsia="Arial" w:hAnsi="Arial"/>
          <w:b/>
          <w:bCs/>
          <w:sz w:val="22"/>
          <w:szCs w:val="22"/>
        </w:rPr>
        <w:t xml:space="preserve">Prohibition</w:t>
      </w:r>
      <w:r>
        <w:rPr>
          <w:rFonts w:ascii="Arial" w:cs="Arial" w:eastAsia="Arial" w:hAnsi="Arial"/>
          <w:sz w:val="22"/>
          <w:szCs w:val="22"/>
        </w:rPr>
        <w:t xml:space="preserve">: Issued by a higher court to a lower court or tribunal, prohibiting it from continuing proceedings in excess of its jurisdiction, or in violation of the rules of natural justice, where the proceedings have not yet concluded. It is essentially preventive.</w:t>
      </w:r>
    </w:p>
    <w:p>
      <w:pPr>
        <w:spacing w:after="160"/>
        <w:ind w:left="360"/>
        <w:jc w:val="both"/>
      </w:pPr>
      <w:r>
        <w:rPr>
          <w:rFonts w:ascii="Arial" w:cs="Arial" w:eastAsia="Arial" w:hAnsi="Arial"/>
          <w:sz w:val="22"/>
          <w:szCs w:val="22"/>
        </w:rPr>
        <w:t xml:space="preserve">(d) </w:t>
      </w:r>
      <w:r>
        <w:rPr>
          <w:rFonts w:ascii="Arial" w:cs="Arial" w:eastAsia="Arial" w:hAnsi="Arial"/>
          <w:b/>
          <w:bCs/>
          <w:sz w:val="22"/>
          <w:szCs w:val="22"/>
        </w:rPr>
        <w:t xml:space="preserve">Certiorari</w:t>
      </w:r>
      <w:r>
        <w:rPr>
          <w:rFonts w:ascii="Arial" w:cs="Arial" w:eastAsia="Arial" w:hAnsi="Arial"/>
          <w:sz w:val="22"/>
          <w:szCs w:val="22"/>
        </w:rPr>
        <w:t xml:space="preserve">: Issued to quash an order already passed by an inferior court, tribunal, or authority that has acted without or in excess of jurisdiction, or in violation of the principles of natural justice, or where there is an error of law apparent on the face of the record. Unlike prohibition, certiorari operates after the impugned decision has been made.</w:t>
      </w:r>
    </w:p>
    <w:p>
      <w:pPr>
        <w:spacing w:after="160"/>
        <w:ind w:left="360"/>
        <w:jc w:val="both"/>
      </w:pPr>
      <w:r>
        <w:rPr>
          <w:rFonts w:ascii="Arial" w:cs="Arial" w:eastAsia="Arial" w:hAnsi="Arial"/>
          <w:sz w:val="22"/>
          <w:szCs w:val="22"/>
        </w:rPr>
        <w:t xml:space="preserve">(e) </w:t>
      </w:r>
      <w:r>
        <w:rPr>
          <w:rFonts w:ascii="Arial" w:cs="Arial" w:eastAsia="Arial" w:hAnsi="Arial"/>
          <w:b/>
          <w:bCs/>
          <w:sz w:val="22"/>
          <w:szCs w:val="22"/>
        </w:rPr>
        <w:t xml:space="preserve">Quo Warranto</w:t>
      </w:r>
      <w:r>
        <w:rPr>
          <w:rFonts w:ascii="Arial" w:cs="Arial" w:eastAsia="Arial" w:hAnsi="Arial"/>
          <w:sz w:val="22"/>
          <w:szCs w:val="22"/>
        </w:rPr>
        <w:t xml:space="preserve">: Issued to inquire into the legality of the claim of a person to hold a public office, requiring him to show by what authority he holds the office; if he is unable to satisfactorily justify his claim, the court may oust him from the office.</w:t>
      </w:r>
    </w:p>
    <w:p>
      <w:pPr>
        <w:pStyle w:val="Heading2"/>
      </w:pPr>
      <w:r>
        <w:t xml:space="preserve">5. Public Interest Litigation — Evolution and Concept</w:t>
      </w:r>
    </w:p>
    <w:p>
      <w:pPr>
        <w:spacing w:after="160"/>
        <w:jc w:val="both"/>
      </w:pPr>
      <w:r>
        <w:rPr>
          <w:rFonts w:ascii="Arial" w:cs="Arial" w:eastAsia="Arial" w:hAnsi="Arial"/>
          <w:sz w:val="22"/>
          <w:szCs w:val="22"/>
        </w:rPr>
        <w:t xml:space="preserve">PIL emerged in India in the late 1970s and early 1980s as a response to the recognition that the traditional rule of locus standi — requiring that only a person whose own legal right has been infringed may approach the court — operated as a significant barrier to access to justice for the poor, illiterate, and marginalised sections of society, who were often unable, for want of resources, awareness, or capacity, to approach the courts themselves. The judiciary relaxed the strict requirement of locus standi, permitting any public-spirited citizen or organisation acting bona fide, and not for personal gain or political/other oblique motive, to maintain a petition espousing the cause of such disadvantaged persons or groups, or raising issues of larger public importance such as environmental degradation, custodial violence, bonded labour, prison reforms, and governmental accountability.</w:t>
      </w:r>
    </w:p>
    <w:p>
      <w:pPr>
        <w:spacing w:after="160"/>
        <w:jc w:val="both"/>
      </w:pPr>
      <w:r>
        <w:rPr>
          <w:rFonts w:ascii="Arial" w:cs="Arial" w:eastAsia="Arial" w:hAnsi="Arial"/>
          <w:sz w:val="22"/>
          <w:szCs w:val="22"/>
        </w:rPr>
        <w:t xml:space="preserve">The Supreme Court has further innovated procedurally in the PIL context by relaxing the strict rules of pleading and procedure, treating even letters addressed to the court (the "epistolary jurisdiction") as writ petitions in deserving cases, and by evolving the practice of appointing court commissioners, amicus curiae, and monitoring committees to ensure effective implementation of its directions in PIL matters.</w:t>
      </w:r>
    </w:p>
    <w:p>
      <w:pPr>
        <w:pStyle w:val="Heading2"/>
      </w:pPr>
      <w:r>
        <w:t xml:space="preserve">6. Locus Standi in PIL</w:t>
      </w:r>
    </w:p>
    <w:p>
      <w:pPr>
        <w:spacing w:after="160"/>
        <w:jc w:val="both"/>
      </w:pPr>
      <w:r>
        <w:rPr>
          <w:rFonts w:ascii="Arial" w:cs="Arial" w:eastAsia="Arial" w:hAnsi="Arial"/>
          <w:sz w:val="22"/>
          <w:szCs w:val="22"/>
        </w:rPr>
        <w:t xml:space="preserve">While the rule of locus standi is relaxed in PIL, it is not entirely abandoned. The courts require that the petitioner act bona fide, and not be motivated by personal gain, private profit, political motivation, or any other oblique consideration. Courts have cautioned against the misuse of the PIL jurisdiction by persons seeking to settle personal scores, gain publicity, or pursue private interests under the guise of public interest, and have, in several instances, imposed costs on petitioners found to have abused the process of PIL. The petitioner in a PIL must demonstrate either that he is acting on behalf of a class of persons who cannot themselves approach the court owing to poverty, disability, or social/economic disadvantage, or that the matter raises an issue of substantial public interest/concern that justifies judicial intervention.</w:t>
      </w:r>
    </w:p>
    <w:p>
      <w:pPr>
        <w:pStyle w:val="Heading2"/>
      </w:pPr>
      <w:r>
        <w:t xml:space="preserve">7. Essential Requirements of a Writ Petition (Including PIL)</w:t>
      </w:r>
    </w:p>
    <w:p>
      <w:pPr>
        <w:spacing w:after="160"/>
        <w:jc w:val="both"/>
      </w:pPr>
      <w:r>
        <w:rPr>
          <w:rFonts w:ascii="Arial" w:cs="Arial" w:eastAsia="Arial" w:hAnsi="Arial"/>
          <w:sz w:val="22"/>
          <w:szCs w:val="22"/>
        </w:rPr>
        <w:t xml:space="preserve">A writ petition, whether under Article 32 or Article 226, and whether filed in individual interest or public interest, must generally contain:</w:t>
      </w:r>
    </w:p>
    <w:p>
      <w:pPr>
        <w:spacing w:after="160"/>
        <w:ind w:left="360"/>
        <w:jc w:val="both"/>
      </w:pPr>
      <w:r>
        <w:rPr>
          <w:rFonts w:ascii="Arial" w:cs="Arial" w:eastAsia="Arial" w:hAnsi="Arial"/>
          <w:sz w:val="22"/>
          <w:szCs w:val="22"/>
        </w:rPr>
        <w:t xml:space="preserve">(i) the name, description, and address of the petitioner(s);</w:t>
      </w:r>
    </w:p>
    <w:p>
      <w:pPr>
        <w:spacing w:after="160"/>
        <w:ind w:left="360"/>
        <w:jc w:val="both"/>
      </w:pPr>
      <w:r>
        <w:rPr>
          <w:rFonts w:ascii="Arial" w:cs="Arial" w:eastAsia="Arial" w:hAnsi="Arial"/>
          <w:sz w:val="22"/>
          <w:szCs w:val="22"/>
        </w:rPr>
        <w:t xml:space="preserve">(ii) the name and description of the respondent(s), being the State, public authority, instrumentality, or person/authority against whom the writ is sought;</w:t>
      </w:r>
    </w:p>
    <w:p>
      <w:pPr>
        <w:spacing w:after="160"/>
        <w:ind w:left="360"/>
        <w:jc w:val="both"/>
      </w:pPr>
      <w:r>
        <w:rPr>
          <w:rFonts w:ascii="Arial" w:cs="Arial" w:eastAsia="Arial" w:hAnsi="Arial"/>
          <w:sz w:val="22"/>
          <w:szCs w:val="22"/>
        </w:rPr>
        <w:t xml:space="preserve">(iii) a concise statement of facts giving rise to the cause of action, including the impugned action, order, or inaction complained of;</w:t>
      </w:r>
    </w:p>
    <w:p>
      <w:pPr>
        <w:spacing w:after="160"/>
        <w:ind w:left="360"/>
        <w:jc w:val="both"/>
      </w:pPr>
      <w:r>
        <w:rPr>
          <w:rFonts w:ascii="Arial" w:cs="Arial" w:eastAsia="Arial" w:hAnsi="Arial"/>
          <w:sz w:val="22"/>
          <w:szCs w:val="22"/>
        </w:rPr>
        <w:t xml:space="preserve">(iv) the specific fundamental right(s) (in case of Article 32, or where fundamental rights are invoked under Article 226) alleged to have been violated, or the statutory/public law duty alleged to have been breached;</w:t>
      </w:r>
    </w:p>
    <w:p>
      <w:pPr>
        <w:spacing w:after="160"/>
        <w:ind w:left="360"/>
        <w:jc w:val="both"/>
      </w:pPr>
      <w:r>
        <w:rPr>
          <w:rFonts w:ascii="Arial" w:cs="Arial" w:eastAsia="Arial" w:hAnsi="Arial"/>
          <w:sz w:val="22"/>
          <w:szCs w:val="22"/>
        </w:rPr>
        <w:t xml:space="preserve">(v) the grounds on which the writ is sought, framed with precision, addressing the legal basis for issuance of the particular writ(s) prayed for;</w:t>
      </w:r>
    </w:p>
    <w:p>
      <w:pPr>
        <w:spacing w:after="160"/>
        <w:ind w:left="360"/>
        <w:jc w:val="both"/>
      </w:pPr>
      <w:r>
        <w:rPr>
          <w:rFonts w:ascii="Arial" w:cs="Arial" w:eastAsia="Arial" w:hAnsi="Arial"/>
          <w:sz w:val="22"/>
          <w:szCs w:val="22"/>
        </w:rPr>
        <w:t xml:space="preserve">(vi) in PIL matters, a statement establishing the bona fides of the petitioner, the public interest involved, and (where applicable) the inability of the affected persons to approach the court themselves;</w:t>
      </w:r>
    </w:p>
    <w:p>
      <w:pPr>
        <w:spacing w:after="160"/>
        <w:ind w:left="360"/>
        <w:jc w:val="both"/>
      </w:pPr>
      <w:r>
        <w:rPr>
          <w:rFonts w:ascii="Arial" w:cs="Arial" w:eastAsia="Arial" w:hAnsi="Arial"/>
          <w:sz w:val="22"/>
          <w:szCs w:val="22"/>
        </w:rPr>
        <w:t xml:space="preserve">(vii) a prayer clause specifying the writ(s) and consequential reliefs sought, including interim relief, if any;</w:t>
      </w:r>
    </w:p>
    <w:p>
      <w:pPr>
        <w:spacing w:after="160"/>
        <w:ind w:left="360"/>
        <w:jc w:val="both"/>
      </w:pPr>
      <w:r>
        <w:rPr>
          <w:rFonts w:ascii="Arial" w:cs="Arial" w:eastAsia="Arial" w:hAnsi="Arial"/>
          <w:sz w:val="22"/>
          <w:szCs w:val="22"/>
        </w:rPr>
        <w:t xml:space="preserve">(viii) an affidavit verifying the facts stated in the petition; and</w:t>
      </w:r>
    </w:p>
    <w:p>
      <w:pPr>
        <w:spacing w:after="160"/>
        <w:ind w:left="360"/>
        <w:jc w:val="both"/>
      </w:pPr>
      <w:r>
        <w:rPr>
          <w:rFonts w:ascii="Arial" w:cs="Arial" w:eastAsia="Arial" w:hAnsi="Arial"/>
          <w:sz w:val="22"/>
          <w:szCs w:val="22"/>
        </w:rPr>
        <w:t xml:space="preserve">(ix) annexures comprising all documents relied upon, including the impugned order (where certiorari is sought), correspondence with the authorities demonstrating exhaustion of representations (where relevant), and any other supporting material.</w:t>
      </w:r>
    </w:p>
    <w:p>
      <w:pPr>
        <w:pStyle w:val="Heading2"/>
      </w:pPr>
      <w:r>
        <w:t xml:space="preserve">8. Alternative Remedy — A Rule of Discretion, Not Jurisdiction</w:t>
      </w:r>
    </w:p>
    <w:p>
      <w:pPr>
        <w:spacing w:after="160"/>
        <w:jc w:val="both"/>
      </w:pPr>
      <w:r>
        <w:rPr>
          <w:rFonts w:ascii="Arial" w:cs="Arial" w:eastAsia="Arial" w:hAnsi="Arial"/>
          <w:sz w:val="22"/>
          <w:szCs w:val="22"/>
        </w:rPr>
        <w:t xml:space="preserve">Courts have repeatedly clarified that the existence of an alternative statutory remedy does not operate as an absolute bar to the maintainability of a writ petition; rather, it is a rule of discretion that the court may, but is not bound to, decline to exercise its writ jurisdiction where an effective alternative remedy is available, particularly where the matter involves disputed questions of fact best suited to determination through the ordinary hierarchy of statutory remedies. However, courts have entertained writ petitions despite the existence of an alternative remedy in cases involving: (a) enforcement of fundamental rights; (b) violation of principles of natural justice; (c) orders/proceedings wholly without jurisdiction; or (d) the vires of an enactment being challenged.</w:t>
      </w:r>
    </w:p>
    <w:p>
      <w:pPr>
        <w:pStyle w:val="Heading2"/>
      </w:pPr>
      <w:r>
        <w:t xml:space="preserve">9. PIL: Subject Matters</w:t>
      </w:r>
    </w:p>
    <w:p>
      <w:pPr>
        <w:spacing w:after="160"/>
        <w:jc w:val="both"/>
      </w:pPr>
      <w:r>
        <w:rPr>
          <w:rFonts w:ascii="Arial" w:cs="Arial" w:eastAsia="Arial" w:hAnsi="Arial"/>
          <w:sz w:val="22"/>
          <w:szCs w:val="22"/>
        </w:rPr>
        <w:t xml:space="preserve">PIL has, over the decades, been used to secure judicial intervention and structural reform across a wide range of subjects, including (illustratively): environmental protection (forest conservation, river/air pollution, vehicular pollution norms); prison reforms and rights of undertrial prisoners; bonded and child labour; sexual harassment at the workplace (prior to enactment of a specific statute); access to clean drinking water and sanitation; right to food; rights of persons with disabilities; electoral reforms and probity in public life; and accountability in governance generally.</w:t>
      </w:r>
    </w:p>
    <w:p>
      <w:pPr>
        <w:pStyle w:val="Heading2"/>
      </w:pPr>
      <w:r>
        <w:t xml:space="preserve">10. Conclusion</w:t>
      </w:r>
    </w:p>
    <w:p>
      <w:pPr>
        <w:spacing w:after="160"/>
        <w:jc w:val="both"/>
      </w:pPr>
      <w:r>
        <w:rPr>
          <w:rFonts w:ascii="Arial" w:cs="Arial" w:eastAsia="Arial" w:hAnsi="Arial"/>
          <w:sz w:val="22"/>
          <w:szCs w:val="22"/>
        </w:rPr>
        <w:t xml:space="preserve">Articles 32 and 226 together constitute the bulwark of constitutional remedies in India, with Article 32 itself enjoying the status of a fundamental right and Article 226 conferring an even wider jurisdiction extending to "any other purpose." Public Interest Litigation, born of judicial innovation within this writ jurisdiction, has transformed access to justice in India by relaxing locus standi for bona fide public-spirited petitioners espousing the cause of the disadvantaged or raising matters of larger public concern, while courts simultaneously remain vigilant against its misuse for personal or oblique motives. A well-drafted writ petition, whether in individual or public interest, must precisely identify the impugned action or inaction, the constitutional or legal right infringed, the specific writ(s) appropriate to the relief sought, and, in PIL matters, must establish the bona fides and public interest character of the petitioner's cause.</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PUBLIC INTEREST LITIGATION PETITION UNDER ARTICLE 226 OF THE CONSTITUTION OF INDIA SEEKING A WRIT OF MANDAMUS</w:t>
      </w:r>
    </w:p>
    <w:p>
      <w:pPr>
        <w:spacing w:after="300"/>
        <w:jc w:val="center"/>
      </w:pPr>
      <w:r>
        <w:rPr>
          <w:rFonts w:ascii="Arial" w:cs="Arial" w:eastAsia="Arial" w:hAnsi="Arial"/>
          <w:i/>
          <w:iCs/>
          <w:sz w:val="20"/>
          <w:szCs w:val="20"/>
        </w:rPr>
        <w:t xml:space="preserve">(Presumed Facts: An NGO working for child welfare files a PIL before the High Court, seeking a writ of mandamus directing the State Government and Municipal Corporation to ensure functioning of mid-day meal schemes and basic sanitation facilities in government schools in a particular district, following reports of contaminated food causing illness among schoolchildren.)</w:t>
      </w:r>
    </w:p>
    <w:p>
      <w:pPr>
        <w:spacing w:after="200" w:before="200"/>
        <w:jc w:val="center"/>
      </w:pPr>
      <w:r>
        <w:rPr>
          <w:rFonts w:ascii="Arial" w:cs="Arial" w:eastAsia="Arial" w:hAnsi="Arial"/>
          <w:b/>
          <w:bCs/>
          <w:sz w:val="22"/>
          <w:szCs w:val="22"/>
        </w:rPr>
        <w:t xml:space="preserve">IN THE HIGH COURT OF [STATE] AT [CITY]</w:t>
      </w:r>
    </w:p>
    <w:p>
      <w:pPr>
        <w:spacing w:after="160"/>
        <w:jc w:val="both"/>
      </w:pPr>
      <w:r>
        <w:rPr>
          <w:rFonts w:ascii="Arial" w:cs="Arial" w:eastAsia="Arial" w:hAnsi="Arial"/>
          <w:sz w:val="22"/>
          <w:szCs w:val="22"/>
        </w:rPr>
        <w:t xml:space="preserve">(ORDINARY ORIGINAL/CIVIL WRIT JURISDICTION)</w:t>
      </w:r>
    </w:p>
    <w:p>
      <w:pPr>
        <w:spacing w:after="160"/>
        <w:jc w:val="both"/>
      </w:pPr>
      <w:r>
        <w:rPr>
          <w:rFonts w:ascii="Arial" w:cs="Arial" w:eastAsia="Arial" w:hAnsi="Arial"/>
          <w:sz w:val="22"/>
          <w:szCs w:val="22"/>
        </w:rPr>
        <w:t xml:space="preserve">Writ Petition (PIL) No. _____ of 2026</w:t>
      </w:r>
    </w:p>
    <w:p>
      <w:pPr>
        <w:spacing w:after="200" w:before="200"/>
        <w:jc w:val="center"/>
      </w:pPr>
      <w:r>
        <w:rPr>
          <w:rFonts w:ascii="Arial" w:cs="Arial" w:eastAsia="Arial" w:hAnsi="Arial"/>
          <w:b/>
          <w:bCs/>
          <w:sz w:val="22"/>
          <w:szCs w:val="22"/>
        </w:rPr>
        <w:t xml:space="preserve">IN THE MATTER OF:</w:t>
      </w:r>
    </w:p>
    <w:p>
      <w:pPr>
        <w:spacing w:after="160"/>
        <w:jc w:val="both"/>
      </w:pPr>
      <w:r>
        <w:rPr>
          <w:rFonts w:ascii="Arial" w:cs="Arial" w:eastAsia="Arial" w:hAnsi="Arial"/>
          <w:sz w:val="22"/>
          <w:szCs w:val="22"/>
        </w:rPr>
        <w:t xml:space="preserve">Article 21, Article 21-A, and Article 47 of the Constitution of India</w:t>
      </w:r>
    </w:p>
    <w:p>
      <w:pPr>
        <w:spacing w:after="160"/>
        <w:jc w:val="both"/>
      </w:pPr>
      <w:r>
        <w:rPr>
          <w:rFonts w:ascii="Arial" w:cs="Arial" w:eastAsia="Arial" w:hAnsi="Arial"/>
          <w:sz w:val="22"/>
          <w:szCs w:val="22"/>
        </w:rPr>
        <w:t xml:space="preserve">AND IN THE MATTER OF:</w:t>
      </w:r>
    </w:p>
    <w:p>
      <w:pPr>
        <w:spacing w:after="160"/>
        <w:jc w:val="both"/>
      </w:pPr>
      <w:r>
        <w:rPr>
          <w:rFonts w:ascii="Arial" w:cs="Arial" w:eastAsia="Arial" w:hAnsi="Arial"/>
          <w:sz w:val="22"/>
          <w:szCs w:val="22"/>
        </w:rPr>
        <w:t xml:space="preserve">A Public Interest Litigation seeking directions for ensuring safe and hygienic implementation of the Mid-Day Meal Scheme and provision of basic sanitation facilities in Government Schools in [District], [State]</w:t>
      </w:r>
    </w:p>
    <w:p>
      <w:pPr>
        <w:spacing w:after="160"/>
        <w:jc w:val="both"/>
      </w:pPr>
      <w:r>
        <w:rPr>
          <w:rFonts w:ascii="Arial" w:cs="Arial" w:eastAsia="Arial" w:hAnsi="Arial"/>
          <w:sz w:val="22"/>
          <w:szCs w:val="22"/>
        </w:rPr>
        <w:t xml:space="preserve">Bal Kalyan Sanstha, a registered society engaged in the welfare of children, having its registered office at 22, Nehru Marg, [City], through its General Secretary, Ms. Sunita Rao, aged about 39 years</w:t>
      </w:r>
    </w:p>
    <w:p>
      <w:pPr>
        <w:spacing w:after="200" w:before="200"/>
        <w:jc w:val="center"/>
      </w:pPr>
      <w:r>
        <w:rPr>
          <w:rFonts w:ascii="Arial" w:cs="Arial" w:eastAsia="Arial" w:hAnsi="Arial"/>
          <w:b/>
          <w:bCs/>
          <w:sz w:val="22"/>
          <w:szCs w:val="22"/>
        </w:rPr>
        <w:t xml:space="preserve">.............................................................................. PETITIONER</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1. State of [State], through the Chief Secretary, Secretariat, [City]</w:t>
      </w:r>
    </w:p>
    <w:p>
      <w:pPr>
        <w:spacing w:after="160"/>
        <w:jc w:val="both"/>
      </w:pPr>
      <w:r>
        <w:rPr>
          <w:rFonts w:ascii="Arial" w:cs="Arial" w:eastAsia="Arial" w:hAnsi="Arial"/>
          <w:sz w:val="22"/>
          <w:szCs w:val="22"/>
        </w:rPr>
        <w:t xml:space="preserve">2. The Secretary, Department of School Education, Government of [State], Secretariat, [City]</w:t>
      </w:r>
    </w:p>
    <w:p>
      <w:pPr>
        <w:spacing w:after="160"/>
        <w:jc w:val="both"/>
      </w:pPr>
      <w:r>
        <w:rPr>
          <w:rFonts w:ascii="Arial" w:cs="Arial" w:eastAsia="Arial" w:hAnsi="Arial"/>
          <w:sz w:val="22"/>
          <w:szCs w:val="22"/>
        </w:rPr>
        <w:t xml:space="preserve">3. [District] Municipal Corporation, through its Commissioner, [City]</w:t>
      </w:r>
    </w:p>
    <w:p>
      <w:pPr>
        <w:spacing w:after="160"/>
        <w:jc w:val="both"/>
      </w:pPr>
      <w:r>
        <w:rPr>
          <w:rFonts w:ascii="Arial" w:cs="Arial" w:eastAsia="Arial" w:hAnsi="Arial"/>
          <w:sz w:val="22"/>
          <w:szCs w:val="22"/>
        </w:rPr>
        <w:t xml:space="preserve">4. The District Education Officer, [District]</w:t>
      </w:r>
    </w:p>
    <w:p>
      <w:pPr>
        <w:spacing w:after="160"/>
        <w:jc w:val="both"/>
      </w:pPr>
      <w:r>
        <w:rPr>
          <w:rFonts w:ascii="Arial" w:cs="Arial" w:eastAsia="Arial" w:hAnsi="Arial"/>
          <w:sz w:val="22"/>
          <w:szCs w:val="22"/>
        </w:rPr>
        <w:t xml:space="preserve">.............................................................................. RESPONDENTS</w:t>
      </w:r>
    </w:p>
    <w:p>
      <w:pPr>
        <w:spacing w:after="160"/>
        <w:jc w:val="both"/>
      </w:pPr>
      <w:r>
        <w:rPr>
          <w:rFonts w:ascii="Arial" w:cs="Arial" w:eastAsia="Arial" w:hAnsi="Arial"/>
          <w:sz w:val="22"/>
          <w:szCs w:val="22"/>
        </w:rPr>
        <w:t xml:space="preserve">PETITION UNDER ARTICLE 226 OF THE CONSTITUTION OF INDIA SEEKING A WRIT OF MANDAMUS, OR ANY OTHER APPROPRIATE WRIT, ORDER, OR DIRECTION</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Petitioner is a society registered under the Societies Registration Act, 1860, working for over fifteen years in the field of child welfare, nutrition, and education across the State of [State], and is filing the present Public Interest Litigation bona fide, without any personal interest, gain, or oblique motive, solely in the interest of protecting the health, safety, and right to education of school-going children studying in government schools in [District], who, owing to their tender age, socio-economic circumstances, and dependence on the State for basic facilities, are unable to approach this Hon'ble Court themselves. A true copy of the Petitioner's registration certificate and memorandum of association is filed herewith and marked as ANNEXURE P-1.</w:t>
      </w:r>
    </w:p>
    <w:p>
      <w:pPr>
        <w:spacing w:after="160"/>
        <w:jc w:val="both"/>
      </w:pPr>
      <w:r>
        <w:rPr>
          <w:rFonts w:ascii="Arial" w:cs="Arial" w:eastAsia="Arial" w:hAnsi="Arial"/>
          <w:sz w:val="22"/>
          <w:szCs w:val="22"/>
        </w:rPr>
        <w:t xml:space="preserve">2. That the Petitioner has no personal interest in the present litigation and is not actuated by any motive other than ensuring that the constitutional and statutory rights of children studying in government schools in [District] are protected and enforced; the Petitioner undertakes that no part of this litigation is being pursued for personal gain, publicity, or political purpose.</w:t>
      </w:r>
    </w:p>
    <w:p>
      <w:pPr>
        <w:spacing w:after="160"/>
        <w:jc w:val="both"/>
      </w:pPr>
      <w:r>
        <w:rPr>
          <w:rFonts w:ascii="Arial" w:cs="Arial" w:eastAsia="Arial" w:hAnsi="Arial"/>
          <w:sz w:val="22"/>
          <w:szCs w:val="22"/>
        </w:rPr>
        <w:t xml:space="preserve">3. That Respondent No. 1 is the State of [State], responsible, inter alia, for implementation of the National Food Security Act, 2013 and the Mid-Day Meal Scheme (now National Scheme for PM POSHAN) within the State; Respondent No. 2 is the nodal department responsible for school education and implementation of the Mid-Day Meal Scheme; Respondent No. 3 is the local municipal authority responsible, inter alia, for sanitation infrastructure in the area; and Respondent No. 4 is the district-level authority responsible for supervision of government schools in [District].</w:t>
      </w:r>
    </w:p>
    <w:p>
      <w:pPr>
        <w:spacing w:after="160"/>
        <w:jc w:val="both"/>
      </w:pPr>
      <w:r>
        <w:rPr>
          <w:rFonts w:ascii="Arial" w:cs="Arial" w:eastAsia="Arial" w:hAnsi="Arial"/>
          <w:sz w:val="22"/>
          <w:szCs w:val="22"/>
        </w:rPr>
        <w:t xml:space="preserve">4. That on 10th May 2026, a tragic incident occurred at the Government Primary School, [Village/Locality], [District], wherein 34 (thirty-four) schoolchildren fell seriously ill after consuming the mid-day meal served at the school, with 11 (eleven) children requiring hospitalisation on account of food poisoning, allegedly caused by the use of contaminated cooking oil and unhygienic storage of food grains, as widely reported in the press. True copies of news reports dated 11th and 12th May 2026 covering the said incident are filed herewith and marked as ANNEXURE P-2 (Colly.).</w:t>
      </w:r>
    </w:p>
    <w:p>
      <w:pPr>
        <w:spacing w:after="160"/>
        <w:jc w:val="both"/>
      </w:pPr>
      <w:r>
        <w:rPr>
          <w:rFonts w:ascii="Arial" w:cs="Arial" w:eastAsia="Arial" w:hAnsi="Arial"/>
          <w:sz w:val="22"/>
          <w:szCs w:val="22"/>
        </w:rPr>
        <w:t xml:space="preserve">5. That subsequent to the said incident, the Petitioner conducted an independent survey, through its volunteers, of 25 (twenty-five) government schools across [District] between 20th May 2026 and 5th June 2026, the findings of which reveal the following systemic deficiencies:</w:t>
      </w:r>
    </w:p>
    <w:p>
      <w:pPr>
        <w:spacing w:after="160"/>
        <w:jc w:val="both"/>
      </w:pPr>
      <w:r>
        <w:rPr>
          <w:rFonts w:ascii="Arial" w:cs="Arial" w:eastAsia="Arial" w:hAnsi="Arial"/>
          <w:sz w:val="22"/>
          <w:szCs w:val="22"/>
        </w:rPr>
        <w:t xml:space="preserve">(a) In 18 out of 25 schools surveyed, the kitchen sheds used for preparation of mid-day meals lacked basic hygiene infrastructure, including the absence of clean running water and proper waste disposal facilities;</w:t>
      </w:r>
    </w:p>
    <w:p>
      <w:pPr>
        <w:spacing w:after="160"/>
        <w:jc w:val="both"/>
      </w:pPr>
      <w:r>
        <w:rPr>
          <w:rFonts w:ascii="Arial" w:cs="Arial" w:eastAsia="Arial" w:hAnsi="Arial"/>
          <w:sz w:val="22"/>
          <w:szCs w:val="22"/>
        </w:rPr>
        <w:t xml:space="preserve">(b) In 14 out of 25 schools surveyed, food grains and cooking ingredients were found to be stored in conditions susceptible to contamination, including absence of pest control and inadequate storage containers;</w:t>
      </w:r>
    </w:p>
    <w:p>
      <w:pPr>
        <w:spacing w:after="160"/>
        <w:jc w:val="both"/>
      </w:pPr>
      <w:r>
        <w:rPr>
          <w:rFonts w:ascii="Arial" w:cs="Arial" w:eastAsia="Arial" w:hAnsi="Arial"/>
          <w:sz w:val="22"/>
          <w:szCs w:val="22"/>
        </w:rPr>
        <w:t xml:space="preserve">(c) In 21 out of 25 schools surveyed, there exist no separate, functional toilets for girl students, or the existing toilets were found to be non-functional owing to lack of water supply or maintenance, in violation of the minimum infrastructure norms prescribed under the Right of Children to Free and Compulsory Education Act, 2009, and the Rules framed thereunder.</w:t>
      </w:r>
    </w:p>
    <w:p>
      <w:pPr>
        <w:spacing w:after="160"/>
        <w:jc w:val="both"/>
      </w:pPr>
      <w:r>
        <w:rPr>
          <w:rFonts w:ascii="Arial" w:cs="Arial" w:eastAsia="Arial" w:hAnsi="Arial"/>
          <w:sz w:val="22"/>
          <w:szCs w:val="22"/>
        </w:rPr>
        <w:t xml:space="preserve">A true copy of the survey report dated 8th June 2026, prepared by the Petitioner's volunteers, along with photographs, is filed herewith and marked as ANNEXURE P-3 (Colly.).</w:t>
      </w:r>
    </w:p>
    <w:p>
      <w:pPr>
        <w:spacing w:after="160"/>
        <w:jc w:val="both"/>
      </w:pPr>
      <w:r>
        <w:rPr>
          <w:rFonts w:ascii="Arial" w:cs="Arial" w:eastAsia="Arial" w:hAnsi="Arial"/>
          <w:sz w:val="22"/>
          <w:szCs w:val="22"/>
        </w:rPr>
        <w:t xml:space="preserve">6. That the right to life under Article 21 of the Constitution of India has been interpreted by the Hon'ble Supreme Court to include the right to live with human dignity, which encompasses the right to adequate nutrition and a safe, hygienic environment, particularly for children; further, Article 21-A guarantees the right of children between the ages of six and fourteen years to free and compulsory education, which right is rendered illusory if children are denied a safe and conducive environment, including basic sanitation and safe nutrition, within their schools; and Article 47 casts a directive obligation upon the State to raise the level of nutrition and the standard of living of its people and to improve public health.</w:t>
      </w:r>
    </w:p>
    <w:p>
      <w:pPr>
        <w:spacing w:after="160"/>
        <w:jc w:val="both"/>
      </w:pPr>
      <w:r>
        <w:rPr>
          <w:rFonts w:ascii="Arial" w:cs="Arial" w:eastAsia="Arial" w:hAnsi="Arial"/>
          <w:sz w:val="22"/>
          <w:szCs w:val="22"/>
        </w:rPr>
        <w:t xml:space="preserve">7. That despite the Petitioner having written representations dated 25th May 2026 and 15th June 2026 to Respondents No. 1, 2, and 4, drawing attention to the aforesaid deficiencies and requesting urgent remedial action, no response or corrective measures have been forthcoming from the Respondents till date. True copies of the said representations, along with proof of service/dispatch, are filed herewith and marked as ANNEXURE P-4 (Colly.).</w:t>
      </w:r>
    </w:p>
    <w:p>
      <w:pPr>
        <w:spacing w:after="160"/>
        <w:jc w:val="both"/>
      </w:pPr>
      <w:r>
        <w:rPr>
          <w:rFonts w:ascii="Arial" w:cs="Arial" w:eastAsia="Arial" w:hAnsi="Arial"/>
          <w:sz w:val="22"/>
          <w:szCs w:val="22"/>
        </w:rPr>
        <w:t xml:space="preserve">8. That the Respondents, being statutorily charged with the duty of implementing the Mid-Day Meal Scheme and ensuring basic infrastructure in government schools under the Right to Education Act, 2009 and rules made thereunder, are under a clear, unequivocal public law duty to ensure safe and hygienic implementation of the scheme and provision of basic sanitation facilities, and their continued inaction constitutes a failure to discharge a statutory and constitutional duty, warranting issuance of a writ of mandamus by this Hon'ble Court.</w:t>
      </w:r>
    </w:p>
    <w:p>
      <w:pPr>
        <w:spacing w:after="160"/>
        <w:jc w:val="both"/>
      </w:pPr>
      <w:r>
        <w:rPr>
          <w:rFonts w:ascii="Arial" w:cs="Arial" w:eastAsia="Arial" w:hAnsi="Arial"/>
          <w:sz w:val="22"/>
          <w:szCs w:val="22"/>
        </w:rPr>
        <w:t xml:space="preserve">9. That the Petitioner has no other equally efficacious alternative remedy, and even if an alternative remedy were available, the same would not be adequate given the urgency of the matter and the continuing threat to the life and health of schoolchildren; this Hon'ble Court's writ jurisdiction under Article 226 of the Constitution is, therefore, the appropriate and necessary forum for redressal.</w:t>
      </w:r>
    </w:p>
    <w:p>
      <w:pPr>
        <w:spacing w:after="160"/>
        <w:jc w:val="both"/>
      </w:pPr>
      <w:r>
        <w:rPr>
          <w:rFonts w:ascii="Arial" w:cs="Arial" w:eastAsia="Arial" w:hAnsi="Arial"/>
          <w:sz w:val="22"/>
          <w:szCs w:val="22"/>
        </w:rPr>
        <w:t xml:space="preserve">10. That this Hon'ble Court has territorial jurisdiction to entertain the present petition, the cause of action having arisen, and the schools in question being situated, within the territorial jurisdiction of this Hon'ble Court.</w:t>
      </w:r>
    </w:p>
    <w:p>
      <w:pPr>
        <w:spacing w:after="200" w:before="200"/>
        <w:jc w:val="center"/>
      </w:pPr>
      <w:r>
        <w:rPr>
          <w:rFonts w:ascii="Arial" w:cs="Arial" w:eastAsia="Arial" w:hAnsi="Arial"/>
          <w:b/>
          <w:bCs/>
          <w:sz w:val="22"/>
          <w:szCs w:val="22"/>
        </w:rPr>
        <w:t xml:space="preserve">GROUNDS</w:t>
      </w:r>
    </w:p>
    <w:p>
      <w:pPr>
        <w:spacing w:after="160"/>
        <w:jc w:val="both"/>
      </w:pPr>
      <w:r>
        <w:rPr>
          <w:rFonts w:ascii="Arial" w:cs="Arial" w:eastAsia="Arial" w:hAnsi="Arial"/>
          <w:sz w:val="22"/>
          <w:szCs w:val="22"/>
        </w:rPr>
        <w:t xml:space="preserve">A. Because the Respondents have failed to discharge their statutory and constitutional obligation to ensure safe, hygienic, and nutritious implementation of the Mid-Day Meal Scheme, in violation of Article 21 of the Constitution of India.</w:t>
      </w:r>
    </w:p>
    <w:p>
      <w:pPr>
        <w:spacing w:after="160"/>
        <w:jc w:val="both"/>
      </w:pPr>
      <w:r>
        <w:rPr>
          <w:rFonts w:ascii="Arial" w:cs="Arial" w:eastAsia="Arial" w:hAnsi="Arial"/>
          <w:sz w:val="22"/>
          <w:szCs w:val="22"/>
        </w:rPr>
        <w:t xml:space="preserve">B. Because the continued absence of functional sanitation facilities, particularly for girl children, violates the right to education under Article 21-A and exposes children to health hazards and indignity.</w:t>
      </w:r>
    </w:p>
    <w:p>
      <w:pPr>
        <w:spacing w:after="160"/>
        <w:jc w:val="both"/>
      </w:pPr>
      <w:r>
        <w:rPr>
          <w:rFonts w:ascii="Arial" w:cs="Arial" w:eastAsia="Arial" w:hAnsi="Arial"/>
          <w:sz w:val="22"/>
          <w:szCs w:val="22"/>
        </w:rPr>
        <w:t xml:space="preserve">C. Because the inaction of the Respondents, despite repeated representations by the Petitioner, demonstrates a continuing and culpable failure to perform a public duty, attracting the writ jurisdiction of this Hon'ble Court.</w:t>
      </w:r>
    </w:p>
    <w:p>
      <w:pPr>
        <w:spacing w:after="160"/>
        <w:jc w:val="both"/>
      </w:pPr>
      <w:r>
        <w:rPr>
          <w:rFonts w:ascii="Arial" w:cs="Arial" w:eastAsia="Arial" w:hAnsi="Arial"/>
          <w:sz w:val="22"/>
          <w:szCs w:val="22"/>
        </w:rPr>
        <w:t xml:space="preserve">D. Because the present petition is filed bona fide, in public interest, and not for any extraneous or personal consideration.</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issue a writ of mandamus, or any other appropriate writ, order, or direction, directing the Respondents to conduct, within a time-bound period to be fixed by this Hon'ble Court, a comprehensive hygiene and infrastructure audit of all government schools in [District], and to undertake immediate remedial measures in respect of the deficiencies identified;</w:t>
      </w:r>
    </w:p>
    <w:p>
      <w:pPr>
        <w:spacing w:after="160"/>
        <w:jc w:val="both"/>
      </w:pPr>
      <w:r>
        <w:rPr>
          <w:rFonts w:ascii="Arial" w:cs="Arial" w:eastAsia="Arial" w:hAnsi="Arial"/>
          <w:sz w:val="22"/>
          <w:szCs w:val="22"/>
        </w:rPr>
        <w:t xml:space="preserve">(b) issue a writ of mandamus, or any other appropriate writ, order, or direction, directing the Respondents to ensure provision of functional, separate sanitation facilities for boys and girls in all government schools in [District], within a time-bound period;</w:t>
      </w:r>
    </w:p>
    <w:p>
      <w:pPr>
        <w:spacing w:after="160"/>
        <w:jc w:val="both"/>
      </w:pPr>
      <w:r>
        <w:rPr>
          <w:rFonts w:ascii="Arial" w:cs="Arial" w:eastAsia="Arial" w:hAnsi="Arial"/>
          <w:sz w:val="22"/>
          <w:szCs w:val="22"/>
        </w:rPr>
        <w:t xml:space="preserve">(c) issue a writ of mandamus, or any other appropriate writ, order, or direction, directing the Respondents to constitute an independent monitoring committee, with representation from civil society, to periodically inspect and report on the quality and hygiene of mid-day meals served in government schools in [District];</w:t>
      </w:r>
    </w:p>
    <w:p>
      <w:pPr>
        <w:spacing w:after="160"/>
        <w:jc w:val="both"/>
      </w:pPr>
      <w:r>
        <w:rPr>
          <w:rFonts w:ascii="Arial" w:cs="Arial" w:eastAsia="Arial" w:hAnsi="Arial"/>
          <w:sz w:val="22"/>
          <w:szCs w:val="22"/>
        </w:rPr>
        <w:t xml:space="preserve">(d) direct the Respondents to file a status report before this Hon'ble Court within such period as this Hon'ble Court may deem fit, detailing the steps taken pursuant to the directions of this Hon'ble Court;</w:t>
      </w:r>
    </w:p>
    <w:p>
      <w:pPr>
        <w:spacing w:after="160"/>
        <w:jc w:val="both"/>
      </w:pPr>
      <w:r>
        <w:rPr>
          <w:rFonts w:ascii="Arial" w:cs="Arial" w:eastAsia="Arial" w:hAnsi="Arial"/>
          <w:sz w:val="22"/>
          <w:szCs w:val="22"/>
        </w:rPr>
        <w:t xml:space="preserve">(e) award exemplary compensation to the children who suffered injury/hospitalisation in the incident dated 10th May 2026, to be determined by this Hon'ble Court;</w:t>
      </w:r>
    </w:p>
    <w:p>
      <w:pPr>
        <w:spacing w:after="160"/>
        <w:jc w:val="both"/>
      </w:pPr>
      <w:r>
        <w:rPr>
          <w:rFonts w:ascii="Arial" w:cs="Arial" w:eastAsia="Arial" w:hAnsi="Arial"/>
          <w:sz w:val="22"/>
          <w:szCs w:val="22"/>
        </w:rPr>
        <w:t xml:space="preserve">(f) pass any other order(s), writ(s), or direction(s) as this Hon'ble Court may deem fit and proper in the facts and circumstances of the case, in the interest of justice.</w:t>
      </w:r>
    </w:p>
    <w:p>
      <w:pPr>
        <w:spacing w:after="200" w:before="200"/>
        <w:jc w:val="center"/>
      </w:pPr>
      <w:r>
        <w:rPr>
          <w:rFonts w:ascii="Arial" w:cs="Arial" w:eastAsia="Arial" w:hAnsi="Arial"/>
          <w:b/>
          <w:bCs/>
          <w:sz w:val="22"/>
          <w:szCs w:val="22"/>
        </w:rPr>
        <w:t xml:space="preserve">PETITIONER</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AFFIDAVIT</w:t>
      </w:r>
    </w:p>
    <w:p>
      <w:pPr>
        <w:spacing w:after="160"/>
        <w:jc w:val="both"/>
      </w:pPr>
      <w:r>
        <w:rPr>
          <w:rFonts w:ascii="Arial" w:cs="Arial" w:eastAsia="Arial" w:hAnsi="Arial"/>
          <w:sz w:val="22"/>
          <w:szCs w:val="22"/>
        </w:rPr>
        <w:t xml:space="preserve">I, Ms. Sunita Rao, General Secretary of the Petitioner society, do hereby solemnly affirm and state that I have read and understood the contents of the accompanying writ petition, and that the facts stated therein are true and correct to my knowledge, save those stated to be on information and belief, which I believe to be true, and that no part of this petition is false, and nothing material has been concealed therefrom; and further that this petition is being filed bona fide, in public interest, and not for any personal gain or oblique motive.</w:t>
      </w:r>
    </w:p>
    <w:p>
      <w:pPr>
        <w:spacing w:after="160"/>
        <w:jc w:val="both"/>
      </w:pPr>
      <w:r>
        <w:rPr>
          <w:rFonts w:ascii="Arial" w:cs="Arial" w:eastAsia="Arial" w:hAnsi="Arial"/>
          <w:sz w:val="22"/>
          <w:szCs w:val="22"/>
        </w:rPr>
        <w:t xml:space="preserve">DEPONENT (Sworn before Notary/Oath Commissioner)</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Registration certificate/memorandum of association of the Petitioner society — Annexure P-1</w:t>
      </w:r>
    </w:p>
    <w:p>
      <w:pPr>
        <w:spacing w:after="160"/>
        <w:jc w:val="both"/>
      </w:pPr>
      <w:r>
        <w:rPr>
          <w:rFonts w:ascii="Arial" w:cs="Arial" w:eastAsia="Arial" w:hAnsi="Arial"/>
          <w:sz w:val="22"/>
          <w:szCs w:val="22"/>
        </w:rPr>
        <w:t xml:space="preserve">2. News reports dated 11th and 12th May 2026 — Annexure P-2 (Colly.)</w:t>
      </w:r>
    </w:p>
    <w:p>
      <w:pPr>
        <w:spacing w:after="160"/>
        <w:jc w:val="both"/>
      </w:pPr>
      <w:r>
        <w:rPr>
          <w:rFonts w:ascii="Arial" w:cs="Arial" w:eastAsia="Arial" w:hAnsi="Arial"/>
          <w:sz w:val="22"/>
          <w:szCs w:val="22"/>
        </w:rPr>
        <w:t xml:space="preserve">3. Survey report dated 8th June 2026 with photographs — Annexure P-3 (Colly.)</w:t>
      </w:r>
    </w:p>
    <w:p>
      <w:pPr>
        <w:spacing w:after="160"/>
        <w:jc w:val="both"/>
      </w:pPr>
      <w:r>
        <w:rPr>
          <w:rFonts w:ascii="Arial" w:cs="Arial" w:eastAsia="Arial" w:hAnsi="Arial"/>
          <w:sz w:val="22"/>
          <w:szCs w:val="22"/>
        </w:rPr>
        <w:t xml:space="preserve">4. Representations dated 25.5.2026 and 15.6.2026 with proof of service — Annexure P-4 (Colly.)</w:t>
      </w:r>
    </w:p>
    <w:p>
      <w:pPr>
        <w:spacing w:after="160"/>
        <w:jc w:val="both"/>
      </w:pPr>
      <w:r>
        <w:rPr>
          <w:rFonts w:ascii="Arial" w:cs="Arial" w:eastAsia="Arial" w:hAnsi="Arial"/>
          <w:sz w:val="22"/>
          <w:szCs w:val="22"/>
        </w:rPr>
        <w:t xml:space="preserve">5. Vakalatnama</w:t>
      </w:r>
    </w:p>
    <w:p>
      <w:r>
        <w:br w:type="page"/>
      </w:r>
    </w:p>
    <w:p>
      <w:pPr>
        <w:pStyle w:val="Heading1"/>
      </w:pPr>
      <w:r>
        <w:t xml:space="preserve">8. APPLICATION UNDER THE MOTOR VEHICLES ACT — M.A.C.P. (MOTOR ACCIDENT CLAIM PETITION)</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 Motor Accident Claim Petition ("MACP" or "claim petition") is an application filed before the Motor Accidents Claims Tribunal ("MACT" or "Tribunal") seeking compensation for death or bodily injury caused to a person, or damage caused to property, arising out of the use of a motor vehicle. The substantive and procedural law relating to such claims is principally contained in Chapter X (Claims Tribunals) and Chapter XI (Insurance of Motor Vehicles against Third Party Risks) of the Motor Vehicles Act, 1988 ("MV Act"), as substantially amended by the Motor Vehicles (Amendment) Act, 2019.</w:t>
      </w:r>
    </w:p>
    <w:p>
      <w:pPr>
        <w:pStyle w:val="Heading2"/>
      </w:pPr>
      <w:r>
        <w:t xml:space="preserve">2. Constitution and Jurisdiction of the Motor Accidents Claims Tribunal</w:t>
      </w:r>
    </w:p>
    <w:p>
      <w:pPr>
        <w:spacing w:after="160"/>
        <w:jc w:val="both"/>
      </w:pPr>
      <w:r>
        <w:rPr>
          <w:rFonts w:ascii="Arial" w:cs="Arial" w:eastAsia="Arial" w:hAnsi="Arial"/>
          <w:sz w:val="22"/>
          <w:szCs w:val="22"/>
        </w:rPr>
        <w:t xml:space="preserve">Section 165 of the MV Act empowers the State Government to constitute one or more Motor Accidents Claims Tribunals for such area as may be specified, for the purpose of adjudicating upon claims for compensation in respect of accidents involving death of, or bodily injury to, persons arising out of the use of motor vehicles, or damage to any property of a third party so arising, or both. Section 166 specifies who may apply for compensation, and Section 175 ousts the jurisdiction of civil courts to entertain any question relating to a claim for compensation which may be adjudicated upon by the Tribunal, thereby making the Tribunal the exclusive forum for such claims (subject to the special provisions for "no-fault liability" claims and other limited exceptions).</w:t>
      </w:r>
    </w:p>
    <w:p>
      <w:pPr>
        <w:pStyle w:val="Heading2"/>
      </w:pPr>
      <w:r>
        <w:t xml:space="preserve">3. Who May File a Claim Petition — Section 166</w:t>
      </w:r>
    </w:p>
    <w:p>
      <w:pPr>
        <w:spacing w:after="160"/>
        <w:jc w:val="both"/>
      </w:pPr>
      <w:r>
        <w:rPr>
          <w:rFonts w:ascii="Arial" w:cs="Arial" w:eastAsia="Arial" w:hAnsi="Arial"/>
          <w:sz w:val="22"/>
          <w:szCs w:val="22"/>
        </w:rPr>
        <w:t xml:space="preserve">Section 166(1) of the MV Act provides that an application for compensation arising out of an accident of the nature specified in sub-section (1) of Section 165 may be made:</w:t>
      </w:r>
    </w:p>
    <w:p>
      <w:pPr>
        <w:spacing w:after="160"/>
        <w:ind w:left="360"/>
        <w:jc w:val="both"/>
      </w:pPr>
      <w:r>
        <w:rPr>
          <w:rFonts w:ascii="Arial" w:cs="Arial" w:eastAsia="Arial" w:hAnsi="Arial"/>
          <w:sz w:val="22"/>
          <w:szCs w:val="22"/>
        </w:rPr>
        <w:t xml:space="preserve">(a) by the person who has sustained the injury; or</w:t>
      </w:r>
    </w:p>
    <w:p>
      <w:pPr>
        <w:spacing w:after="160"/>
        <w:ind w:left="360"/>
        <w:jc w:val="both"/>
      </w:pPr>
      <w:r>
        <w:rPr>
          <w:rFonts w:ascii="Arial" w:cs="Arial" w:eastAsia="Arial" w:hAnsi="Arial"/>
          <w:sz w:val="22"/>
          <w:szCs w:val="22"/>
        </w:rPr>
        <w:t xml:space="preserve">(b) by the owner of the property; or</w:t>
      </w:r>
    </w:p>
    <w:p>
      <w:pPr>
        <w:spacing w:after="160"/>
        <w:ind w:left="360"/>
        <w:jc w:val="both"/>
      </w:pPr>
      <w:r>
        <w:rPr>
          <w:rFonts w:ascii="Arial" w:cs="Arial" w:eastAsia="Arial" w:hAnsi="Arial"/>
          <w:sz w:val="22"/>
          <w:szCs w:val="22"/>
        </w:rPr>
        <w:t xml:space="preserve">(c) where death has resulted from the accident, by all or any of the legal representatives of the deceased; or</w:t>
      </w:r>
    </w:p>
    <w:p>
      <w:pPr>
        <w:spacing w:after="160"/>
        <w:ind w:left="360"/>
        <w:jc w:val="both"/>
      </w:pPr>
      <w:r>
        <w:rPr>
          <w:rFonts w:ascii="Arial" w:cs="Arial" w:eastAsia="Arial" w:hAnsi="Arial"/>
          <w:sz w:val="22"/>
          <w:szCs w:val="22"/>
        </w:rPr>
        <w:t xml:space="preserve">(d) by any agent duly authorised by the person injured, or all or any of the legal representatives of the deceased, as the case may be.</w:t>
      </w:r>
    </w:p>
    <w:p>
      <w:pPr>
        <w:spacing w:after="160"/>
        <w:jc w:val="both"/>
      </w:pPr>
      <w:r>
        <w:rPr>
          <w:rFonts w:ascii="Arial" w:cs="Arial" w:eastAsia="Arial" w:hAnsi="Arial"/>
          <w:sz w:val="22"/>
          <w:szCs w:val="22"/>
        </w:rPr>
        <w:t xml:space="preserve">It is settled law that a claim petition filed by some only of the legal representatives of the deceased, on behalf of all the legal representatives, is maintainable, and that the Tribunal must implead the remaining legal representatives, if not already on record, to ensure complete adjudication and to avoid multiplicity.</w:t>
      </w:r>
    </w:p>
    <w:p>
      <w:pPr>
        <w:pStyle w:val="Heading2"/>
      </w:pPr>
      <w:r>
        <w:t xml:space="preserve">4. No Limitation Period</w:t>
      </w:r>
    </w:p>
    <w:p>
      <w:pPr>
        <w:spacing w:after="160"/>
        <w:jc w:val="both"/>
      </w:pPr>
      <w:r>
        <w:rPr>
          <w:rFonts w:ascii="Arial" w:cs="Arial" w:eastAsia="Arial" w:hAnsi="Arial"/>
          <w:sz w:val="22"/>
          <w:szCs w:val="22"/>
        </w:rPr>
        <w:t xml:space="preserve">A significant feature introduced by the 2019 amendment is the deletion of the erstwhile six-month limitation period (extendable up to twelve months) for filing claim petitions under Section 166. Presently, there is no limitation period prescribed for filing a motor accident claim petition, recognising the special, welfare-oriented character of motor accident compensation law and the genuine hardships (including trauma, hospitalisation, and ignorance of legal rights) that often delay the filing of such claims by victims or their families.</w:t>
      </w:r>
    </w:p>
    <w:p>
      <w:pPr>
        <w:pStyle w:val="Heading2"/>
      </w:pPr>
      <w:r>
        <w:t xml:space="preserve">5. Essential Contents of a Claim Petition</w:t>
      </w:r>
    </w:p>
    <w:p>
      <w:pPr>
        <w:spacing w:after="160"/>
        <w:jc w:val="both"/>
      </w:pPr>
      <w:r>
        <w:rPr>
          <w:rFonts w:ascii="Arial" w:cs="Arial" w:eastAsia="Arial" w:hAnsi="Arial"/>
          <w:sz w:val="22"/>
          <w:szCs w:val="22"/>
        </w:rPr>
        <w:t xml:space="preserve">While the precise format may vary slightly across States (since claim petitions are generally filed in the form prescribed under the relevant State Motor Vehicles Rules), the essential ingredients of a well-drafted MACP include:</w:t>
      </w:r>
    </w:p>
    <w:p>
      <w:pPr>
        <w:spacing w:after="160"/>
        <w:ind w:left="360"/>
        <w:jc w:val="both"/>
      </w:pPr>
      <w:r>
        <w:rPr>
          <w:rFonts w:ascii="Arial" w:cs="Arial" w:eastAsia="Arial" w:hAnsi="Arial"/>
          <w:sz w:val="22"/>
          <w:szCs w:val="22"/>
        </w:rPr>
        <w:t xml:space="preserve">(i) particulars of the claimant(s), including relationship to the deceased (in fatal accident cases) and dependency, where relevant;</w:t>
      </w:r>
    </w:p>
    <w:p>
      <w:pPr>
        <w:spacing w:after="160"/>
        <w:ind w:left="360"/>
        <w:jc w:val="both"/>
      </w:pPr>
      <w:r>
        <w:rPr>
          <w:rFonts w:ascii="Arial" w:cs="Arial" w:eastAsia="Arial" w:hAnsi="Arial"/>
          <w:sz w:val="22"/>
          <w:szCs w:val="22"/>
        </w:rPr>
        <w:t xml:space="preserve">(ii) particulars of the offending vehicle, including registration number, make, and the name and address of the owner and the driver;</w:t>
      </w:r>
    </w:p>
    <w:p>
      <w:pPr>
        <w:spacing w:after="160"/>
        <w:ind w:left="360"/>
        <w:jc w:val="both"/>
      </w:pPr>
      <w:r>
        <w:rPr>
          <w:rFonts w:ascii="Arial" w:cs="Arial" w:eastAsia="Arial" w:hAnsi="Arial"/>
          <w:sz w:val="22"/>
          <w:szCs w:val="22"/>
        </w:rPr>
        <w:t xml:space="preserve">(iii) particulars of the insurer of the offending vehicle, and the policy number, period of validity, and type of policy (i.e., whether covering third-party risk only or comprehensive), since the insurer is typically impleaded as a necessary party and is ultimately liable to indemnify the owner (subject to policy terms and statutory defences);</w:t>
      </w:r>
    </w:p>
    <w:p>
      <w:pPr>
        <w:spacing w:after="160"/>
        <w:ind w:left="360"/>
        <w:jc w:val="both"/>
      </w:pPr>
      <w:r>
        <w:rPr>
          <w:rFonts w:ascii="Arial" w:cs="Arial" w:eastAsia="Arial" w:hAnsi="Arial"/>
          <w:sz w:val="22"/>
          <w:szCs w:val="22"/>
        </w:rPr>
        <w:t xml:space="preserve">(iv) a detailed narration of the facts and circumstances of the accident — date, time, place, manner of occurrence, and the manner in which the offending vehicle was being driven rashly and negligently, since negligence (or, in claims under Section 163-A discussed below, mere involvement of the vehicle) is central to the cause of action;</w:t>
      </w:r>
    </w:p>
    <w:p>
      <w:pPr>
        <w:spacing w:after="160"/>
        <w:ind w:left="360"/>
        <w:jc w:val="both"/>
      </w:pPr>
      <w:r>
        <w:rPr>
          <w:rFonts w:ascii="Arial" w:cs="Arial" w:eastAsia="Arial" w:hAnsi="Arial"/>
          <w:sz w:val="22"/>
          <w:szCs w:val="22"/>
        </w:rPr>
        <w:t xml:space="preserve">(v) particulars of the FIR registered in relation to the accident, if any, and of the criminal proceedings, if pending or concluded;</w:t>
      </w:r>
    </w:p>
    <w:p>
      <w:pPr>
        <w:spacing w:after="160"/>
        <w:ind w:left="360"/>
        <w:jc w:val="both"/>
      </w:pPr>
      <w:r>
        <w:rPr>
          <w:rFonts w:ascii="Arial" w:cs="Arial" w:eastAsia="Arial" w:hAnsi="Arial"/>
          <w:sz w:val="22"/>
          <w:szCs w:val="22"/>
        </w:rPr>
        <w:t xml:space="preserve">(vi) in case of death — particulars of the deceased (age, occupation, monthly income), and of the claimants (their relationship to the deceased and dependency upon the deceased's income), since these particulars are central to computation of compensation on the basis of the multiplier method evolved by the Supreme Court;</w:t>
      </w:r>
    </w:p>
    <w:p>
      <w:pPr>
        <w:spacing w:after="160"/>
        <w:ind w:left="360"/>
        <w:jc w:val="both"/>
      </w:pPr>
      <w:r>
        <w:rPr>
          <w:rFonts w:ascii="Arial" w:cs="Arial" w:eastAsia="Arial" w:hAnsi="Arial"/>
          <w:sz w:val="22"/>
          <w:szCs w:val="22"/>
        </w:rPr>
        <w:t xml:space="preserve">(vii) in case of injury — the nature and extent of injuries sustained, period of hospitalisation and treatment, percentage of permanent disability (if any, supported by a disability certificate), and the effect of the injury on the claimant's earning capacity and quality of life;</w:t>
      </w:r>
    </w:p>
    <w:p>
      <w:pPr>
        <w:spacing w:after="160"/>
        <w:ind w:left="360"/>
        <w:jc w:val="both"/>
      </w:pPr>
      <w:r>
        <w:rPr>
          <w:rFonts w:ascii="Arial" w:cs="Arial" w:eastAsia="Arial" w:hAnsi="Arial"/>
          <w:sz w:val="22"/>
          <w:szCs w:val="22"/>
        </w:rPr>
        <w:t xml:space="preserve">(viii) a detailed break-up of the compensation claimed under the various conventional and pecuniary heads (discussed below); and</w:t>
      </w:r>
    </w:p>
    <w:p>
      <w:pPr>
        <w:spacing w:after="160"/>
        <w:ind w:left="360"/>
        <w:jc w:val="both"/>
      </w:pPr>
      <w:r>
        <w:rPr>
          <w:rFonts w:ascii="Arial" w:cs="Arial" w:eastAsia="Arial" w:hAnsi="Arial"/>
          <w:sz w:val="22"/>
          <w:szCs w:val="22"/>
        </w:rPr>
        <w:t xml:space="preserve">(ix) the relief sought, namely an award of compensation, together with interest from the date of filing/accident till realisation.</w:t>
      </w:r>
    </w:p>
    <w:p>
      <w:pPr>
        <w:pStyle w:val="Heading2"/>
      </w:pPr>
      <w:r>
        <w:t xml:space="preserve">6. Heads of Compensation</w:t>
      </w:r>
    </w:p>
    <w:p>
      <w:pPr>
        <w:spacing w:after="160"/>
        <w:jc w:val="both"/>
      </w:pPr>
      <w:r>
        <w:rPr>
          <w:rFonts w:ascii="Arial" w:cs="Arial" w:eastAsia="Arial" w:hAnsi="Arial"/>
          <w:sz w:val="22"/>
          <w:szCs w:val="22"/>
        </w:rPr>
        <w:t xml:space="preserve">The Supreme Court, in a series of landmark decisions, has laid down a structured methodology for computation of compensation, broadly classifying heads of compensation into:</w:t>
      </w:r>
    </w:p>
    <w:p>
      <w:pPr>
        <w:spacing w:after="160"/>
        <w:ind w:left="360"/>
        <w:jc w:val="both"/>
      </w:pPr>
      <w:r>
        <w:rPr>
          <w:rFonts w:ascii="Arial" w:cs="Arial" w:eastAsia="Arial" w:hAnsi="Arial"/>
          <w:sz w:val="22"/>
          <w:szCs w:val="22"/>
        </w:rPr>
        <w:t xml:space="preserve">(a) </w:t>
      </w:r>
      <w:r>
        <w:rPr>
          <w:rFonts w:ascii="Arial" w:cs="Arial" w:eastAsia="Arial" w:hAnsi="Arial"/>
          <w:b/>
          <w:bCs/>
          <w:sz w:val="22"/>
          <w:szCs w:val="22"/>
        </w:rPr>
        <w:t xml:space="preserve">Pecuniary damages</w:t>
      </w:r>
      <w:r>
        <w:rPr>
          <w:rFonts w:ascii="Arial" w:cs="Arial" w:eastAsia="Arial" w:hAnsi="Arial"/>
          <w:sz w:val="22"/>
          <w:szCs w:val="22"/>
        </w:rPr>
        <w:t xml:space="preserve">, including:</w:t>
      </w:r>
    </w:p>
    <w:p>
      <w:pPr>
        <w:spacing w:after="160"/>
        <w:jc w:val="both"/>
      </w:pPr>
      <w:r>
        <w:rPr>
          <w:rFonts w:ascii="Arial" w:cs="Arial" w:eastAsia="Arial" w:hAnsi="Arial"/>
          <w:sz w:val="22"/>
          <w:szCs w:val="22"/>
        </w:rPr>
        <w:t xml:space="preserve">- loss of dependency / loss of income (computed using the multiplier method, based on the deceased's/injured person's annual income, less personal expenses, multiplied by a multiplier corresponding to age, as per a standardised table judicially evolved);</w:t>
      </w:r>
    </w:p>
    <w:p>
      <w:pPr>
        <w:spacing w:after="160"/>
        <w:jc w:val="both"/>
      </w:pPr>
      <w:r>
        <w:rPr>
          <w:rFonts w:ascii="Arial" w:cs="Arial" w:eastAsia="Arial" w:hAnsi="Arial"/>
          <w:sz w:val="22"/>
          <w:szCs w:val="22"/>
        </w:rPr>
        <w:t xml:space="preserve">- medical expenses actually incurred (supported by bills and prescriptions);</w:t>
      </w:r>
    </w:p>
    <w:p>
      <w:pPr>
        <w:spacing w:after="160"/>
        <w:jc w:val="both"/>
      </w:pPr>
      <w:r>
        <w:rPr>
          <w:rFonts w:ascii="Arial" w:cs="Arial" w:eastAsia="Arial" w:hAnsi="Arial"/>
          <w:sz w:val="22"/>
          <w:szCs w:val="22"/>
        </w:rPr>
        <w:t xml:space="preserve">- loss of earnings during the period of treatment;</w:t>
      </w:r>
    </w:p>
    <w:p>
      <w:pPr>
        <w:spacing w:after="160"/>
        <w:jc w:val="both"/>
      </w:pPr>
      <w:r>
        <w:rPr>
          <w:rFonts w:ascii="Arial" w:cs="Arial" w:eastAsia="Arial" w:hAnsi="Arial"/>
          <w:sz w:val="22"/>
          <w:szCs w:val="22"/>
        </w:rPr>
        <w:t xml:space="preserve">- cost of attendant care, special diet, and future medical treatment, in cases of serious injury;</w:t>
      </w:r>
    </w:p>
    <w:p>
      <w:pPr>
        <w:spacing w:after="160"/>
        <w:jc w:val="both"/>
      </w:pPr>
      <w:r>
        <w:rPr>
          <w:rFonts w:ascii="Arial" w:cs="Arial" w:eastAsia="Arial" w:hAnsi="Arial"/>
          <w:sz w:val="22"/>
          <w:szCs w:val="22"/>
        </w:rPr>
        <w:t xml:space="preserve">- loss of consortium (in fatal accident cases, payable to the spouse, and, after recent rulings, also recognised in favour of children and parents as "loss of love and affection" or "parental/filial consortium");</w:t>
      </w:r>
    </w:p>
    <w:p>
      <w:pPr>
        <w:spacing w:after="160"/>
        <w:jc w:val="both"/>
      </w:pPr>
      <w:r>
        <w:rPr>
          <w:rFonts w:ascii="Arial" w:cs="Arial" w:eastAsia="Arial" w:hAnsi="Arial"/>
          <w:sz w:val="22"/>
          <w:szCs w:val="22"/>
        </w:rPr>
        <w:t xml:space="preserve">- funeral expenses.</w:t>
      </w:r>
    </w:p>
    <w:p>
      <w:pPr>
        <w:spacing w:after="160"/>
        <w:ind w:left="360"/>
        <w:jc w:val="both"/>
      </w:pPr>
      <w:r>
        <w:rPr>
          <w:rFonts w:ascii="Arial" w:cs="Arial" w:eastAsia="Arial" w:hAnsi="Arial"/>
          <w:sz w:val="22"/>
          <w:szCs w:val="22"/>
        </w:rPr>
        <w:t xml:space="preserve">(b) </w:t>
      </w:r>
      <w:r>
        <w:rPr>
          <w:rFonts w:ascii="Arial" w:cs="Arial" w:eastAsia="Arial" w:hAnsi="Arial"/>
          <w:b/>
          <w:bCs/>
          <w:sz w:val="22"/>
          <w:szCs w:val="22"/>
        </w:rPr>
        <w:t xml:space="preserve">Non-pecuniary (conventional) damages</w:t>
      </w:r>
      <w:r>
        <w:rPr>
          <w:rFonts w:ascii="Arial" w:cs="Arial" w:eastAsia="Arial" w:hAnsi="Arial"/>
          <w:sz w:val="22"/>
          <w:szCs w:val="22"/>
        </w:rPr>
        <w:t xml:space="preserve">, including:</w:t>
      </w:r>
    </w:p>
    <w:p>
      <w:pPr>
        <w:spacing w:after="160"/>
        <w:jc w:val="both"/>
      </w:pPr>
      <w:r>
        <w:rPr>
          <w:rFonts w:ascii="Arial" w:cs="Arial" w:eastAsia="Arial" w:hAnsi="Arial"/>
          <w:sz w:val="22"/>
          <w:szCs w:val="22"/>
        </w:rPr>
        <w:t xml:space="preserve">- loss of estate;</w:t>
      </w:r>
    </w:p>
    <w:p>
      <w:pPr>
        <w:spacing w:after="160"/>
        <w:jc w:val="both"/>
      </w:pPr>
      <w:r>
        <w:rPr>
          <w:rFonts w:ascii="Arial" w:cs="Arial" w:eastAsia="Arial" w:hAnsi="Arial"/>
          <w:sz w:val="22"/>
          <w:szCs w:val="22"/>
        </w:rPr>
        <w:t xml:space="preserve">- loss of consortium;</w:t>
      </w:r>
    </w:p>
    <w:p>
      <w:pPr>
        <w:spacing w:after="160"/>
        <w:jc w:val="both"/>
      </w:pPr>
      <w:r>
        <w:rPr>
          <w:rFonts w:ascii="Arial" w:cs="Arial" w:eastAsia="Arial" w:hAnsi="Arial"/>
          <w:sz w:val="22"/>
          <w:szCs w:val="22"/>
        </w:rPr>
        <w:t xml:space="preserve">- funeral expenses (sometimes classified as conventional);</w:t>
      </w:r>
    </w:p>
    <w:p>
      <w:pPr>
        <w:spacing w:after="160"/>
        <w:jc w:val="both"/>
      </w:pPr>
      <w:r>
        <w:rPr>
          <w:rFonts w:ascii="Arial" w:cs="Arial" w:eastAsia="Arial" w:hAnsi="Arial"/>
          <w:sz w:val="22"/>
          <w:szCs w:val="22"/>
        </w:rPr>
        <w:t xml:space="preserve">- in injury cases, compensation for pain and suffering, loss of amenities of life, and disfigurement.</w:t>
      </w:r>
    </w:p>
    <w:p>
      <w:pPr>
        <w:spacing w:after="160"/>
        <w:jc w:val="both"/>
      </w:pPr>
      <w:r>
        <w:rPr>
          <w:rFonts w:ascii="Arial" w:cs="Arial" w:eastAsia="Arial" w:hAnsi="Arial"/>
          <w:sz w:val="22"/>
          <w:szCs w:val="22"/>
        </w:rPr>
        <w:t xml:space="preserve">The Supreme Court has, for the sake of uniformity and to avoid arbitrary or wildly divergent awards by different Tribunals, prescribed standardised figures for conventional heads (loss of estate, loss of consortium, funeral expenses), to be periodically updated to account for inflation.</w:t>
      </w:r>
    </w:p>
    <w:p>
      <w:pPr>
        <w:pStyle w:val="Heading2"/>
      </w:pPr>
      <w:r>
        <w:t xml:space="preserve">7. Multiplier Method</w:t>
      </w:r>
    </w:p>
    <w:p>
      <w:pPr>
        <w:spacing w:after="160"/>
        <w:jc w:val="both"/>
      </w:pPr>
      <w:r>
        <w:rPr>
          <w:rFonts w:ascii="Arial" w:cs="Arial" w:eastAsia="Arial" w:hAnsi="Arial"/>
          <w:sz w:val="22"/>
          <w:szCs w:val="22"/>
        </w:rPr>
        <w:t xml:space="preserve">The "multiplier method" is the standard judicially evolved methodology for computing loss of dependency in fatal accident cases (and analogous loss of future earnings in serious permanent disability cases). It involves: (i) ascertaining the deceased's annual income; (ii) adding a percentage towards future prospects (a structured percentage addition based on age and nature of employment, as authoritatively settled by the Supreme Court); (iii) deducting an appropriate percentage towards personal and living expenses of the deceased (the percentage varying depending on the number of dependents); and (iv) multiplying the resultant annual loss of dependency by an appropriate multiplier (ranging, broadly, from 5 to 18) corresponding to the age of the deceased, as per the multiplier table judicially evolved and consistently applied by Tribunals across the country.</w:t>
      </w:r>
    </w:p>
    <w:p>
      <w:pPr>
        <w:pStyle w:val="Heading2"/>
      </w:pPr>
      <w:r>
        <w:t xml:space="preserve">8. Liability — Fault Liability (Section 166) vs. No-Fault Liability (Section 164)</w:t>
      </w:r>
    </w:p>
    <w:p>
      <w:pPr>
        <w:spacing w:after="160"/>
        <w:jc w:val="both"/>
      </w:pPr>
      <w:r>
        <w:rPr>
          <w:rFonts w:ascii="Arial" w:cs="Arial" w:eastAsia="Arial" w:hAnsi="Arial"/>
          <w:sz w:val="22"/>
          <w:szCs w:val="22"/>
        </w:rPr>
        <w:t xml:space="preserve">The MV Act, post the 2019 amendment, retains a structural liability distinction:</w:t>
      </w:r>
    </w:p>
    <w:p>
      <w:pPr>
        <w:spacing w:after="160"/>
        <w:jc w:val="both"/>
      </w:pPr>
      <w:r>
        <w:rPr>
          <w:rFonts w:ascii="Arial" w:cs="Arial" w:eastAsia="Arial" w:hAnsi="Arial"/>
          <w:sz w:val="22"/>
          <w:szCs w:val="22"/>
        </w:rPr>
        <w:t xml:space="preserve">(a) </w:t>
      </w:r>
      <w:r>
        <w:rPr>
          <w:rFonts w:ascii="Arial" w:cs="Arial" w:eastAsia="Arial" w:hAnsi="Arial"/>
          <w:b/>
          <w:bCs/>
          <w:sz w:val="22"/>
          <w:szCs w:val="22"/>
        </w:rPr>
        <w:t xml:space="preserve">Section 166 (Fault Liability):</w:t>
      </w:r>
      <w:r>
        <w:rPr>
          <w:rFonts w:ascii="Arial" w:cs="Arial" w:eastAsia="Arial" w:hAnsi="Arial"/>
          <w:sz w:val="22"/>
          <w:szCs w:val="22"/>
        </w:rPr>
        <w:t xml:space="preserve"> A claim under Section 166 requires the claimant to establish that the accident occurred due to the rash and negligent driving of the offending vehicle (or composite negligence, where more than one vehicle is involved). Compensation under Section 166 is "just compensation," assessed on the basis of the heads discussed above, and is not capped by any statutory ceiling.</w:t>
      </w:r>
    </w:p>
    <w:p>
      <w:pPr>
        <w:spacing w:after="160"/>
        <w:jc w:val="both"/>
      </w:pPr>
      <w:r>
        <w:rPr>
          <w:rFonts w:ascii="Arial" w:cs="Arial" w:eastAsia="Arial" w:hAnsi="Arial"/>
          <w:sz w:val="22"/>
          <w:szCs w:val="22"/>
        </w:rPr>
        <w:t xml:space="preserve">(b) </w:t>
      </w:r>
      <w:r>
        <w:rPr>
          <w:rFonts w:ascii="Arial" w:cs="Arial" w:eastAsia="Arial" w:hAnsi="Arial"/>
          <w:b/>
          <w:bCs/>
          <w:sz w:val="22"/>
          <w:szCs w:val="22"/>
        </w:rPr>
        <w:t xml:space="preserve">Section 164 (No-Fault / Structured Formula Compensation, replacing the earlier Sections 140 and 163-A):</w:t>
      </w:r>
      <w:r>
        <w:rPr>
          <w:rFonts w:ascii="Arial" w:cs="Arial" w:eastAsia="Arial" w:hAnsi="Arial"/>
          <w:sz w:val="22"/>
          <w:szCs w:val="22"/>
        </w:rPr>
        <w:t xml:space="preserve"> The 2019 amendment introduced Section 164, providing for compensation on a structured formula basis (akin to the erstwhile Section 163-A), payable irrespective of any wrongful act, neglect, or default of the person in respect of whose death or injury the claim has been made, and irrespective of any pleas permissible under the general law (such as contributory negligence). This provides claimants with an expedited, no-fault remedy in addition to (though, generally, not cumulative with, in the same proceeding, the same head of loss) their right to claim full "just compensation" under Section 166 where fault can be established.</w:t>
      </w:r>
    </w:p>
    <w:p>
      <w:pPr>
        <w:pStyle w:val="Heading2"/>
      </w:pPr>
      <w:r>
        <w:t xml:space="preserve">9. Interim Compensation — Section 140A / Hit-and-Run Cases</w:t>
      </w:r>
    </w:p>
    <w:p>
      <w:pPr>
        <w:spacing w:after="160"/>
        <w:jc w:val="both"/>
      </w:pPr>
      <w:r>
        <w:rPr>
          <w:rFonts w:ascii="Arial" w:cs="Arial" w:eastAsia="Arial" w:hAnsi="Arial"/>
          <w:sz w:val="22"/>
          <w:szCs w:val="22"/>
        </w:rPr>
        <w:t xml:space="preserve">The amended Act also provides for award of interim compensation to claimants during the pendency of the claim petition, recognising the financial hardship victims and their families face pending final adjudication. Separately, Section 161 read with the rules made thereunder provides for compensation in hit-and-run motor accident cases from the Solatium Fund, in cases where the identity of the offending vehicle cannot be ascertained.</w:t>
      </w:r>
    </w:p>
    <w:p>
      <w:pPr>
        <w:pStyle w:val="Heading2"/>
      </w:pPr>
      <w:r>
        <w:t xml:space="preserve">10. Insurer's Liability and Defences</w:t>
      </w:r>
    </w:p>
    <w:p>
      <w:pPr>
        <w:spacing w:after="160"/>
        <w:jc w:val="both"/>
      </w:pPr>
      <w:r>
        <w:rPr>
          <w:rFonts w:ascii="Arial" w:cs="Arial" w:eastAsia="Arial" w:hAnsi="Arial"/>
          <w:sz w:val="22"/>
          <w:szCs w:val="22"/>
        </w:rPr>
        <w:t xml:space="preserve">Section 149 of the MV Act casts an obligation on the insurer to satisfy judgments/awards against persons insured in respect of third-party risks, and limits the defences available to the insurer to a closed and specific list of statutory grounds (e.g., breach of a condition excluding driving by a person not duly licensed, use of the vehicle for a purpose not allowed by the permit, etc.), the underlying policy being that an innocent third party should not be deprived of compensation merely because of a breach of policy conditions by the insured, the insurer's remedy in such cases lying in recovery from the insured rather than denial of compensation to the third party (subject to certain exceptions where the insurer may be permitted to recover the awarded amount from the owner/insured).</w:t>
      </w:r>
    </w:p>
    <w:p>
      <w:pPr>
        <w:pStyle w:val="Heading2"/>
      </w:pPr>
      <w:r>
        <w:t xml:space="preserve">11. Procedure Before the Tribunal</w:t>
      </w:r>
    </w:p>
    <w:p>
      <w:pPr>
        <w:spacing w:after="160"/>
        <w:jc w:val="both"/>
      </w:pPr>
      <w:r>
        <w:rPr>
          <w:rFonts w:ascii="Arial" w:cs="Arial" w:eastAsia="Arial" w:hAnsi="Arial"/>
          <w:sz w:val="22"/>
          <w:szCs w:val="22"/>
        </w:rPr>
        <w:t xml:space="preserve">The Tribunal, while adjudicating claim petitions, follows a summary procedure, broadly guided by principles of natural justice and (to the extent applicable) the CPC, but is not strictly bound by the technical rules of the Evidence Act or the CPC. Section 168 empowers the Tribunal, after giving notice to the parties and an opportunity of being heard, to make an award determining the amount of compensation which appears to it to be just, and specifying the person(s) to whom the compensation is to be paid and the insurer/owner/driver who is liable to pay the same.</w:t>
      </w:r>
    </w:p>
    <w:p>
      <w:pPr>
        <w:pStyle w:val="Heading2"/>
      </w:pPr>
      <w:r>
        <w:t xml:space="preserve">12. Appeal</w:t>
      </w:r>
    </w:p>
    <w:p>
      <w:pPr>
        <w:spacing w:after="160"/>
        <w:jc w:val="both"/>
      </w:pPr>
      <w:r>
        <w:rPr>
          <w:rFonts w:ascii="Arial" w:cs="Arial" w:eastAsia="Arial" w:hAnsi="Arial"/>
          <w:sz w:val="22"/>
          <w:szCs w:val="22"/>
        </w:rPr>
        <w:t xml:space="preserve">Section 173 of the MV Act provides for an appeal from an award of the Tribunal to the High Court, subject to a requirement (in certain cases) of pre-deposit of a percentage of the awarded amount by the owner/insurer where the appeal is filed by them, intended to discourage frivolous appeals and to protect the claimant's right to at least a part of the awarded compensation pending appeal.</w:t>
      </w:r>
    </w:p>
    <w:p>
      <w:pPr>
        <w:pStyle w:val="Heading2"/>
      </w:pPr>
      <w:r>
        <w:t xml:space="preserve">13. Conclusion</w:t>
      </w:r>
    </w:p>
    <w:p>
      <w:pPr>
        <w:spacing w:after="160"/>
        <w:jc w:val="both"/>
      </w:pPr>
      <w:r>
        <w:rPr>
          <w:rFonts w:ascii="Arial" w:cs="Arial" w:eastAsia="Arial" w:hAnsi="Arial"/>
          <w:sz w:val="22"/>
          <w:szCs w:val="22"/>
        </w:rPr>
        <w:t xml:space="preserve">The Motor Accident Claim Petition occupies a unique place in Indian tort and welfare law, being a remedy designed to provide prompt, "just" compensation to victims of road accidents and their families, through a specialised tribunal mechanism that is deliberately insulated from the technicalities of ordinary civil procedure. A well-drafted claim petition must meticulously plead the facts of the accident establishing rash and negligent driving, correctly implead the owner, driver, and insurer of the offending vehicle, furnish the necessary particulars regarding the deceased's/injured claimant's income and dependents (where relevant), and set out a structured and reasoned computation of compensation under the various pecuniary and non-pecuniary heads recognised by the Supreme Court.</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MOTOR ACCIDENT CLAIM PETITION UNDER SECTION 166 OF THE MOTOR VEHICLES ACT, 1988</w:t>
      </w:r>
    </w:p>
    <w:p>
      <w:pPr>
        <w:spacing w:after="300"/>
        <w:jc w:val="center"/>
      </w:pPr>
      <w:r>
        <w:rPr>
          <w:rFonts w:ascii="Arial" w:cs="Arial" w:eastAsia="Arial" w:hAnsi="Arial"/>
          <w:i/>
          <w:iCs/>
          <w:sz w:val="20"/>
          <w:szCs w:val="20"/>
        </w:rPr>
        <w:t xml:space="preserve">(Presumed Facts: Mr. Ramesh Yadav, aged 38, a salaried employee earning Rs. 45,000/- per month, died in a road accident on 5th April 2026 when a truck, driven rashly and negligently, hit his two-wheeler. His widow and two minor children file a claim petition against the truck driver, the truck owner, and the insurance company.)</w:t>
      </w:r>
    </w:p>
    <w:p>
      <w:pPr>
        <w:spacing w:after="200" w:before="200"/>
        <w:jc w:val="center"/>
      </w:pPr>
      <w:r>
        <w:rPr>
          <w:rFonts w:ascii="Arial" w:cs="Arial" w:eastAsia="Arial" w:hAnsi="Arial"/>
          <w:b/>
          <w:bCs/>
          <w:sz w:val="22"/>
          <w:szCs w:val="22"/>
        </w:rPr>
        <w:t xml:space="preserve">BEFORE THE MOTOR ACCIDENTS CLAIMS TRIBUNAL, AT [CITY], [STATE]</w:t>
      </w:r>
    </w:p>
    <w:p>
      <w:pPr>
        <w:spacing w:after="160"/>
        <w:jc w:val="both"/>
      </w:pPr>
      <w:r>
        <w:rPr>
          <w:rFonts w:ascii="Arial" w:cs="Arial" w:eastAsia="Arial" w:hAnsi="Arial"/>
          <w:sz w:val="22"/>
          <w:szCs w:val="22"/>
        </w:rPr>
        <w:t xml:space="preserve">M.A.C.P. No. _____ of 2026</w:t>
      </w:r>
    </w:p>
    <w:p>
      <w:pPr>
        <w:spacing w:after="200" w:before="200"/>
        <w:jc w:val="center"/>
      </w:pPr>
      <w:r>
        <w:rPr>
          <w:rFonts w:ascii="Arial" w:cs="Arial" w:eastAsia="Arial" w:hAnsi="Arial"/>
          <w:b/>
          <w:bCs/>
          <w:sz w:val="22"/>
          <w:szCs w:val="22"/>
        </w:rPr>
        <w:t xml:space="preserve">IN THE MATTER OF:</w:t>
      </w:r>
    </w:p>
    <w:p>
      <w:pPr>
        <w:spacing w:after="160"/>
        <w:jc w:val="both"/>
      </w:pPr>
      <w:r>
        <w:rPr>
          <w:rFonts w:ascii="Arial" w:cs="Arial" w:eastAsia="Arial" w:hAnsi="Arial"/>
          <w:sz w:val="22"/>
          <w:szCs w:val="22"/>
        </w:rPr>
        <w:t xml:space="preserve">1. Mrs. Kavita Yadav, W/o Late Mr. Ramesh Yadav, aged about 34 years, residing at Flat No. 18, Shanti Niwas, [City] – [PIN], for herself and as natural guardian of Claimants No. 2 and 3 below</w:t>
      </w:r>
    </w:p>
    <w:p>
      <w:pPr>
        <w:spacing w:after="160"/>
        <w:jc w:val="both"/>
      </w:pPr>
      <w:r>
        <w:rPr>
          <w:rFonts w:ascii="Arial" w:cs="Arial" w:eastAsia="Arial" w:hAnsi="Arial"/>
          <w:sz w:val="22"/>
          <w:szCs w:val="22"/>
        </w:rPr>
        <w:t xml:space="preserve">2. Master Aarav Yadav, S/o Late Mr. Ramesh Yadav, aged about 9 years, minor, through his natural guardian and mother, Claimant No. 1</w:t>
      </w:r>
    </w:p>
    <w:p>
      <w:pPr>
        <w:spacing w:after="160"/>
        <w:jc w:val="both"/>
      </w:pPr>
      <w:r>
        <w:rPr>
          <w:rFonts w:ascii="Arial" w:cs="Arial" w:eastAsia="Arial" w:hAnsi="Arial"/>
          <w:sz w:val="22"/>
          <w:szCs w:val="22"/>
        </w:rPr>
        <w:t xml:space="preserve">3. Miss Anaya Yadav, D/o Late Mr. Ramesh Yadav, aged about 6 years, minor, through her natural guardian and mother, Claimant No. 1</w:t>
      </w:r>
    </w:p>
    <w:p>
      <w:pPr>
        <w:spacing w:after="160"/>
        <w:jc w:val="both"/>
      </w:pPr>
      <w:r>
        <w:rPr>
          <w:rFonts w:ascii="Arial" w:cs="Arial" w:eastAsia="Arial" w:hAnsi="Arial"/>
          <w:sz w:val="22"/>
          <w:szCs w:val="22"/>
        </w:rPr>
        <w:t xml:space="preserve">(All residing at Flat No. 18, Shanti Niwas, [City] – [PIN])</w:t>
      </w:r>
    </w:p>
    <w:p>
      <w:pPr>
        <w:spacing w:after="160"/>
        <w:jc w:val="both"/>
      </w:pPr>
      <w:r>
        <w:rPr>
          <w:rFonts w:ascii="Arial" w:cs="Arial" w:eastAsia="Arial" w:hAnsi="Arial"/>
          <w:sz w:val="22"/>
          <w:szCs w:val="22"/>
        </w:rPr>
        <w:t xml:space="preserve">.............................................................................. CLAIMANTS</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1. Mr. Bhola Singh, S/o Mr. Ramnath Singh, driver of Truck bearing Registration No. [XX-00-XX-0000], residing at [Address]</w:t>
      </w:r>
    </w:p>
    <w:p>
      <w:pPr>
        <w:spacing w:after="160"/>
        <w:jc w:val="both"/>
      </w:pPr>
      <w:r>
        <w:rPr>
          <w:rFonts w:ascii="Arial" w:cs="Arial" w:eastAsia="Arial" w:hAnsi="Arial"/>
          <w:sz w:val="22"/>
          <w:szCs w:val="22"/>
        </w:rPr>
        <w:t xml:space="preserve">2. M/s Sundar Transport Co., owner of the offending Truck bearing Registration No. [XX-00-XX-0000], through its Proprietor, having its office at [Address]</w:t>
      </w:r>
    </w:p>
    <w:p>
      <w:pPr>
        <w:spacing w:after="160"/>
        <w:jc w:val="both"/>
      </w:pPr>
      <w:r>
        <w:rPr>
          <w:rFonts w:ascii="Arial" w:cs="Arial" w:eastAsia="Arial" w:hAnsi="Arial"/>
          <w:sz w:val="22"/>
          <w:szCs w:val="22"/>
        </w:rPr>
        <w:t xml:space="preserve">3. National Insurance Company Ltd. (or relevant insurer), through its Branch Manager, [Branch Address], being the insurer of the offending vehicle under Policy No. [_______], valid from [date] to [date]</w:t>
      </w:r>
    </w:p>
    <w:p>
      <w:pPr>
        <w:spacing w:after="160"/>
        <w:jc w:val="both"/>
      </w:pPr>
      <w:r>
        <w:rPr>
          <w:rFonts w:ascii="Arial" w:cs="Arial" w:eastAsia="Arial" w:hAnsi="Arial"/>
          <w:sz w:val="22"/>
          <w:szCs w:val="22"/>
        </w:rPr>
        <w:t xml:space="preserve">.............................................................................. RESPONDENTS</w:t>
      </w:r>
    </w:p>
    <w:p>
      <w:pPr>
        <w:spacing w:after="200" w:before="200"/>
        <w:jc w:val="center"/>
      </w:pPr>
      <w:r>
        <w:rPr>
          <w:rFonts w:ascii="Arial" w:cs="Arial" w:eastAsia="Arial" w:hAnsi="Arial"/>
          <w:b/>
          <w:bCs/>
          <w:sz w:val="22"/>
          <w:szCs w:val="22"/>
        </w:rPr>
        <w:t xml:space="preserve">CLAIM PETITION UNDER SECTION 166 OF THE MOTOR VEHICLES ACT, 1988, FOR AWARD OF COMPENSATION</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Claimant No. 1 is the widow, and Claimants No. 2 and 3 are the minor son and daughter respectively, of Late Mr. Ramesh Yadav (hereinafter "the deceased"), who died in a road accident on 5th April 2026, as more fully set out hereinbelow. The Claimants are the sole legal heirs and dependents of the deceased.</w:t>
      </w:r>
    </w:p>
    <w:p>
      <w:pPr>
        <w:spacing w:after="160"/>
        <w:jc w:val="both"/>
      </w:pPr>
      <w:r>
        <w:rPr>
          <w:rFonts w:ascii="Arial" w:cs="Arial" w:eastAsia="Arial" w:hAnsi="Arial"/>
          <w:sz w:val="22"/>
          <w:szCs w:val="22"/>
        </w:rPr>
        <w:t xml:space="preserve">2. That the deceased, aged 38 years at the time of his death, was employed as a Senior Accountant with M/s Apex Industries Ltd., [City], drawing a monthly salary of Rs. 45,000/- (Rupees Forty-Five Thousand only) net, as evidenced by his salary slips for the preceding twelve months and his Form 16 for the financial year 2025-26, true copies whereof are filed herewith and marked as ANNEXURE M-1 (Colly.).</w:t>
      </w:r>
    </w:p>
    <w:p>
      <w:pPr>
        <w:spacing w:after="160"/>
        <w:jc w:val="both"/>
      </w:pPr>
      <w:r>
        <w:rPr>
          <w:rFonts w:ascii="Arial" w:cs="Arial" w:eastAsia="Arial" w:hAnsi="Arial"/>
          <w:sz w:val="22"/>
          <w:szCs w:val="22"/>
        </w:rPr>
        <w:t xml:space="preserve">3. That on 5th April 2026, at about 8:30 p.m., the deceased was riding his two-wheeler bearing Registration No. [XX-00-XX-0000] along the [Name] Highway, near [Landmark], [City], proceeding from his workplace towards his residence, while strictly adhering to traffic rules and riding at a moderate speed on the correct side of the road.</w:t>
      </w:r>
    </w:p>
    <w:p>
      <w:pPr>
        <w:spacing w:after="160"/>
        <w:jc w:val="both"/>
      </w:pPr>
      <w:r>
        <w:rPr>
          <w:rFonts w:ascii="Arial" w:cs="Arial" w:eastAsia="Arial" w:hAnsi="Arial"/>
          <w:sz w:val="22"/>
          <w:szCs w:val="22"/>
        </w:rPr>
        <w:t xml:space="preserve">4. That at the said time and place, Respondent No. 1, who was driving the offending Truck bearing Registration No. [XX-00-XX-0000], belonging to Respondent No. 2, in a rash and negligent manner, at an excessive speed, and without due care and caution, attempted to overtake another vehicle from the wrong side of the road, as a result of which the said Truck collided head-on with the two-wheeler being ridden by the deceased.</w:t>
      </w:r>
    </w:p>
    <w:p>
      <w:pPr>
        <w:spacing w:after="160"/>
        <w:jc w:val="both"/>
      </w:pPr>
      <w:r>
        <w:rPr>
          <w:rFonts w:ascii="Arial" w:cs="Arial" w:eastAsia="Arial" w:hAnsi="Arial"/>
          <w:sz w:val="22"/>
          <w:szCs w:val="22"/>
        </w:rPr>
        <w:t xml:space="preserve">5. That as a direct and immediate result of the said collision, the deceased sustained grievous and fatal injuries, and was rushed to [Hospital Name], [City], where he was declared brought dead. A true copy of the post-mortem report and the death certificate of the deceased is filed herewith and marked as ANNEXURE M-2 (Colly.).</w:t>
      </w:r>
    </w:p>
    <w:p>
      <w:pPr>
        <w:spacing w:after="160"/>
        <w:jc w:val="both"/>
      </w:pPr>
      <w:r>
        <w:rPr>
          <w:rFonts w:ascii="Arial" w:cs="Arial" w:eastAsia="Arial" w:hAnsi="Arial"/>
          <w:sz w:val="22"/>
          <w:szCs w:val="22"/>
        </w:rPr>
        <w:t xml:space="preserve">6. That immediately upon the occurrence of the accident, an FIR bearing No. ___ of 2026 was registered at Police Station [Name], [City], under Sections 281 [or applicable BNS provisions]/106 of the Bharatiya Nyaya Sanhita, 2023 [and corresponding provisions of the Motor Vehicles Act], against Respondent No. 1, for rash and negligent driving causing death. A true copy of the FIR, the spot panchnama, and the charge-sheet (if filed) are filed herewith and marked as ANNEXURE M-3 (Colly.).</w:t>
      </w:r>
    </w:p>
    <w:p>
      <w:pPr>
        <w:spacing w:after="160"/>
        <w:jc w:val="both"/>
      </w:pPr>
      <w:r>
        <w:rPr>
          <w:rFonts w:ascii="Arial" w:cs="Arial" w:eastAsia="Arial" w:hAnsi="Arial"/>
          <w:sz w:val="22"/>
          <w:szCs w:val="22"/>
        </w:rPr>
        <w:t xml:space="preserve">7. That Respondent No. 2 is the registered owner of the offending Truck, as per the Registration Certificate, a true copy of which is filed herewith and marked as ANNEXURE M-4, and is, therefore, vicariously liable for the rash and negligent act of Respondent No. 1, who was driving the said Truck in the course of his employment with Respondent No. 2 at the relevant time.</w:t>
      </w:r>
    </w:p>
    <w:p>
      <w:pPr>
        <w:spacing w:after="160"/>
        <w:jc w:val="both"/>
      </w:pPr>
      <w:r>
        <w:rPr>
          <w:rFonts w:ascii="Arial" w:cs="Arial" w:eastAsia="Arial" w:hAnsi="Arial"/>
          <w:sz w:val="22"/>
          <w:szCs w:val="22"/>
        </w:rPr>
        <w:t xml:space="preserve">8. That Respondent No. 3 is the insurer of the offending Truck under a valid policy of insurance bearing Policy No. [_______], valid from [date] to [date], covering third-party risks, and is, therefore, liable to indemnify Respondent No. 2 and to satisfy the award that may be passed by this Hon'ble Tribunal, in terms of Section 149 of the Motor Vehicles Act, 1988. A true copy of the insurance policy/cover note is filed herewith and marked as ANNEXURE M-5.</w:t>
      </w:r>
    </w:p>
    <w:p>
      <w:pPr>
        <w:spacing w:after="160"/>
        <w:jc w:val="both"/>
      </w:pPr>
      <w:r>
        <w:rPr>
          <w:rFonts w:ascii="Arial" w:cs="Arial" w:eastAsia="Arial" w:hAnsi="Arial"/>
          <w:sz w:val="22"/>
          <w:szCs w:val="22"/>
        </w:rPr>
        <w:t xml:space="preserve">9. That the deceased was survived by Claimant No. 1 (widow), aged 34 years at the time of his death, and Claimants No. 2 and 3 (minor son aged 9 years and minor daughter aged 6 years), all of whom were wholly dependent on the income of the deceased for their maintenance, education, and upbringing, the deceased being the sole breadwinner of the family.</w:t>
      </w:r>
    </w:p>
    <w:p>
      <w:pPr>
        <w:spacing w:after="200" w:before="200"/>
        <w:jc w:val="center"/>
      </w:pPr>
      <w:r>
        <w:rPr>
          <w:rFonts w:ascii="Arial" w:cs="Arial" w:eastAsia="Arial" w:hAnsi="Arial"/>
          <w:b/>
          <w:bCs/>
          <w:sz w:val="22"/>
          <w:szCs w:val="22"/>
        </w:rPr>
        <w:t xml:space="preserve">COMPUTATION OF COMPENSATION</w:t>
      </w:r>
    </w:p>
    <w:p>
      <w:pPr>
        <w:spacing w:after="160"/>
        <w:jc w:val="both"/>
      </w:pPr>
      <w:r>
        <w:rPr>
          <w:rFonts w:ascii="Arial" w:cs="Arial" w:eastAsia="Arial" w:hAnsi="Arial"/>
          <w:sz w:val="22"/>
          <w:szCs w:val="22"/>
        </w:rPr>
        <w:t xml:space="preserve">10. That the Claimants are entitled to "just compensation" computed as follows, in accordance with the principles laid down by the Hon'ble Supreme Court:</w:t>
      </w:r>
    </w:p>
    <w:p>
      <w:pPr>
        <w:spacing w:after="160"/>
        <w:jc w:val="both"/>
      </w:pPr>
      <w:r>
        <w:rPr>
          <w:rFonts w:ascii="Arial" w:cs="Arial" w:eastAsia="Arial" w:hAnsi="Arial"/>
          <w:sz w:val="22"/>
          <w:szCs w:val="22"/>
        </w:rPr>
        <w:t xml:space="preserve">(a) </w:t>
      </w:r>
      <w:r>
        <w:rPr>
          <w:rFonts w:ascii="Arial" w:cs="Arial" w:eastAsia="Arial" w:hAnsi="Arial"/>
          <w:b/>
          <w:bCs/>
          <w:sz w:val="22"/>
          <w:szCs w:val="22"/>
        </w:rPr>
        <w:t xml:space="preserve">Annual income of the deceased:</w:t>
      </w:r>
      <w:r>
        <w:rPr>
          <w:rFonts w:ascii="Arial" w:cs="Arial" w:eastAsia="Arial" w:hAnsi="Arial"/>
          <w:sz w:val="22"/>
          <w:szCs w:val="22"/>
        </w:rPr>
        <w:t xml:space="preserve"> Rs. 45,000/- x 12 = Rs. 5,40,000/- per annum.</w:t>
      </w:r>
    </w:p>
    <w:p>
      <w:pPr>
        <w:spacing w:after="160"/>
        <w:jc w:val="both"/>
      </w:pPr>
      <w:r>
        <w:rPr>
          <w:rFonts w:ascii="Arial" w:cs="Arial" w:eastAsia="Arial" w:hAnsi="Arial"/>
          <w:sz w:val="22"/>
          <w:szCs w:val="22"/>
        </w:rPr>
        <w:t xml:space="preserve">(b) </w:t>
      </w:r>
      <w:r>
        <w:rPr>
          <w:rFonts w:ascii="Arial" w:cs="Arial" w:eastAsia="Arial" w:hAnsi="Arial"/>
          <w:b/>
          <w:bCs/>
          <w:sz w:val="22"/>
          <w:szCs w:val="22"/>
        </w:rPr>
        <w:t xml:space="preserve">Addition towards future prospects:</w:t>
      </w:r>
      <w:r>
        <w:rPr>
          <w:rFonts w:ascii="Arial" w:cs="Arial" w:eastAsia="Arial" w:hAnsi="Arial"/>
          <w:sz w:val="22"/>
          <w:szCs w:val="22"/>
        </w:rPr>
        <w:t xml:space="preserve"> Since the deceased was aged 38 years and in permanent, salaried employment, an addition of 30% towards future prospects is claimed, in accordance with the structured formula laid down by the Hon'ble Supreme Court, amounting to Rs. 1,62,000/-, bringing the total annual income (for computation purposes) to Rs. 7,02,000/-.</w:t>
      </w:r>
    </w:p>
    <w:p>
      <w:pPr>
        <w:spacing w:after="160"/>
        <w:jc w:val="both"/>
      </w:pPr>
      <w:r>
        <w:rPr>
          <w:rFonts w:ascii="Arial" w:cs="Arial" w:eastAsia="Arial" w:hAnsi="Arial"/>
          <w:sz w:val="22"/>
          <w:szCs w:val="22"/>
        </w:rPr>
        <w:t xml:space="preserve">(c) </w:t>
      </w:r>
      <w:r>
        <w:rPr>
          <w:rFonts w:ascii="Arial" w:cs="Arial" w:eastAsia="Arial" w:hAnsi="Arial"/>
          <w:b/>
          <w:bCs/>
          <w:sz w:val="22"/>
          <w:szCs w:val="22"/>
        </w:rPr>
        <w:t xml:space="preserve">Deduction towards personal/living expenses of the deceased:</w:t>
      </w:r>
      <w:r>
        <w:rPr>
          <w:rFonts w:ascii="Arial" w:cs="Arial" w:eastAsia="Arial" w:hAnsi="Arial"/>
          <w:sz w:val="22"/>
          <w:szCs w:val="22"/>
        </w:rPr>
        <w:t xml:space="preserve"> Since the deceased left behind three dependents (Claimants No. 1, 2, and 3), a deduction of one-fourth (25%) is claimed towards personal expenses of the deceased, leaving a net annual loss of dependency of Rs. 5,26,500/-.</w:t>
      </w:r>
    </w:p>
    <w:p>
      <w:pPr>
        <w:spacing w:after="160"/>
        <w:jc w:val="both"/>
      </w:pPr>
      <w:r>
        <w:rPr>
          <w:rFonts w:ascii="Arial" w:cs="Arial" w:eastAsia="Arial" w:hAnsi="Arial"/>
          <w:sz w:val="22"/>
          <w:szCs w:val="22"/>
        </w:rPr>
        <w:t xml:space="preserve">(d) </w:t>
      </w:r>
      <w:r>
        <w:rPr>
          <w:rFonts w:ascii="Arial" w:cs="Arial" w:eastAsia="Arial" w:hAnsi="Arial"/>
          <w:b/>
          <w:bCs/>
          <w:sz w:val="22"/>
          <w:szCs w:val="22"/>
        </w:rPr>
        <w:t xml:space="preserve">Multiplier:</w:t>
      </w:r>
      <w:r>
        <w:rPr>
          <w:rFonts w:ascii="Arial" w:cs="Arial" w:eastAsia="Arial" w:hAnsi="Arial"/>
          <w:sz w:val="22"/>
          <w:szCs w:val="22"/>
        </w:rPr>
        <w:t xml:space="preserve"> Having regard to the age of the deceased (38 years) at the time of death, a multiplier of 15 is claimed, in accordance with the multiplier table judicially evolved by the Hon'ble Supreme Court.</w:t>
      </w:r>
    </w:p>
    <w:p>
      <w:pPr>
        <w:spacing w:after="160"/>
        <w:jc w:val="both"/>
      </w:pPr>
      <w:r>
        <w:rPr>
          <w:rFonts w:ascii="Arial" w:cs="Arial" w:eastAsia="Arial" w:hAnsi="Arial"/>
          <w:sz w:val="22"/>
          <w:szCs w:val="22"/>
        </w:rPr>
        <w:t xml:space="preserve">(e) </w:t>
      </w:r>
      <w:r>
        <w:rPr>
          <w:rFonts w:ascii="Arial" w:cs="Arial" w:eastAsia="Arial" w:hAnsi="Arial"/>
          <w:b/>
          <w:bCs/>
          <w:sz w:val="22"/>
          <w:szCs w:val="22"/>
        </w:rPr>
        <w:t xml:space="preserve">Total loss of dependency:</w:t>
      </w:r>
      <w:r>
        <w:rPr>
          <w:rFonts w:ascii="Arial" w:cs="Arial" w:eastAsia="Arial" w:hAnsi="Arial"/>
          <w:sz w:val="22"/>
          <w:szCs w:val="22"/>
        </w:rPr>
        <w:t xml:space="preserve"> Rs. 5,26,500/- x 15 = Rs. 78,97,500/-.</w:t>
      </w:r>
    </w:p>
    <w:p>
      <w:pPr>
        <w:spacing w:after="160"/>
        <w:jc w:val="both"/>
      </w:pPr>
      <w:r>
        <w:rPr>
          <w:rFonts w:ascii="Arial" w:cs="Arial" w:eastAsia="Arial" w:hAnsi="Arial"/>
          <w:sz w:val="22"/>
          <w:szCs w:val="22"/>
        </w:rPr>
        <w:t xml:space="preserve">(f) </w:t>
      </w:r>
      <w:r>
        <w:rPr>
          <w:rFonts w:ascii="Arial" w:cs="Arial" w:eastAsia="Arial" w:hAnsi="Arial"/>
          <w:b/>
          <w:bCs/>
          <w:sz w:val="22"/>
          <w:szCs w:val="22"/>
        </w:rPr>
        <w:t xml:space="preserve">Loss of consortium:</w:t>
      </w:r>
      <w:r>
        <w:rPr>
          <w:rFonts w:ascii="Arial" w:cs="Arial" w:eastAsia="Arial" w:hAnsi="Arial"/>
          <w:sz w:val="22"/>
          <w:szCs w:val="22"/>
        </w:rPr>
        <w:t xml:space="preserve"> Rs. 40,000/- to the widow (Claimant No. 1), and Rs. 40,000/- each to the minor children (Claimants No. 2 and 3) towards loss of parental consortium, aggregating Rs. 1,20,000/- [figures to be updated as per the prevailing standardised conventional amounts at the time of filing].</w:t>
      </w:r>
    </w:p>
    <w:p>
      <w:pPr>
        <w:spacing w:after="160"/>
        <w:jc w:val="both"/>
      </w:pPr>
      <w:r>
        <w:rPr>
          <w:rFonts w:ascii="Arial" w:cs="Arial" w:eastAsia="Arial" w:hAnsi="Arial"/>
          <w:sz w:val="22"/>
          <w:szCs w:val="22"/>
        </w:rPr>
        <w:t xml:space="preserve">(g) </w:t>
      </w:r>
      <w:r>
        <w:rPr>
          <w:rFonts w:ascii="Arial" w:cs="Arial" w:eastAsia="Arial" w:hAnsi="Arial"/>
          <w:b/>
          <w:bCs/>
          <w:sz w:val="22"/>
          <w:szCs w:val="22"/>
        </w:rPr>
        <w:t xml:space="preserve">Loss of estate:</w:t>
      </w:r>
      <w:r>
        <w:rPr>
          <w:rFonts w:ascii="Arial" w:cs="Arial" w:eastAsia="Arial" w:hAnsi="Arial"/>
          <w:sz w:val="22"/>
          <w:szCs w:val="22"/>
        </w:rPr>
        <w:t xml:space="preserve"> Rs. 15,000/-.</w:t>
      </w:r>
    </w:p>
    <w:p>
      <w:pPr>
        <w:spacing w:after="160"/>
        <w:jc w:val="both"/>
      </w:pPr>
      <w:r>
        <w:rPr>
          <w:rFonts w:ascii="Arial" w:cs="Arial" w:eastAsia="Arial" w:hAnsi="Arial"/>
          <w:sz w:val="22"/>
          <w:szCs w:val="22"/>
        </w:rPr>
        <w:t xml:space="preserve">(h) </w:t>
      </w:r>
      <w:r>
        <w:rPr>
          <w:rFonts w:ascii="Arial" w:cs="Arial" w:eastAsia="Arial" w:hAnsi="Arial"/>
          <w:b/>
          <w:bCs/>
          <w:sz w:val="22"/>
          <w:szCs w:val="22"/>
        </w:rPr>
        <w:t xml:space="preserve">Funeral expenses:</w:t>
      </w:r>
      <w:r>
        <w:rPr>
          <w:rFonts w:ascii="Arial" w:cs="Arial" w:eastAsia="Arial" w:hAnsi="Arial"/>
          <w:sz w:val="22"/>
          <w:szCs w:val="22"/>
        </w:rPr>
        <w:t xml:space="preserve"> Rs. 15,000/-.</w:t>
      </w:r>
    </w:p>
    <w:p>
      <w:pPr>
        <w:spacing w:after="160"/>
        <w:jc w:val="both"/>
      </w:pPr>
      <w:r>
        <w:rPr>
          <w:rFonts w:ascii="Arial" w:cs="Arial" w:eastAsia="Arial" w:hAnsi="Arial"/>
          <w:sz w:val="22"/>
          <w:szCs w:val="22"/>
        </w:rPr>
        <w:t xml:space="preserve">(i) </w:t>
      </w:r>
      <w:r>
        <w:rPr>
          <w:rFonts w:ascii="Arial" w:cs="Arial" w:eastAsia="Arial" w:hAnsi="Arial"/>
          <w:b/>
          <w:bCs/>
          <w:sz w:val="22"/>
          <w:szCs w:val="22"/>
        </w:rPr>
        <w:t xml:space="preserve">Total compensation claimed:</w:t>
      </w:r>
      <w:r>
        <w:rPr>
          <w:rFonts w:ascii="Arial" w:cs="Arial" w:eastAsia="Arial" w:hAnsi="Arial"/>
          <w:sz w:val="22"/>
          <w:szCs w:val="22"/>
        </w:rPr>
        <w:t xml:space="preserve"> Rs. 78,97,500/- + Rs. 1,20,000/- + Rs. 15,000/- + Rs. 15,000/- = Rs. 80,47,500/- (Rupees Eighty Lakh Forty-Seven Thousand Five Hundred only).</w:t>
      </w:r>
    </w:p>
    <w:p>
      <w:pPr>
        <w:spacing w:after="160"/>
        <w:jc w:val="both"/>
      </w:pPr>
      <w:r>
        <w:rPr>
          <w:rFonts w:ascii="Arial" w:cs="Arial" w:eastAsia="Arial" w:hAnsi="Arial"/>
          <w:sz w:val="22"/>
          <w:szCs w:val="22"/>
        </w:rPr>
        <w:t xml:space="preserve">11. That the Claimants are further entitled to interest on the awarded amount at such rate as this Hon'ble Tribunal may deem fit, from the date of filing of this petition till the date of realisation.</w:t>
      </w:r>
    </w:p>
    <w:p>
      <w:pPr>
        <w:spacing w:after="160"/>
        <w:jc w:val="both"/>
      </w:pPr>
      <w:r>
        <w:rPr>
          <w:rFonts w:ascii="Arial" w:cs="Arial" w:eastAsia="Arial" w:hAnsi="Arial"/>
          <w:sz w:val="22"/>
          <w:szCs w:val="22"/>
        </w:rPr>
        <w:t xml:space="preserve">12. That this Hon'ble Tribunal has jurisdiction to entertain and adjudicate upon the present claim petition, the accident having occurred, and the Claimants residing, within the local limits of the jurisdiction of this Hon'ble Tribunal.</w:t>
      </w:r>
    </w:p>
    <w:p>
      <w:pPr>
        <w:spacing w:after="160"/>
        <w:jc w:val="both"/>
      </w:pPr>
      <w:r>
        <w:rPr>
          <w:rFonts w:ascii="Arial" w:cs="Arial" w:eastAsia="Arial" w:hAnsi="Arial"/>
          <w:sz w:val="22"/>
          <w:szCs w:val="22"/>
        </w:rPr>
        <w:t xml:space="preserve">13. That there is no period of limitation prescribed for filing the present claim petition under the Motor Vehicles Act, 1988, as amended; nevertheless, the present petition is being filed promptly, within a few months of the date of the accident.</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Tribunal may be pleased to:</w:t>
      </w:r>
    </w:p>
    <w:p>
      <w:pPr>
        <w:spacing w:after="160"/>
        <w:jc w:val="both"/>
      </w:pPr>
      <w:r>
        <w:rPr>
          <w:rFonts w:ascii="Arial" w:cs="Arial" w:eastAsia="Arial" w:hAnsi="Arial"/>
          <w:sz w:val="22"/>
          <w:szCs w:val="22"/>
        </w:rPr>
        <w:t xml:space="preserve">(a) award compensation of Rs. 80,47,500/- (Rupees Eighty Lakh Forty-Seven Thousand Five Hundred only), or such higher or other amount as this Hon'ble Tribunal may deem just and proper, in favour of the Claimants and against the Respondents, jointly and severally;</w:t>
      </w:r>
    </w:p>
    <w:p>
      <w:pPr>
        <w:spacing w:after="160"/>
        <w:jc w:val="both"/>
      </w:pPr>
      <w:r>
        <w:rPr>
          <w:rFonts w:ascii="Arial" w:cs="Arial" w:eastAsia="Arial" w:hAnsi="Arial"/>
          <w:sz w:val="22"/>
          <w:szCs w:val="22"/>
        </w:rPr>
        <w:t xml:space="preserve">(b) award interest on the compensation amount at such rate and from such date as this Hon'ble Tribunal may deem fit, till the date of realisation;</w:t>
      </w:r>
    </w:p>
    <w:p>
      <w:pPr>
        <w:spacing w:after="160"/>
        <w:jc w:val="both"/>
      </w:pPr>
      <w:r>
        <w:rPr>
          <w:rFonts w:ascii="Arial" w:cs="Arial" w:eastAsia="Arial" w:hAnsi="Arial"/>
          <w:sz w:val="22"/>
          <w:szCs w:val="22"/>
        </w:rPr>
        <w:t xml:space="preserve">(c) apportion the awarded compensation amongst the Claimants in such manner as this Hon'ble Tribunal may deem just and proper, having regard to their respective ages and dependency;</w:t>
      </w:r>
    </w:p>
    <w:p>
      <w:pPr>
        <w:spacing w:after="160"/>
        <w:jc w:val="both"/>
      </w:pPr>
      <w:r>
        <w:rPr>
          <w:rFonts w:ascii="Arial" w:cs="Arial" w:eastAsia="Arial" w:hAnsi="Arial"/>
          <w:sz w:val="22"/>
          <w:szCs w:val="22"/>
        </w:rPr>
        <w:t xml:space="preserve">(d) direct that the share of the minor Claimants (No. 2 and 3) be invested in a fixed deposit in a nationalised bank until they attain majority, with liberty to withdraw such reasonable amounts as may be necessary for their maintenance and education;</w:t>
      </w:r>
    </w:p>
    <w:p>
      <w:pPr>
        <w:spacing w:after="160"/>
        <w:jc w:val="both"/>
      </w:pPr>
      <w:r>
        <w:rPr>
          <w:rFonts w:ascii="Arial" w:cs="Arial" w:eastAsia="Arial" w:hAnsi="Arial"/>
          <w:sz w:val="22"/>
          <w:szCs w:val="22"/>
        </w:rPr>
        <w:t xml:space="preserve">(e) award costs of the present proceedings; and</w:t>
      </w:r>
    </w:p>
    <w:p>
      <w:pPr>
        <w:spacing w:after="160"/>
        <w:jc w:val="both"/>
      </w:pPr>
      <w:r>
        <w:rPr>
          <w:rFonts w:ascii="Arial" w:cs="Arial" w:eastAsia="Arial" w:hAnsi="Arial"/>
          <w:sz w:val="22"/>
          <w:szCs w:val="22"/>
        </w:rPr>
        <w:t xml:space="preserve">(f) pass such other order(s) as this Hon'ble Tribunal may deem fit and proper in the interest of justice.</w:t>
      </w:r>
    </w:p>
    <w:p>
      <w:pPr>
        <w:spacing w:after="160"/>
        <w:jc w:val="both"/>
      </w:pPr>
      <w:r>
        <w:rPr>
          <w:rFonts w:ascii="Arial" w:cs="Arial" w:eastAsia="Arial" w:hAnsi="Arial"/>
          <w:sz w:val="22"/>
          <w:szCs w:val="22"/>
        </w:rPr>
        <w:t xml:space="preserve">CLAIMANTS</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VERIFICATION</w:t>
      </w:r>
    </w:p>
    <w:p>
      <w:pPr>
        <w:spacing w:after="160"/>
        <w:jc w:val="both"/>
      </w:pPr>
      <w:r>
        <w:rPr>
          <w:rFonts w:ascii="Arial" w:cs="Arial" w:eastAsia="Arial" w:hAnsi="Arial"/>
          <w:sz w:val="22"/>
          <w:szCs w:val="22"/>
        </w:rPr>
        <w:t xml:space="preserve">I, Mrs. Kavita Yadav, Claimant No. 1, for myself and as natural guardian of Claimants No. 2 and 3, do hereby verify that the contents of paragraphs 1 to 13 above are true and correct to my knowledge and belief, save those stated to be on information and belief, which I believe to be true.</w:t>
      </w:r>
    </w:p>
    <w:p>
      <w:pPr>
        <w:spacing w:after="160"/>
        <w:jc w:val="both"/>
      </w:pPr>
      <w:r>
        <w:rPr>
          <w:rFonts w:ascii="Arial" w:cs="Arial" w:eastAsia="Arial" w:hAnsi="Arial"/>
          <w:sz w:val="22"/>
          <w:szCs w:val="22"/>
        </w:rPr>
        <w:t xml:space="preserve">Verified at [City] on this _____ day of ________, 2026.</w:t>
      </w:r>
    </w:p>
    <w:p>
      <w:pPr>
        <w:spacing w:after="160"/>
        <w:jc w:val="both"/>
      </w:pPr>
      <w:r>
        <w:rPr>
          <w:rFonts w:ascii="Arial" w:cs="Arial" w:eastAsia="Arial" w:hAnsi="Arial"/>
          <w:sz w:val="22"/>
          <w:szCs w:val="22"/>
        </w:rPr>
        <w:t xml:space="preserve">DEPONENT</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Salary slips and Form 16 of the deceased — Annexure M-1 (Colly.)</w:t>
      </w:r>
    </w:p>
    <w:p>
      <w:pPr>
        <w:spacing w:after="160"/>
        <w:jc w:val="both"/>
      </w:pPr>
      <w:r>
        <w:rPr>
          <w:rFonts w:ascii="Arial" w:cs="Arial" w:eastAsia="Arial" w:hAnsi="Arial"/>
          <w:sz w:val="22"/>
          <w:szCs w:val="22"/>
        </w:rPr>
        <w:t xml:space="preserve">2. Post-mortem report and death certificate — Annexure M-2 (Colly.)</w:t>
      </w:r>
    </w:p>
    <w:p>
      <w:pPr>
        <w:spacing w:after="160"/>
        <w:jc w:val="both"/>
      </w:pPr>
      <w:r>
        <w:rPr>
          <w:rFonts w:ascii="Arial" w:cs="Arial" w:eastAsia="Arial" w:hAnsi="Arial"/>
          <w:sz w:val="22"/>
          <w:szCs w:val="22"/>
        </w:rPr>
        <w:t xml:space="preserve">3. FIR, spot panchnama, and charge-sheet — Annexure M-3 (Colly.)</w:t>
      </w:r>
    </w:p>
    <w:p>
      <w:pPr>
        <w:spacing w:after="160"/>
        <w:jc w:val="both"/>
      </w:pPr>
      <w:r>
        <w:rPr>
          <w:rFonts w:ascii="Arial" w:cs="Arial" w:eastAsia="Arial" w:hAnsi="Arial"/>
          <w:sz w:val="22"/>
          <w:szCs w:val="22"/>
        </w:rPr>
        <w:t xml:space="preserve">4. Registration Certificate of offending Truck — Annexure M-4</w:t>
      </w:r>
    </w:p>
    <w:p>
      <w:pPr>
        <w:spacing w:after="160"/>
        <w:jc w:val="both"/>
      </w:pPr>
      <w:r>
        <w:rPr>
          <w:rFonts w:ascii="Arial" w:cs="Arial" w:eastAsia="Arial" w:hAnsi="Arial"/>
          <w:sz w:val="22"/>
          <w:szCs w:val="22"/>
        </w:rPr>
        <w:t xml:space="preserve">5. Insurance policy/cover note — Annexure M-5</w:t>
      </w:r>
    </w:p>
    <w:p>
      <w:pPr>
        <w:spacing w:after="160"/>
        <w:jc w:val="both"/>
      </w:pPr>
      <w:r>
        <w:rPr>
          <w:rFonts w:ascii="Arial" w:cs="Arial" w:eastAsia="Arial" w:hAnsi="Arial"/>
          <w:sz w:val="22"/>
          <w:szCs w:val="22"/>
        </w:rPr>
        <w:t xml:space="preserve">6. Vakalatnama</w:t>
      </w:r>
    </w:p>
    <w:p>
      <w:r>
        <w:br w:type="page"/>
      </w:r>
    </w:p>
    <w:p>
      <w:pPr>
        <w:pStyle w:val="Heading1"/>
      </w:pPr>
      <w:r>
        <w:t xml:space="preserve">9. DIVORCE PETITION — H.M.P. (HINDU MARRIAGE PETITION)</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 Hindu Marriage Petition ("HMP") is a petition filed before the Family Court (or, in areas where no Family Court has been established, the District Court) seeking matrimonial relief between parties to a marriage solemnised under Hindu law, including divorce, judicial separation, restitution of conjugal rights, or a declaration of nullity, governed substantively by the Hindu Marriage Act, 1955 ("HMA"), and procedurally by the Family Courts Act, 1984 (where applicable) read with the relevant provisions of the Code of Civil Procedure, 1908, as modified for family court proceedings.</w:t>
      </w:r>
    </w:p>
    <w:p>
      <w:pPr>
        <w:pStyle w:val="Heading2"/>
      </w:pPr>
      <w:r>
        <w:t xml:space="preserve">2. Conditions for a Valid Hindu Marriage and Bar to Maintainability</w:t>
      </w:r>
    </w:p>
    <w:p>
      <w:pPr>
        <w:spacing w:after="160"/>
        <w:jc w:val="both"/>
      </w:pPr>
      <w:r>
        <w:rPr>
          <w:rFonts w:ascii="Arial" w:cs="Arial" w:eastAsia="Arial" w:hAnsi="Arial"/>
          <w:sz w:val="22"/>
          <w:szCs w:val="22"/>
        </w:rPr>
        <w:t xml:space="preserve">Before examining the grounds for divorce, it is necessary to bear in mind Section 5 of the HMA, which lays down the conditions for a valid Hindu marriage (e.g., neither party having a living spouse at the time of marriage, both parties being of sound mind and capable of giving valid consent, the bridegroom having completed 21 years and the bride 18 years of age, and the parties not being within the degrees of prohibited relationship or sapinda relationship, save where custom or usage permits). A petition for divorce or other matrimonial relief presupposes the existence of a valid, subsisting Hindu marriage, since a marriage void ab initio under Section 11 would more properly attract a petition for declaration of nullity rather than divorce.</w:t>
      </w:r>
    </w:p>
    <w:p>
      <w:pPr>
        <w:pStyle w:val="Heading2"/>
      </w:pPr>
      <w:r>
        <w:t xml:space="preserve">3. Grounds for Divorce — Section 13(1) HMA</w:t>
      </w:r>
    </w:p>
    <w:p>
      <w:pPr>
        <w:spacing w:after="160"/>
        <w:jc w:val="both"/>
      </w:pPr>
      <w:r>
        <w:rPr>
          <w:rFonts w:ascii="Arial" w:cs="Arial" w:eastAsia="Arial" w:hAnsi="Arial"/>
          <w:sz w:val="22"/>
          <w:szCs w:val="22"/>
        </w:rPr>
        <w:t xml:space="preserve">Section 13(1) of the HMA enumerates the grounds on which either party to a marriage may present a petition for divorce, including:</w:t>
      </w:r>
    </w:p>
    <w:p>
      <w:pPr>
        <w:spacing w:after="160"/>
        <w:ind w:left="360"/>
        <w:jc w:val="both"/>
      </w:pPr>
      <w:r>
        <w:rPr>
          <w:rFonts w:ascii="Arial" w:cs="Arial" w:eastAsia="Arial" w:hAnsi="Arial"/>
          <w:sz w:val="22"/>
          <w:szCs w:val="22"/>
        </w:rPr>
        <w:t xml:space="preserve">(i) </w:t>
      </w:r>
      <w:r>
        <w:rPr>
          <w:rFonts w:ascii="Arial" w:cs="Arial" w:eastAsia="Arial" w:hAnsi="Arial"/>
          <w:b/>
          <w:bCs/>
          <w:sz w:val="22"/>
          <w:szCs w:val="22"/>
        </w:rPr>
        <w:t xml:space="preserve">Adultery</w:t>
      </w:r>
      <w:r>
        <w:rPr>
          <w:rFonts w:ascii="Arial" w:cs="Arial" w:eastAsia="Arial" w:hAnsi="Arial"/>
          <w:sz w:val="22"/>
          <w:szCs w:val="22"/>
        </w:rPr>
        <w:t xml:space="preserve"> — that the other party has, after solemnisation of the marriage, had voluntary sexual intercourse with any person other than his or her spouse;</w:t>
      </w:r>
    </w:p>
    <w:p>
      <w:pPr>
        <w:spacing w:after="160"/>
        <w:jc w:val="both"/>
      </w:pPr>
      <w:r>
        <w:rPr>
          <w:rFonts w:ascii="Arial" w:cs="Arial" w:eastAsia="Arial" w:hAnsi="Arial"/>
          <w:sz w:val="22"/>
          <w:szCs w:val="22"/>
        </w:rPr>
        <w:t xml:space="preserve">(ii) </w:t>
      </w:r>
      <w:r>
        <w:rPr>
          <w:rFonts w:ascii="Arial" w:cs="Arial" w:eastAsia="Arial" w:hAnsi="Arial"/>
          <w:b/>
          <w:bCs/>
          <w:sz w:val="22"/>
          <w:szCs w:val="22"/>
        </w:rPr>
        <w:t xml:space="preserve">Cruelty</w:t>
      </w:r>
      <w:r>
        <w:rPr>
          <w:rFonts w:ascii="Arial" w:cs="Arial" w:eastAsia="Arial" w:hAnsi="Arial"/>
          <w:sz w:val="22"/>
          <w:szCs w:val="22"/>
        </w:rPr>
        <w:t xml:space="preserve"> — that the other party has, after solemnisation of the marriage, treated the petitioner with cruelty. "Cruelty" has been judicially construed to encompass both physical and mental cruelty, the latter being conduct that causes such mental pain and suffering as would make it impossible for the petitioner to live with the respondent, assessed contextually with reference to the particular facts, social status, and conduct of the parties, rather than by any fixed formula;</w:t>
      </w:r>
    </w:p>
    <w:p>
      <w:pPr>
        <w:spacing w:after="160"/>
        <w:ind w:left="360"/>
        <w:jc w:val="both"/>
      </w:pPr>
      <w:r>
        <w:rPr>
          <w:rFonts w:ascii="Arial" w:cs="Arial" w:eastAsia="Arial" w:hAnsi="Arial"/>
          <w:sz w:val="22"/>
          <w:szCs w:val="22"/>
        </w:rPr>
        <w:t xml:space="preserve">(iii) </w:t>
      </w:r>
      <w:r>
        <w:rPr>
          <w:rFonts w:ascii="Arial" w:cs="Arial" w:eastAsia="Arial" w:hAnsi="Arial"/>
          <w:b/>
          <w:bCs/>
          <w:sz w:val="22"/>
          <w:szCs w:val="22"/>
        </w:rPr>
        <w:t xml:space="preserve">Desertion</w:t>
      </w:r>
      <w:r>
        <w:rPr>
          <w:rFonts w:ascii="Arial" w:cs="Arial" w:eastAsia="Arial" w:hAnsi="Arial"/>
          <w:sz w:val="22"/>
          <w:szCs w:val="22"/>
        </w:rPr>
        <w:t xml:space="preserve"> — that the other party has deserted the petitioner for a continuous period of not less than two years immediately preceding the presentation of the petition. Desertion, in matrimonial law, comprises both the factum of separation and the animus deserendi (intention to bring cohabitation permanently to an end), without reasonable cause and without the consent of the other party;</w:t>
      </w:r>
    </w:p>
    <w:p>
      <w:pPr>
        <w:spacing w:after="160"/>
        <w:ind w:left="360"/>
        <w:jc w:val="both"/>
      </w:pPr>
      <w:r>
        <w:rPr>
          <w:rFonts w:ascii="Arial" w:cs="Arial" w:eastAsia="Arial" w:hAnsi="Arial"/>
          <w:sz w:val="22"/>
          <w:szCs w:val="22"/>
        </w:rPr>
        <w:t xml:space="preserve">(iv) </w:t>
      </w:r>
      <w:r>
        <w:rPr>
          <w:rFonts w:ascii="Arial" w:cs="Arial" w:eastAsia="Arial" w:hAnsi="Arial"/>
          <w:b/>
          <w:bCs/>
          <w:sz w:val="22"/>
          <w:szCs w:val="22"/>
        </w:rPr>
        <w:t xml:space="preserve">Conversion</w:t>
      </w:r>
      <w:r>
        <w:rPr>
          <w:rFonts w:ascii="Arial" w:cs="Arial" w:eastAsia="Arial" w:hAnsi="Arial"/>
          <w:sz w:val="22"/>
          <w:szCs w:val="22"/>
        </w:rPr>
        <w:t xml:space="preserve"> — that the other party has ceased to be a Hindu by conversion to another religion;</w:t>
      </w:r>
    </w:p>
    <w:p>
      <w:pPr>
        <w:spacing w:after="160"/>
        <w:ind w:left="360"/>
        <w:jc w:val="both"/>
      </w:pPr>
      <w:r>
        <w:rPr>
          <w:rFonts w:ascii="Arial" w:cs="Arial" w:eastAsia="Arial" w:hAnsi="Arial"/>
          <w:sz w:val="22"/>
          <w:szCs w:val="22"/>
        </w:rPr>
        <w:t xml:space="preserve">(v) </w:t>
      </w:r>
      <w:r>
        <w:rPr>
          <w:rFonts w:ascii="Arial" w:cs="Arial" w:eastAsia="Arial" w:hAnsi="Arial"/>
          <w:b/>
          <w:bCs/>
          <w:sz w:val="22"/>
          <w:szCs w:val="22"/>
        </w:rPr>
        <w:t xml:space="preserve">Unsoundness of mind</w:t>
      </w:r>
      <w:r>
        <w:rPr>
          <w:rFonts w:ascii="Arial" w:cs="Arial" w:eastAsia="Arial" w:hAnsi="Arial"/>
          <w:sz w:val="22"/>
          <w:szCs w:val="22"/>
        </w:rPr>
        <w:t xml:space="preserve"> — that the other party has been incurably of unsound mind, or has been suffering continuously or intermittently from mental disorder of such a kind and to such an extent that the petitioner cannot reasonably be expected to live with the respondent;</w:t>
      </w:r>
    </w:p>
    <w:p>
      <w:pPr>
        <w:spacing w:after="160"/>
        <w:ind w:left="360"/>
        <w:jc w:val="both"/>
      </w:pPr>
      <w:r>
        <w:rPr>
          <w:rFonts w:ascii="Arial" w:cs="Arial" w:eastAsia="Arial" w:hAnsi="Arial"/>
          <w:sz w:val="22"/>
          <w:szCs w:val="22"/>
        </w:rPr>
        <w:t xml:space="preserve">(vi) </w:t>
      </w:r>
      <w:r>
        <w:rPr>
          <w:rFonts w:ascii="Arial" w:cs="Arial" w:eastAsia="Arial" w:hAnsi="Arial"/>
          <w:b/>
          <w:bCs/>
          <w:sz w:val="22"/>
          <w:szCs w:val="22"/>
        </w:rPr>
        <w:t xml:space="preserve">Virulent and incurable leprosy</w:t>
      </w:r>
      <w:r>
        <w:rPr>
          <w:rFonts w:ascii="Arial" w:cs="Arial" w:eastAsia="Arial" w:hAnsi="Arial"/>
          <w:sz w:val="22"/>
          <w:szCs w:val="22"/>
        </w:rPr>
        <w:t xml:space="preserve"> (this ground was omitted by the Personal Laws (Amendment) Act, 2019, which deleted leprosy as a ground for divorce/judicial separation across personal law statutes, recognising the stigmatisation involved);</w:t>
      </w:r>
    </w:p>
    <w:p>
      <w:pPr>
        <w:spacing w:after="160"/>
        <w:ind w:left="360"/>
        <w:jc w:val="both"/>
      </w:pPr>
      <w:r>
        <w:rPr>
          <w:rFonts w:ascii="Arial" w:cs="Arial" w:eastAsia="Arial" w:hAnsi="Arial"/>
          <w:sz w:val="22"/>
          <w:szCs w:val="22"/>
        </w:rPr>
        <w:t xml:space="preserve">(vii) </w:t>
      </w:r>
      <w:r>
        <w:rPr>
          <w:rFonts w:ascii="Arial" w:cs="Arial" w:eastAsia="Arial" w:hAnsi="Arial"/>
          <w:b/>
          <w:bCs/>
          <w:sz w:val="22"/>
          <w:szCs w:val="22"/>
        </w:rPr>
        <w:t xml:space="preserve">Venereal disease in a communicable form</w:t>
      </w:r>
      <w:r>
        <w:rPr>
          <w:rFonts w:ascii="Arial" w:cs="Arial" w:eastAsia="Arial" w:hAnsi="Arial"/>
          <w:sz w:val="22"/>
          <w:szCs w:val="22"/>
        </w:rPr>
        <w:t xml:space="preserve">;</w:t>
      </w:r>
    </w:p>
    <w:p>
      <w:pPr>
        <w:spacing w:after="160"/>
        <w:ind w:left="360"/>
        <w:jc w:val="both"/>
      </w:pPr>
      <w:r>
        <w:rPr>
          <w:rFonts w:ascii="Arial" w:cs="Arial" w:eastAsia="Arial" w:hAnsi="Arial"/>
          <w:sz w:val="22"/>
          <w:szCs w:val="22"/>
        </w:rPr>
        <w:t xml:space="preserve">(viii) </w:t>
      </w:r>
      <w:r>
        <w:rPr>
          <w:rFonts w:ascii="Arial" w:cs="Arial" w:eastAsia="Arial" w:hAnsi="Arial"/>
          <w:b/>
          <w:bCs/>
          <w:sz w:val="22"/>
          <w:szCs w:val="22"/>
        </w:rPr>
        <w:t xml:space="preserve">Renunciation of the world</w:t>
      </w:r>
      <w:r>
        <w:rPr>
          <w:rFonts w:ascii="Arial" w:cs="Arial" w:eastAsia="Arial" w:hAnsi="Arial"/>
          <w:sz w:val="22"/>
          <w:szCs w:val="22"/>
        </w:rPr>
        <w:t xml:space="preserve"> — that the other party has renounced the world by entering any religious order;</w:t>
      </w:r>
    </w:p>
    <w:p>
      <w:pPr>
        <w:spacing w:after="160"/>
        <w:ind w:left="360"/>
        <w:jc w:val="both"/>
      </w:pPr>
      <w:r>
        <w:rPr>
          <w:rFonts w:ascii="Arial" w:cs="Arial" w:eastAsia="Arial" w:hAnsi="Arial"/>
          <w:sz w:val="22"/>
          <w:szCs w:val="22"/>
        </w:rPr>
        <w:t xml:space="preserve">(ix) </w:t>
      </w:r>
      <w:r>
        <w:rPr>
          <w:rFonts w:ascii="Arial" w:cs="Arial" w:eastAsia="Arial" w:hAnsi="Arial"/>
          <w:b/>
          <w:bCs/>
          <w:sz w:val="22"/>
          <w:szCs w:val="22"/>
        </w:rPr>
        <w:t xml:space="preserve">Presumption of death</w:t>
      </w:r>
      <w:r>
        <w:rPr>
          <w:rFonts w:ascii="Arial" w:cs="Arial" w:eastAsia="Arial" w:hAnsi="Arial"/>
          <w:sz w:val="22"/>
          <w:szCs w:val="22"/>
        </w:rPr>
        <w:t xml:space="preserve"> — that the other party has not been heard of as being alive for a period of seven years or more by persons who would naturally have heard of him/her had that party been alive.</w:t>
      </w:r>
    </w:p>
    <w:p>
      <w:pPr>
        <w:spacing w:after="160"/>
        <w:jc w:val="both"/>
      </w:pPr>
      <w:r>
        <w:rPr>
          <w:rFonts w:ascii="Arial" w:cs="Arial" w:eastAsia="Arial" w:hAnsi="Arial"/>
          <w:sz w:val="22"/>
          <w:szCs w:val="22"/>
        </w:rPr>
        <w:t xml:space="preserve">Section 13(1-A), inserted by the Marriage Laws (Amendment) Act, 1976, provides two additional grounds available to either party: (a) that there has been no resumption of cohabitation between the parties for a period of one year or more after the passing of a decree for judicial separation; and (b) that there has been no restitution of conjugal rights between the parties for a period of one year or more after the passing of a decree for restitution of conjugal rights.</w:t>
      </w:r>
    </w:p>
    <w:p>
      <w:pPr>
        <w:pStyle w:val="Heading2"/>
      </w:pPr>
      <w:r>
        <w:t xml:space="preserve">4. Special Grounds Available to the Wife — Section 13(2)</w:t>
      </w:r>
    </w:p>
    <w:p>
      <w:pPr>
        <w:spacing w:after="160"/>
        <w:jc w:val="both"/>
      </w:pPr>
      <w:r>
        <w:rPr>
          <w:rFonts w:ascii="Arial" w:cs="Arial" w:eastAsia="Arial" w:hAnsi="Arial"/>
          <w:sz w:val="22"/>
          <w:szCs w:val="22"/>
        </w:rPr>
        <w:t xml:space="preserve">Section 13(2) provides additional grounds available exclusively to the wife, including: (i) that the husband has, at the time of the marriage or thereafter, married again, or has another wife living (bigamy), where such other wife was alive at the time of the petitioner's marriage; (ii) that the husband has, since the solemnisation of the marriage, been guilty of rape, sodomy, or bestiality; (iii) that, in a decree or order awarding maintenance, cohabitation between the parties has not been resumed for one year or more after such decree/order; and (iv) that the marriage was solemnised before the wife attained the age of fifteen years, and she has repudiated the marriage after attaining that age but before attaining the age of eighteen years (the "option of puberty").</w:t>
      </w:r>
    </w:p>
    <w:p>
      <w:pPr>
        <w:pStyle w:val="Heading2"/>
      </w:pPr>
      <w:r>
        <w:t xml:space="preserve">5. Divorce by Mutual Consent — Section 13-B</w:t>
      </w:r>
    </w:p>
    <w:p>
      <w:pPr>
        <w:spacing w:after="160"/>
        <w:jc w:val="both"/>
      </w:pPr>
      <w:r>
        <w:rPr>
          <w:rFonts w:ascii="Arial" w:cs="Arial" w:eastAsia="Arial" w:hAnsi="Arial"/>
          <w:sz w:val="22"/>
          <w:szCs w:val="22"/>
        </w:rPr>
        <w:t xml:space="preserve">Section 13-B HMA provides for divorce by mutual consent, where both parties to the marriage present a joint petition on the ground that they have been living separately for a period of one year or more, that they have not been able to live together, and that they have mutually agreed that the marriage should be dissolved. Section 13-B(2) requires that, on the motion of both parties (made not earlier than six months and not later than eighteen months after presentation of the petition referred to above), and if the petition is not withdrawn in the meantime, the court shall, on being satisfied, after hearing the parties and making such inquiry as it thinks fit, that the marriage has been solemnised and that the averments in the petition are true, pass a decree of divorce.</w:t>
      </w:r>
    </w:p>
    <w:p>
      <w:pPr>
        <w:spacing w:after="160"/>
        <w:jc w:val="both"/>
      </w:pPr>
      <w:r>
        <w:rPr>
          <w:rFonts w:ascii="Arial" w:cs="Arial" w:eastAsia="Arial" w:hAnsi="Arial"/>
          <w:sz w:val="22"/>
          <w:szCs w:val="22"/>
        </w:rPr>
        <w:t xml:space="preserve">The Supreme Court, exercising its plenary power under Article 142 of the Constitution, has in appropriate cases waived the mandatory six-month "cooling-off" period under Section 13-B(2) (which is intended to allow parties an opportunity for reconciliation), where it is satisfied that the marriage is totally and irretrievably broken down, that all efforts at mediation/conciliation have failed, that the parties have genuinely settled their disputes including alimony, maintenance, and custody, and that waiting for the statutory period would only prolong their agony.</w:t>
      </w:r>
    </w:p>
    <w:p>
      <w:pPr>
        <w:pStyle w:val="Heading2"/>
      </w:pPr>
      <w:r>
        <w:t xml:space="preserve">6. Judicial Separation — Section 10</w:t>
      </w:r>
    </w:p>
    <w:p>
      <w:pPr>
        <w:spacing w:after="160"/>
        <w:jc w:val="both"/>
      </w:pPr>
      <w:r>
        <w:rPr>
          <w:rFonts w:ascii="Arial" w:cs="Arial" w:eastAsia="Arial" w:hAnsi="Arial"/>
          <w:sz w:val="22"/>
          <w:szCs w:val="22"/>
        </w:rPr>
        <w:t xml:space="preserve">Section 10 of the HMA provides that either party to a marriage may present a petition for judicial separation on any of the grounds specified in Section 13(1), and, in the case of a wife, also on the grounds specified in Section 13(2), and, where a decree for judicial separation is passed, it is no longer obligatory for the petitioner to cohabit with the respondent, but the marriage itself subsists and the parties remain married for all other legal purposes. Judicial separation is often resorted to as a precursor where reconciliation remains a possibility, or as a stepping stone towards eventual divorce under Section 13(1-A)(i) if cohabitation is not resumed within a year.</w:t>
      </w:r>
    </w:p>
    <w:p>
      <w:pPr>
        <w:pStyle w:val="Heading2"/>
      </w:pPr>
      <w:r>
        <w:t xml:space="preserve">7. Restitution of Conjugal Rights — Section 9</w:t>
      </w:r>
    </w:p>
    <w:p>
      <w:pPr>
        <w:spacing w:after="160"/>
        <w:jc w:val="both"/>
      </w:pPr>
      <w:r>
        <w:rPr>
          <w:rFonts w:ascii="Arial" w:cs="Arial" w:eastAsia="Arial" w:hAnsi="Arial"/>
          <w:sz w:val="22"/>
          <w:szCs w:val="22"/>
        </w:rPr>
        <w:t xml:space="preserve">Section 9 of the HMA provides that where either the husband or the wife has, without reasonable excuse, withdrawn from the society of the other, the aggrieved party may apply, by petition, to the District Court for restitution of conjugal rights, and the court, on being satisfied of the truth of the statements made in the petition and that there is no legal ground why the application should not be granted, may decree restitution of conjugal rights accordingly.</w:t>
      </w:r>
    </w:p>
    <w:p>
      <w:pPr>
        <w:pStyle w:val="Heading2"/>
      </w:pPr>
      <w:r>
        <w:t xml:space="preserve">8. Bars to Matrimonial Relief — Section 23</w:t>
      </w:r>
    </w:p>
    <w:p>
      <w:pPr>
        <w:spacing w:after="160"/>
        <w:jc w:val="both"/>
      </w:pPr>
      <w:r>
        <w:rPr>
          <w:rFonts w:ascii="Arial" w:cs="Arial" w:eastAsia="Arial" w:hAnsi="Arial"/>
          <w:sz w:val="22"/>
          <w:szCs w:val="22"/>
        </w:rPr>
        <w:t xml:space="preserve">Section 23(1) of the HMA imposes important conditions that must be satisfied before any matrimonial relief (including divorce) can be granted, including that: (a) the petitioner is not taking advantage of his or her own wrong or disability for the purpose of obtaining relief; (b) where the ground is one to which Section 23(1)(a) [adultery, cruelty, desertion, etc.] applies, the petitioner has not, in any manner, condoned the acts complained of, or, where the ground is cruelty, the petitioner has not, after the occurrence of the last act complained of, condoned the cruelty; (c) the petition is not presented in collusion with the respondent; (d) there has not been unnecessary or improper delay in instituting the proceedings; and (e) there is no other legal ground why relief should not be granted.</w:t>
      </w:r>
    </w:p>
    <w:p>
      <w:pPr>
        <w:pStyle w:val="Heading2"/>
      </w:pPr>
      <w:r>
        <w:t xml:space="preserve">9. Jurisdiction — Section 19</w:t>
      </w:r>
    </w:p>
    <w:p>
      <w:pPr>
        <w:spacing w:after="160"/>
        <w:jc w:val="both"/>
      </w:pPr>
      <w:r>
        <w:rPr>
          <w:rFonts w:ascii="Arial" w:cs="Arial" w:eastAsia="Arial" w:hAnsi="Arial"/>
          <w:sz w:val="22"/>
          <w:szCs w:val="22"/>
        </w:rPr>
        <w:t xml:space="preserve">Section 19 HMA specifies that every petition under the Act shall be presented to the District Court (or Family Court, where established) within the local limits of whose ordinary original civil jurisdiction: (i) the marriage was solemnised; or (ii) the respondent, at the time of presentation of the petition, resides; or (iii) the parties to the marriage last resided together; or (iv) the petitioner is residing at the time of presentation of the petition, in case the respondent is, at that time, residing outside the territories to which the Act extends, or has not been heard of as being alive for a period of seven years or more by persons who would naturally have heard of him if he were alive; or (v), inserted by amendment, where the wife is the petitioner, where she is residing on the date of presentation of the petition. This last provision (added by the Marriage Laws (Amendment) Act, 2003) is a significant protective measure, allowing the wife to file the petition at her own place of residence, recognising the practical difficulties she may face in travelling to the matrimonial home or the husband's place of residence.</w:t>
      </w:r>
    </w:p>
    <w:p>
      <w:pPr>
        <w:pStyle w:val="Heading2"/>
      </w:pPr>
      <w:r>
        <w:t xml:space="preserve">10. Maintenance Pendente Lite and Permanent Alimony — Sections 24 and 25</w:t>
      </w:r>
    </w:p>
    <w:p>
      <w:pPr>
        <w:spacing w:after="160"/>
        <w:jc w:val="both"/>
      </w:pPr>
      <w:r>
        <w:rPr>
          <w:rFonts w:ascii="Arial" w:cs="Arial" w:eastAsia="Arial" w:hAnsi="Arial"/>
          <w:sz w:val="22"/>
          <w:szCs w:val="22"/>
        </w:rPr>
        <w:t xml:space="preserve">Section 24 HMA empowers the court, on the application of either spouse who has no independent income sufficient for support and the necessary expenses of the proceeding, to order the other spouse to pay reasonable expenses of the proceeding and monthly maintenance during the pendency of the proceeding (maintenance pendente lite), having regard to the income of both parties. Section 25 empowers the court, at the time of passing any decree, or at any time subsequent thereto, on application made for the purpose, to order either spouse to pay to the other a gross sum or a periodical sum for the latter's maintenance and support, having regard to the respondent's own income and other property, the income and property of the applicant, the conduct of the parties, and other relevant circumstances; such order may be varied, modified, or rescinded subsequently on proof of a change in circumstances.</w:t>
      </w:r>
    </w:p>
    <w:p>
      <w:pPr>
        <w:pStyle w:val="Heading2"/>
      </w:pPr>
      <w:r>
        <w:t xml:space="preserve">11. Custody of Children — Section 26</w:t>
      </w:r>
    </w:p>
    <w:p>
      <w:pPr>
        <w:spacing w:after="160"/>
        <w:jc w:val="both"/>
      </w:pPr>
      <w:r>
        <w:rPr>
          <w:rFonts w:ascii="Arial" w:cs="Arial" w:eastAsia="Arial" w:hAnsi="Arial"/>
          <w:sz w:val="22"/>
          <w:szCs w:val="22"/>
        </w:rPr>
        <w:t xml:space="preserve">Section 26 HMA empowers the court, in any proceeding under the Act, to pass interim orders and make provisions in the decree regarding the custody, maintenance, and education of minor children, consistent with their wishes (wherever possible), and the court retains continuing jurisdiction to revoke, suspend, or vary such orders subsequently as circumstances may require, the welfare of the child being the paramount consideration.</w:t>
      </w:r>
    </w:p>
    <w:p>
      <w:pPr>
        <w:pStyle w:val="Heading2"/>
      </w:pPr>
      <w:r>
        <w:t xml:space="preserve">12. Procedure Before the Family Court</w:t>
      </w:r>
    </w:p>
    <w:p>
      <w:pPr>
        <w:spacing w:after="160"/>
        <w:jc w:val="both"/>
      </w:pPr>
      <w:r>
        <w:rPr>
          <w:rFonts w:ascii="Arial" w:cs="Arial" w:eastAsia="Arial" w:hAnsi="Arial"/>
          <w:sz w:val="22"/>
          <w:szCs w:val="22"/>
        </w:rPr>
        <w:t xml:space="preserve">Where a Family Court has been established under the Family Courts Act, 1984, the matrimonial petition must be filed before the Family Court, which is enjoined, under Section 9 of the Family Courts Act, to make efforts to assist and persuade the parties to arrive at a settlement, and is empowered to adopt its own procedure, and to follow such rules of evidence as may be necessary to deal effectively with the dispute, in a manner conducive to settlement. Family Courts also typically refer matters to counsellors/mediators before proceeding to adjudicate the dispute on a contested basis.</w:t>
      </w:r>
    </w:p>
    <w:p>
      <w:pPr>
        <w:pStyle w:val="Heading2"/>
      </w:pPr>
      <w:r>
        <w:t xml:space="preserve">13. Conclusion</w:t>
      </w:r>
    </w:p>
    <w:p>
      <w:pPr>
        <w:spacing w:after="160"/>
        <w:jc w:val="both"/>
      </w:pPr>
      <w:r>
        <w:rPr>
          <w:rFonts w:ascii="Arial" w:cs="Arial" w:eastAsia="Arial" w:hAnsi="Arial"/>
          <w:sz w:val="22"/>
          <w:szCs w:val="22"/>
        </w:rPr>
        <w:t xml:space="preserve">The Hindu Marriage Act, 1955, provides a comprehensive matrimonial code governing the solemnisation, validity, and dissolution of Hindu marriages, balancing the sanctity traditionally attached to marriage with the practical and humane recognition that certain marriages irretrievably break down and ought to be lawfully dissolved. A well-drafted divorce petition under the HMA must precisely plead the specific statutory ground(s) relied upon (with full particulars of acts of cruelty, desertion, or adultery, as the case may be), establish the jurisdiction of the court under Section 19, address the bars under Section 23, and, where applicable (e.g., custody, maintenance), incorporate ancillary reliefs under Sections 24 to 26 to ensure comprehensive adjudication of the matrimonial dispute in a single proceeding.</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DIVORCE PETITION UNDER SECTION 13(1)(i-a) OF THE HINDU MARRIAGE ACT, 1955 (ON THE GROUND OF CRUELTY)</w:t>
      </w:r>
    </w:p>
    <w:p>
      <w:pPr>
        <w:spacing w:after="300"/>
        <w:jc w:val="center"/>
      </w:pPr>
      <w:r>
        <w:rPr>
          <w:rFonts w:ascii="Arial" w:cs="Arial" w:eastAsia="Arial" w:hAnsi="Arial"/>
          <w:i/>
          <w:iCs/>
          <w:sz w:val="20"/>
          <w:szCs w:val="20"/>
        </w:rPr>
        <w:t xml:space="preserve">(Presumed Facts: Mrs. Priya Nair seeks divorce from her husband, Mr. Arjun Nair, on the ground of sustained mental and physical cruelty over the course of their seven-year marriage, including verbal abuse, public humiliation, and an incident of physical assault, along with a prayer for maintenance and custody of their minor daughter.)</w:t>
      </w:r>
    </w:p>
    <w:p>
      <w:pPr>
        <w:spacing w:after="200" w:before="200"/>
        <w:jc w:val="center"/>
      </w:pPr>
      <w:r>
        <w:rPr>
          <w:rFonts w:ascii="Arial" w:cs="Arial" w:eastAsia="Arial" w:hAnsi="Arial"/>
          <w:b/>
          <w:bCs/>
          <w:sz w:val="22"/>
          <w:szCs w:val="22"/>
        </w:rPr>
        <w:t xml:space="preserve">BEFORE THE FAMILY COURT AT [CITY], [STATE]</w:t>
      </w:r>
    </w:p>
    <w:p>
      <w:pPr>
        <w:spacing w:after="160"/>
        <w:jc w:val="both"/>
      </w:pPr>
      <w:r>
        <w:rPr>
          <w:rFonts w:ascii="Arial" w:cs="Arial" w:eastAsia="Arial" w:hAnsi="Arial"/>
          <w:sz w:val="22"/>
          <w:szCs w:val="22"/>
        </w:rPr>
        <w:t xml:space="preserve">H.M.P. No. _____ of 2026</w:t>
      </w:r>
    </w:p>
    <w:p>
      <w:pPr>
        <w:spacing w:after="160"/>
        <w:jc w:val="both"/>
      </w:pPr>
      <w:r>
        <w:rPr>
          <w:rFonts w:ascii="Arial" w:cs="Arial" w:eastAsia="Arial" w:hAnsi="Arial"/>
          <w:sz w:val="22"/>
          <w:szCs w:val="22"/>
        </w:rPr>
        <w:t xml:space="preserve">(Under Section 13(1)(i-a) of the Hindu Marriage Act, 1955)</w:t>
      </w:r>
    </w:p>
    <w:p>
      <w:pPr>
        <w:spacing w:after="160"/>
        <w:jc w:val="both"/>
      </w:pPr>
      <w:r>
        <w:rPr>
          <w:rFonts w:ascii="Arial" w:cs="Arial" w:eastAsia="Arial" w:hAnsi="Arial"/>
          <w:sz w:val="22"/>
          <w:szCs w:val="22"/>
        </w:rPr>
        <w:t xml:space="preserve">Mrs. Priya Nair,</w:t>
      </w:r>
    </w:p>
    <w:p>
      <w:pPr>
        <w:spacing w:after="160"/>
        <w:jc w:val="both"/>
      </w:pPr>
      <w:r>
        <w:rPr>
          <w:rFonts w:ascii="Arial" w:cs="Arial" w:eastAsia="Arial" w:hAnsi="Arial"/>
          <w:sz w:val="22"/>
          <w:szCs w:val="22"/>
        </w:rPr>
        <w:t xml:space="preserve">W/o Mr. Arjun Nair,</w:t>
      </w:r>
    </w:p>
    <w:p>
      <w:pPr>
        <w:spacing w:after="160"/>
        <w:jc w:val="both"/>
      </w:pPr>
      <w:r>
        <w:rPr>
          <w:rFonts w:ascii="Arial" w:cs="Arial" w:eastAsia="Arial" w:hAnsi="Arial"/>
          <w:sz w:val="22"/>
          <w:szCs w:val="22"/>
        </w:rPr>
        <w:t xml:space="preserve">aged about 33 years,</w:t>
      </w:r>
    </w:p>
    <w:p>
      <w:pPr>
        <w:spacing w:after="160"/>
        <w:jc w:val="both"/>
      </w:pPr>
      <w:r>
        <w:rPr>
          <w:rFonts w:ascii="Arial" w:cs="Arial" w:eastAsia="Arial" w:hAnsi="Arial"/>
          <w:sz w:val="22"/>
          <w:szCs w:val="22"/>
        </w:rPr>
        <w:t xml:space="preserve">residing at Flat No. 7B, Orchid Towers, [City] – [PIN]</w:t>
      </w:r>
    </w:p>
    <w:p>
      <w:pPr>
        <w:spacing w:after="200" w:before="200"/>
        <w:jc w:val="center"/>
      </w:pPr>
      <w:r>
        <w:rPr>
          <w:rFonts w:ascii="Arial" w:cs="Arial" w:eastAsia="Arial" w:hAnsi="Arial"/>
          <w:b/>
          <w:bCs/>
          <w:sz w:val="22"/>
          <w:szCs w:val="22"/>
        </w:rPr>
        <w:t xml:space="preserve">.............................................................................. PETITIONER</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Arjun Nair,</w:t>
      </w:r>
    </w:p>
    <w:p>
      <w:pPr>
        <w:spacing w:after="160"/>
        <w:jc w:val="both"/>
      </w:pPr>
      <w:r>
        <w:rPr>
          <w:rFonts w:ascii="Arial" w:cs="Arial" w:eastAsia="Arial" w:hAnsi="Arial"/>
          <w:sz w:val="22"/>
          <w:szCs w:val="22"/>
        </w:rPr>
        <w:t xml:space="preserve">S/o Mr. Mohan Nair,</w:t>
      </w:r>
    </w:p>
    <w:p>
      <w:pPr>
        <w:spacing w:after="160"/>
        <w:jc w:val="both"/>
      </w:pPr>
      <w:r>
        <w:rPr>
          <w:rFonts w:ascii="Arial" w:cs="Arial" w:eastAsia="Arial" w:hAnsi="Arial"/>
          <w:sz w:val="22"/>
          <w:szCs w:val="22"/>
        </w:rPr>
        <w:t xml:space="preserve">aged about 36 years,</w:t>
      </w:r>
    </w:p>
    <w:p>
      <w:pPr>
        <w:spacing w:after="160"/>
        <w:jc w:val="both"/>
      </w:pPr>
      <w:r>
        <w:rPr>
          <w:rFonts w:ascii="Arial" w:cs="Arial" w:eastAsia="Arial" w:hAnsi="Arial"/>
          <w:sz w:val="22"/>
          <w:szCs w:val="22"/>
        </w:rPr>
        <w:t xml:space="preserve">residing at House No. 14, Park View Colony, [City] – [PIN]</w:t>
      </w:r>
    </w:p>
    <w:p>
      <w:pPr>
        <w:spacing w:after="160"/>
        <w:jc w:val="both"/>
      </w:pPr>
      <w:r>
        <w:rPr>
          <w:rFonts w:ascii="Arial" w:cs="Arial" w:eastAsia="Arial" w:hAnsi="Arial"/>
          <w:sz w:val="22"/>
          <w:szCs w:val="22"/>
        </w:rPr>
        <w:t xml:space="preserve">.............................................................................. RESPONDENT</w:t>
      </w:r>
    </w:p>
    <w:p>
      <w:pPr>
        <w:spacing w:after="160"/>
        <w:jc w:val="both"/>
      </w:pPr>
      <w:r>
        <w:rPr>
          <w:rFonts w:ascii="Arial" w:cs="Arial" w:eastAsia="Arial" w:hAnsi="Arial"/>
          <w:sz w:val="22"/>
          <w:szCs w:val="22"/>
        </w:rPr>
        <w:t xml:space="preserve">PETITION FOR DISSOLUTION OF MARRIAGE BY A DECREE OF DIVORCE ON THE GROUND OF CRUELTY UNDER SECTION 13(1)(i-a) OF THE HINDU MARRIAGE ACT, 1955</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marriage between the Petitioner and the Respondent was solemnised on 14th February 2019, according to Hindu rites and customs, at [Venue], [City], in the presence of family members and relatives of both parties. A true copy of the marriage certificate/invitation card is filed herewith and marked as ANNEXURE H-1.</w:t>
      </w:r>
    </w:p>
    <w:p>
      <w:pPr>
        <w:spacing w:after="160"/>
        <w:jc w:val="both"/>
      </w:pPr>
      <w:r>
        <w:rPr>
          <w:rFonts w:ascii="Arial" w:cs="Arial" w:eastAsia="Arial" w:hAnsi="Arial"/>
          <w:sz w:val="22"/>
          <w:szCs w:val="22"/>
        </w:rPr>
        <w:t xml:space="preserve">2. That out of the said wedlock, one daughter, Miss Diya Nair, was born on 10th October 2020, who is presently aged about 5 years and is in the custody of the Petitioner.</w:t>
      </w:r>
    </w:p>
    <w:p>
      <w:pPr>
        <w:spacing w:after="160"/>
        <w:jc w:val="both"/>
      </w:pPr>
      <w:r>
        <w:rPr>
          <w:rFonts w:ascii="Arial" w:cs="Arial" w:eastAsia="Arial" w:hAnsi="Arial"/>
          <w:sz w:val="22"/>
          <w:szCs w:val="22"/>
        </w:rPr>
        <w:t xml:space="preserve">3. That both parties are Hindus by religion and are governed by the provisions of the Hindu Marriage Act, 1955, and at the time of the marriage, neither party had a spouse living, both were of sound mind, the Respondent had completed the age of 21 years, and the Petitioner had completed the age of 18 years, the parties not being within the degrees of prohibited relationship or sapinda relationship.</w:t>
      </w:r>
    </w:p>
    <w:p>
      <w:pPr>
        <w:spacing w:after="160"/>
        <w:jc w:val="both"/>
      </w:pPr>
      <w:r>
        <w:rPr>
          <w:rFonts w:ascii="Arial" w:cs="Arial" w:eastAsia="Arial" w:hAnsi="Arial"/>
          <w:sz w:val="22"/>
          <w:szCs w:val="22"/>
        </w:rPr>
        <w:t xml:space="preserve">4. That for the first year of the marriage, the parties resided together harmoniously; however, thereafter, the behaviour and conduct of the Respondent towards the Petitioner began to deteriorate progressively, and the Respondent commenced subjecting the Petitioner to sustained physical and mental cruelty, as more particularly set out hereinbelow.</w:t>
      </w:r>
    </w:p>
    <w:p>
      <w:pPr>
        <w:spacing w:after="160"/>
        <w:jc w:val="both"/>
      </w:pPr>
      <w:r>
        <w:rPr>
          <w:rFonts w:ascii="Arial" w:cs="Arial" w:eastAsia="Arial" w:hAnsi="Arial"/>
          <w:sz w:val="22"/>
          <w:szCs w:val="22"/>
        </w:rPr>
        <w:t xml:space="preserve">5. That the Respondent has, throughout the marriage, been in the habit of consuming alcohol excessively, and on most evenings, returns home in an inebriated state and subjects the Petitioner to verbal abuse, using filthy and derogatory language, often in the presence of the minor daughter and household help, causing immense humiliation and mental anguish to the Petitioner.</w:t>
      </w:r>
    </w:p>
    <w:p>
      <w:pPr>
        <w:spacing w:after="160"/>
        <w:jc w:val="both"/>
      </w:pPr>
      <w:r>
        <w:rPr>
          <w:rFonts w:ascii="Arial" w:cs="Arial" w:eastAsia="Arial" w:hAnsi="Arial"/>
          <w:sz w:val="22"/>
          <w:szCs w:val="22"/>
        </w:rPr>
        <w:t xml:space="preserve">6. That on or about 12th August 2022, the Respondent, in a fit of drunken rage, physically assaulted the Petitioner by slapping her and pushing her against a wall, causing her to sustain bruises on her arm and a swelling near her left eye, for which the Petitioner had to seek medical treatment at [Hospital Name], [City]. A true copy of the medical report/discharge summary dated 13th August 2022 is filed herewith and marked as ANNEXURE H-2.</w:t>
      </w:r>
    </w:p>
    <w:p>
      <w:pPr>
        <w:spacing w:after="160"/>
        <w:jc w:val="both"/>
      </w:pPr>
      <w:r>
        <w:rPr>
          <w:rFonts w:ascii="Arial" w:cs="Arial" w:eastAsia="Arial" w:hAnsi="Arial"/>
          <w:sz w:val="22"/>
          <w:szCs w:val="22"/>
        </w:rPr>
        <w:t xml:space="preserve">7. That on the said occasion, the Petitioner lodged a complaint with the Police Station [Name], [City], regarding the said incident of assault, true copy whereof is filed herewith and marked as ANNEXURE H-3; however, on the assurance and intervention of elders and relatives from both families, and in the hope that the Respondent would mend his ways for the sake of their then two-year-old daughter, the Petitioner did not pursue the complaint further and chose to continue residing with the Respondent.</w:t>
      </w:r>
    </w:p>
    <w:p>
      <w:pPr>
        <w:spacing w:after="160"/>
        <w:jc w:val="both"/>
      </w:pPr>
      <w:r>
        <w:rPr>
          <w:rFonts w:ascii="Arial" w:cs="Arial" w:eastAsia="Arial" w:hAnsi="Arial"/>
          <w:sz w:val="22"/>
          <w:szCs w:val="22"/>
        </w:rPr>
        <w:t xml:space="preserve">8. That, regrettably, the conduct of the Respondent did not improve, and the Respondent has, on numerous subsequent occasions, continued to subject the Petitioner to humiliating and demeaning treatment, including: (a) repeatedly taunting the Petitioner about her physical appearance and her family's financial status in front of relatives and friends; (b) threatening, on more than one occasion, to throw the Petitioner and the minor daughter out of the matrimonial home; (c) refusing to provide adequate household and medical expenses despite having sufficient means; and (d) on several occasions, since the year 2023, denying the Petitioner access to a reasonable amount of money even for the minor daughter's school fees and medical needs, compelling the Petitioner to seek financial support from her own parents.</w:t>
      </w:r>
    </w:p>
    <w:p>
      <w:pPr>
        <w:spacing w:after="160"/>
        <w:jc w:val="both"/>
      </w:pPr>
      <w:r>
        <w:rPr>
          <w:rFonts w:ascii="Arial" w:cs="Arial" w:eastAsia="Arial" w:hAnsi="Arial"/>
          <w:sz w:val="22"/>
          <w:szCs w:val="22"/>
        </w:rPr>
        <w:t xml:space="preserve">9. That on 5th January 2026, the Respondent, during a heated argument, declared in the presence of the minor daughter that he no longer wished to continue the marriage and asked the Petitioner to leave the matrimonial home; since then, the Petitioner has been compelled to reside separately, along with the minor daughter, at her parental residence at Flat No. 7B, Orchid Towers, [City], and the parties have not cohabited since that date.</w:t>
      </w:r>
    </w:p>
    <w:p>
      <w:pPr>
        <w:spacing w:after="160"/>
        <w:jc w:val="both"/>
      </w:pPr>
      <w:r>
        <w:rPr>
          <w:rFonts w:ascii="Arial" w:cs="Arial" w:eastAsia="Arial" w:hAnsi="Arial"/>
          <w:sz w:val="22"/>
          <w:szCs w:val="22"/>
        </w:rPr>
        <w:t xml:space="preserve">10. That the cumulative effect of the aforesaid conduct of the Respondent over a sustained period has caused the Petitioner such grave mental pain, suffering, and anguish that it has become impossible for the Petitioner to continue to live with the Respondent, and the said conduct of the Respondent amounts to "cruelty" within the meaning of Section 13(1)(i-a) of the Hindu Marriage Act, 1955.</w:t>
      </w:r>
    </w:p>
    <w:p>
      <w:pPr>
        <w:spacing w:after="160"/>
        <w:jc w:val="both"/>
      </w:pPr>
      <w:r>
        <w:rPr>
          <w:rFonts w:ascii="Arial" w:cs="Arial" w:eastAsia="Arial" w:hAnsi="Arial"/>
          <w:sz w:val="22"/>
          <w:szCs w:val="22"/>
        </w:rPr>
        <w:t xml:space="preserve">11. That the marriage between the parties has irretrievably broken down, and there exists no possibility whatsoever of reconciliation between the parties, despite the intervention of family members and elders on more than one occasion.</w:t>
      </w:r>
    </w:p>
    <w:p>
      <w:pPr>
        <w:spacing w:after="160"/>
        <w:jc w:val="both"/>
      </w:pPr>
      <w:r>
        <w:rPr>
          <w:rFonts w:ascii="Arial" w:cs="Arial" w:eastAsia="Arial" w:hAnsi="Arial"/>
          <w:sz w:val="22"/>
          <w:szCs w:val="22"/>
        </w:rPr>
        <w:t xml:space="preserve">12. That the Petitioner has not, in any manner, condoned the acts of cruelty committed by the Respondent, nor is the present petition filed in collusion with the Respondent, nor is there any unnecessary or improper delay in the institution of the present proceedings, the same having been filed promptly after the parties finally separated on 5th January 2026, and the Petitioner is not taking advantage of her own wrong for the purposes of obtaining the present relief.</w:t>
      </w:r>
    </w:p>
    <w:p>
      <w:pPr>
        <w:spacing w:after="160"/>
        <w:jc w:val="both"/>
      </w:pPr>
      <w:r>
        <w:rPr>
          <w:rFonts w:ascii="Arial" w:cs="Arial" w:eastAsia="Arial" w:hAnsi="Arial"/>
          <w:sz w:val="22"/>
          <w:szCs w:val="22"/>
        </w:rPr>
        <w:t xml:space="preserve">13. That this Hon'ble Court has jurisdiction to entertain the present petition, the marriage having been solemnised within, the parties having last resided together within, and the Petitioner presently residing within, the local limits of the jurisdiction of this Hon'ble Court.</w:t>
      </w:r>
    </w:p>
    <w:p>
      <w:pPr>
        <w:spacing w:after="160"/>
        <w:jc w:val="both"/>
      </w:pPr>
      <w:r>
        <w:rPr>
          <w:rFonts w:ascii="Arial" w:cs="Arial" w:eastAsia="Arial" w:hAnsi="Arial"/>
          <w:sz w:val="22"/>
          <w:szCs w:val="22"/>
        </w:rPr>
        <w:t xml:space="preserve">14. That the Petitioner is presently not employed and has no independent source of income, while the Respondent is gainfully employed as a Senior Manager with [Company Name], drawing a monthly salary of approximately Rs. 1,20,000/-, apart from other perquisites and benefits.</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pass a decree of divorce, dissolving the marriage solemnised between the Petitioner and the Respondent on 14th February 2019, on the ground of cruelty under Section 13(1)(i-a) of the Hindu Marriage Act, 1955;</w:t>
      </w:r>
    </w:p>
    <w:p>
      <w:pPr>
        <w:spacing w:after="160"/>
        <w:jc w:val="both"/>
      </w:pPr>
      <w:r>
        <w:rPr>
          <w:rFonts w:ascii="Arial" w:cs="Arial" w:eastAsia="Arial" w:hAnsi="Arial"/>
          <w:sz w:val="22"/>
          <w:szCs w:val="22"/>
        </w:rPr>
        <w:t xml:space="preserve">(b) grant permanent custody of the minor daughter, Miss Diya Nair, to the Petitioner, with reasonable visitation rights to the Respondent;</w:t>
      </w:r>
    </w:p>
    <w:p>
      <w:pPr>
        <w:spacing w:after="160"/>
        <w:jc w:val="both"/>
      </w:pPr>
      <w:r>
        <w:rPr>
          <w:rFonts w:ascii="Arial" w:cs="Arial" w:eastAsia="Arial" w:hAnsi="Arial"/>
          <w:sz w:val="22"/>
          <w:szCs w:val="22"/>
        </w:rPr>
        <w:t xml:space="preserve">(c) direct the Respondent to pay maintenance pendente lite under Section 24 of the Hindu Marriage Act, 1955, during the pendency of the present proceedings, at such rate as this Hon'ble Court may deem fit, for the Petitioner and the minor daughter;</w:t>
      </w:r>
    </w:p>
    <w:p>
      <w:pPr>
        <w:spacing w:after="160"/>
        <w:jc w:val="both"/>
      </w:pPr>
      <w:r>
        <w:rPr>
          <w:rFonts w:ascii="Arial" w:cs="Arial" w:eastAsia="Arial" w:hAnsi="Arial"/>
          <w:sz w:val="22"/>
          <w:szCs w:val="22"/>
        </w:rPr>
        <w:t xml:space="preserve">(d) direct the Respondent to pay permanent alimony and maintenance under Section 25 of the Hindu Marriage Act, 1955, in a lump sum and/or by way of monthly payments, as this Hon'ble Court may deem fit, for the Petitioner and the minor daughter;</w:t>
      </w:r>
    </w:p>
    <w:p>
      <w:pPr>
        <w:spacing w:after="160"/>
        <w:jc w:val="both"/>
      </w:pPr>
      <w:r>
        <w:rPr>
          <w:rFonts w:ascii="Arial" w:cs="Arial" w:eastAsia="Arial" w:hAnsi="Arial"/>
          <w:sz w:val="22"/>
          <w:szCs w:val="22"/>
        </w:rPr>
        <w:t xml:space="preserve">(e) award the costs of the present proceedings to the Petitioner; and</w:t>
      </w:r>
    </w:p>
    <w:p>
      <w:pPr>
        <w:spacing w:after="160"/>
        <w:jc w:val="both"/>
      </w:pPr>
      <w:r>
        <w:rPr>
          <w:rFonts w:ascii="Arial" w:cs="Arial" w:eastAsia="Arial" w:hAnsi="Arial"/>
          <w:sz w:val="22"/>
          <w:szCs w:val="22"/>
        </w:rPr>
        <w:t xml:space="preserve">(f) pass such other order(s) as this Hon'ble Court may deem fit and proper in the interest of justice.</w:t>
      </w:r>
    </w:p>
    <w:p>
      <w:pPr>
        <w:spacing w:after="200" w:before="200"/>
        <w:jc w:val="center"/>
      </w:pPr>
      <w:r>
        <w:rPr>
          <w:rFonts w:ascii="Arial" w:cs="Arial" w:eastAsia="Arial" w:hAnsi="Arial"/>
          <w:b/>
          <w:bCs/>
          <w:sz w:val="22"/>
          <w:szCs w:val="22"/>
        </w:rPr>
        <w:t xml:space="preserve">PETITIONER</w:t>
      </w:r>
    </w:p>
    <w:p>
      <w:pPr>
        <w:spacing w:after="160"/>
        <w:jc w:val="both"/>
      </w:pPr>
      <w:r>
        <w:rPr>
          <w:rFonts w:ascii="Arial" w:cs="Arial" w:eastAsia="Arial" w:hAnsi="Arial"/>
          <w:sz w:val="22"/>
          <w:szCs w:val="22"/>
        </w:rPr>
        <w:t xml:space="preserve">Through Counsel</w:t>
      </w:r>
    </w:p>
    <w:p>
      <w:pPr>
        <w:spacing w:after="200" w:before="200"/>
        <w:jc w:val="center"/>
      </w:pPr>
      <w:r>
        <w:rPr>
          <w:rFonts w:ascii="Arial" w:cs="Arial" w:eastAsia="Arial" w:hAnsi="Arial"/>
          <w:b/>
          <w:bCs/>
          <w:sz w:val="22"/>
          <w:szCs w:val="22"/>
        </w:rPr>
        <w:t xml:space="preserve">VERIFICATION</w:t>
      </w:r>
    </w:p>
    <w:p>
      <w:pPr>
        <w:spacing w:after="160"/>
        <w:jc w:val="both"/>
      </w:pPr>
      <w:r>
        <w:rPr>
          <w:rFonts w:ascii="Arial" w:cs="Arial" w:eastAsia="Arial" w:hAnsi="Arial"/>
          <w:sz w:val="22"/>
          <w:szCs w:val="22"/>
        </w:rPr>
        <w:t xml:space="preserve">I, Mrs. Priya Nair, the Petitioner above named, do hereby verify that the contents of paragraphs 1 to 14 above are true and correct to my knowledge and belief, save those stated to be on information and belief, which I believe to be true, and nothing material has been concealed therefrom.</w:t>
      </w:r>
    </w:p>
    <w:p>
      <w:pPr>
        <w:spacing w:after="160"/>
        <w:jc w:val="both"/>
      </w:pPr>
      <w:r>
        <w:rPr>
          <w:rFonts w:ascii="Arial" w:cs="Arial" w:eastAsia="Arial" w:hAnsi="Arial"/>
          <w:sz w:val="22"/>
          <w:szCs w:val="22"/>
        </w:rPr>
        <w:t xml:space="preserve">Verified at [City] on this _____ day of ________, 2026.</w:t>
      </w:r>
    </w:p>
    <w:p>
      <w:pPr>
        <w:spacing w:after="160"/>
        <w:jc w:val="both"/>
      </w:pPr>
      <w:r>
        <w:rPr>
          <w:rFonts w:ascii="Arial" w:cs="Arial" w:eastAsia="Arial" w:hAnsi="Arial"/>
          <w:sz w:val="22"/>
          <w:szCs w:val="22"/>
        </w:rPr>
        <w:t xml:space="preserve">DEPONENT</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Marriage certificate/invitation card — Annexure H-1</w:t>
      </w:r>
    </w:p>
    <w:p>
      <w:pPr>
        <w:spacing w:after="160"/>
        <w:jc w:val="both"/>
      </w:pPr>
      <w:r>
        <w:rPr>
          <w:rFonts w:ascii="Arial" w:cs="Arial" w:eastAsia="Arial" w:hAnsi="Arial"/>
          <w:sz w:val="22"/>
          <w:szCs w:val="22"/>
        </w:rPr>
        <w:t xml:space="preserve">2. Medical report/discharge summary dated 13.8.2022 — Annexure H-2</w:t>
      </w:r>
    </w:p>
    <w:p>
      <w:pPr>
        <w:spacing w:after="160"/>
        <w:jc w:val="both"/>
      </w:pPr>
      <w:r>
        <w:rPr>
          <w:rFonts w:ascii="Arial" w:cs="Arial" w:eastAsia="Arial" w:hAnsi="Arial"/>
          <w:sz w:val="22"/>
          <w:szCs w:val="22"/>
        </w:rPr>
        <w:t xml:space="preserve">3. Copy of police complaint — Annexure H-3</w:t>
      </w:r>
    </w:p>
    <w:p>
      <w:pPr>
        <w:spacing w:after="160"/>
        <w:jc w:val="both"/>
      </w:pPr>
      <w:r>
        <w:rPr>
          <w:rFonts w:ascii="Arial" w:cs="Arial" w:eastAsia="Arial" w:hAnsi="Arial"/>
          <w:sz w:val="22"/>
          <w:szCs w:val="22"/>
        </w:rPr>
        <w:t xml:space="preserve">4. Birth certificate of the minor daughter</w:t>
      </w:r>
    </w:p>
    <w:p>
      <w:pPr>
        <w:spacing w:after="160"/>
        <w:jc w:val="both"/>
      </w:pPr>
      <w:r>
        <w:rPr>
          <w:rFonts w:ascii="Arial" w:cs="Arial" w:eastAsia="Arial" w:hAnsi="Arial"/>
          <w:sz w:val="22"/>
          <w:szCs w:val="22"/>
        </w:rPr>
        <w:t xml:space="preserve">5. Vakalatnama</w:t>
      </w:r>
    </w:p>
    <w:p>
      <w:r>
        <w:br w:type="page"/>
      </w:r>
    </w:p>
    <w:p>
      <w:pPr>
        <w:pStyle w:val="Heading1"/>
      </w:pPr>
      <w:r>
        <w:t xml:space="preserve">10. ADJOURNMENT APPLICATION</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An adjournment application is an application made by a party (or, occasionally, suo motu considered by the court) seeking postponement of a hearing, trial, or any stage of judicial proceedings to a later date, on account of circumstances that make it inconvenient, impossible, or unjust to proceed on the date originally fixed. While adjournments are an inevitable and, at times, necessary feature of litigation — required to accommodate genuine difficulties such as the illness of a party, counsel, or witness, non-availability of evidence, or settlement negotiations in progress — the law has, particularly in recent decades, taken an increasingly stringent view of adjournments sought merely to delay proceedings, recognising that the liberal grant of adjournments has historically been one of the principal causes of chronic delay in the Indian judicial system. The law on adjournments in civil matters is principally contained in Order XVII of the Code of Civil Procedure, 1908 ("CPC"), as substantially amended by the CPC (Amendment) Act, 2002.</w:t>
      </w:r>
    </w:p>
    <w:p>
      <w:pPr>
        <w:pStyle w:val="Heading2"/>
      </w:pPr>
      <w:r>
        <w:t xml:space="preserve">2. Order XVII Rule 1 — Court's Power to Grant Time</w:t>
      </w:r>
    </w:p>
    <w:p>
      <w:pPr>
        <w:spacing w:after="160"/>
        <w:jc w:val="both"/>
      </w:pPr>
      <w:r>
        <w:rPr>
          <w:rFonts w:ascii="Arial" w:cs="Arial" w:eastAsia="Arial" w:hAnsi="Arial"/>
          <w:sz w:val="22"/>
          <w:szCs w:val="22"/>
        </w:rPr>
        <w:t xml:space="preserve">Order XVII Rule 1(1) CPC empowers the court, at any stage of the suit, if sufficient cause is shown, to grant time to the parties, or to any of them, and to adjourn the hearing of the suit, recording the reasons for such adjournment in writing. The expression "sufficient cause" is not exhaustively defined, but has been judicially construed to mean a cause that is beyond the control of the party seeking the adjournment, and not a cause attributable to the negligence, lack of diligence, or dilatory tactics of the party or its counsel.</w:t>
      </w:r>
    </w:p>
    <w:p>
      <w:pPr>
        <w:pStyle w:val="Heading2"/>
      </w:pPr>
      <w:r>
        <w:t xml:space="preserve">3. The Proviso to Rule 1(1) — The "Three Adjournments" Rule</w:t>
      </w:r>
    </w:p>
    <w:p>
      <w:pPr>
        <w:spacing w:after="160"/>
        <w:jc w:val="both"/>
      </w:pPr>
      <w:r>
        <w:rPr>
          <w:rFonts w:ascii="Arial" w:cs="Arial" w:eastAsia="Arial" w:hAnsi="Arial"/>
          <w:sz w:val="22"/>
          <w:szCs w:val="22"/>
        </w:rPr>
        <w:t xml:space="preserve">The proviso to Order XVII Rule 1(1), inserted by the 2002 amendment, is a critical, deliberately restrictive provision, and provides that no such adjournment shall be granted more than three times to a party during the hearing of the suit. This provision was a direct legislative response to the chronic problem of cases being adjourned repeatedly, often dozens of times, at the instance of one party or the other, leading to inordinate delay in the disposal of civil suits. While courts have, in practice, sometimes been called upon to interpret the rigidity of this proviso (and have, in certain circumstances, taken the view that the rule, though salutary, must be applied with a degree of pragmatism so as not to cause manifest injustice where the circumstances genuinely warrant a further adjournment), the proviso represents an unambiguous legislative direction towards minimising adjournments and expediting trials.</w:t>
      </w:r>
    </w:p>
    <w:p>
      <w:pPr>
        <w:pStyle w:val="Heading2"/>
      </w:pPr>
      <w:r>
        <w:t xml:space="preserve">4. Costs as a Condition for Adjournment — Rule 1(2)</w:t>
      </w:r>
    </w:p>
    <w:p>
      <w:pPr>
        <w:spacing w:after="160"/>
        <w:jc w:val="both"/>
      </w:pPr>
      <w:r>
        <w:rPr>
          <w:rFonts w:ascii="Arial" w:cs="Arial" w:eastAsia="Arial" w:hAnsi="Arial"/>
          <w:sz w:val="22"/>
          <w:szCs w:val="22"/>
        </w:rPr>
        <w:t xml:space="preserve">Order XVII Rule 1(2), as substituted by the 2002 amendment, mandates that, in granting time to parties for any purpose, the court is, save in exceptional circumstances, required to fix dates for all the various stages of the suit, including the date for filing the written statement, replication, framing of issues, hearing of witnesses, and final arguments, and the court is required to endeavour to follow the time-table so fixed and to proceed from day-to-day examination of witnesses, once such examination has begun, until all the witnesses in attendance have been examined. Importantly, Order XVII Rule 1(2), proviso, requires that where the date is fixed for examination of witnesses of a party, it is open to the opposite party to bear the expenses occasioned by the adjournment in certain circumstances, and the court is empowered to impose costs (including, in appropriate cases, exemplary costs) as a condition for granting an adjournment, to compensate the opposite party for the loss of a day's hearing and the unnecessary expense and inconvenience caused, and to act as a deterrent against frivolous or dilatory adjournment requests.</w:t>
      </w:r>
    </w:p>
    <w:p>
      <w:pPr>
        <w:pStyle w:val="Heading2"/>
      </w:pPr>
      <w:r>
        <w:t xml:space="preserve">5. Order XVII Rule 2 — Procedure Where Parties Fail to Appear on Date Fixed for Hearing</w:t>
      </w:r>
    </w:p>
    <w:p>
      <w:pPr>
        <w:spacing w:after="160"/>
        <w:jc w:val="both"/>
      </w:pPr>
      <w:r>
        <w:rPr>
          <w:rFonts w:ascii="Arial" w:cs="Arial" w:eastAsia="Arial" w:hAnsi="Arial"/>
          <w:sz w:val="22"/>
          <w:szCs w:val="22"/>
        </w:rPr>
        <w:t xml:space="preserve">Order XVII Rule 2 deals with the situation where, on a date fixed for hearing of the suit, the parties, or any of them, fail to appear, and the court, in such a case, may proceed to dispose of the suit in one of the modes directed under Order IX CPC (i.e., dismissal of the suit for default of the plaintiff, or proceeding ex parte against the defendant), or make such other order as it thinks fit. The Explanation to Rule 2 clarifies that where the evidence, or a substantial portion thereof, of any party has already been recorded, and such party fails to appear on a date fixed for further hearing, the court may, in its discretion, proceed with the case as if the said party were present, rather than dismissing the suit or proceeding entirely ex parte without regard to the evidence already on record.</w:t>
      </w:r>
    </w:p>
    <w:p>
      <w:pPr>
        <w:pStyle w:val="Heading2"/>
      </w:pPr>
      <w:r>
        <w:t xml:space="preserve">6. Doctrine of "Sufficient Cause"</w:t>
      </w:r>
    </w:p>
    <w:p>
      <w:pPr>
        <w:spacing w:after="160"/>
        <w:jc w:val="both"/>
      </w:pPr>
      <w:r>
        <w:rPr>
          <w:rFonts w:ascii="Arial" w:cs="Arial" w:eastAsia="Arial" w:hAnsi="Arial"/>
          <w:sz w:val="22"/>
          <w:szCs w:val="22"/>
        </w:rPr>
        <w:t xml:space="preserve">Courts have, over time, articulated several illustrative (though non-exhaustive) categories of what may, or may not, constitute "sufficient cause" for purposes of adjournment, including:</w:t>
      </w:r>
    </w:p>
    <w:p>
      <w:pPr>
        <w:spacing w:after="160"/>
        <w:jc w:val="both"/>
      </w:pPr>
      <w:r>
        <w:rPr>
          <w:rFonts w:ascii="Arial" w:cs="Arial" w:eastAsia="Arial" w:hAnsi="Arial"/>
          <w:b/>
          <w:bCs/>
          <w:sz w:val="22"/>
          <w:szCs w:val="22"/>
        </w:rPr>
        <w:t xml:space="preserve">Generally accepted as sufficient cause:</w:t>
      </w:r>
    </w:p>
    <w:p>
      <w:pPr>
        <w:spacing w:after="160"/>
        <w:ind w:left="360"/>
        <w:jc w:val="both"/>
      </w:pPr>
      <w:r>
        <w:rPr>
          <w:rFonts w:ascii="Arial" w:cs="Arial" w:eastAsia="Arial" w:hAnsi="Arial"/>
          <w:sz w:val="22"/>
          <w:szCs w:val="22"/>
        </w:rPr>
        <w:t xml:space="preserve">(i) sudden illness of the party, counsel, or a material witness, supported by appropriate medical evidence;</w:t>
      </w:r>
    </w:p>
    <w:p>
      <w:pPr>
        <w:spacing w:after="160"/>
        <w:ind w:left="360"/>
        <w:jc w:val="both"/>
      </w:pPr>
      <w:r>
        <w:rPr>
          <w:rFonts w:ascii="Arial" w:cs="Arial" w:eastAsia="Arial" w:hAnsi="Arial"/>
          <w:sz w:val="22"/>
          <w:szCs w:val="22"/>
        </w:rPr>
        <w:t xml:space="preserve">(ii) death of a close family member of the party or counsel;</w:t>
      </w:r>
    </w:p>
    <w:p>
      <w:pPr>
        <w:spacing w:after="160"/>
        <w:ind w:left="360"/>
        <w:jc w:val="both"/>
      </w:pPr>
      <w:r>
        <w:rPr>
          <w:rFonts w:ascii="Arial" w:cs="Arial" w:eastAsia="Arial" w:hAnsi="Arial"/>
          <w:sz w:val="22"/>
          <w:szCs w:val="22"/>
        </w:rPr>
        <w:t xml:space="preserve">(iii) genuine difficulty in securing the attendance of a witness despite due diligence and issuance of summons in time;</w:t>
      </w:r>
    </w:p>
    <w:p>
      <w:pPr>
        <w:spacing w:after="160"/>
        <w:ind w:left="360"/>
        <w:jc w:val="both"/>
      </w:pPr>
      <w:r>
        <w:rPr>
          <w:rFonts w:ascii="Arial" w:cs="Arial" w:eastAsia="Arial" w:hAnsi="Arial"/>
          <w:sz w:val="22"/>
          <w:szCs w:val="22"/>
        </w:rPr>
        <w:t xml:space="preserve">(iv) settlement negotiations bona fide in progress between the parties;</w:t>
      </w:r>
    </w:p>
    <w:p>
      <w:pPr>
        <w:spacing w:after="160"/>
        <w:ind w:left="360"/>
        <w:jc w:val="both"/>
      </w:pPr>
      <w:r>
        <w:rPr>
          <w:rFonts w:ascii="Arial" w:cs="Arial" w:eastAsia="Arial" w:hAnsi="Arial"/>
          <w:sz w:val="22"/>
          <w:szCs w:val="22"/>
        </w:rPr>
        <w:t xml:space="preserve">(v) change of counsel for genuine reasons, where the newly engaged counsel requires reasonable time to study the brief (though courts are increasingly cautious of this being used as a dilatory device on the eve of final hearing).</w:t>
      </w:r>
    </w:p>
    <w:p>
      <w:pPr>
        <w:spacing w:after="160"/>
        <w:jc w:val="both"/>
      </w:pPr>
      <w:r>
        <w:rPr>
          <w:rFonts w:ascii="Arial" w:cs="Arial" w:eastAsia="Arial" w:hAnsi="Arial"/>
          <w:b/>
          <w:bCs/>
          <w:sz w:val="22"/>
          <w:szCs w:val="22"/>
        </w:rPr>
        <w:t xml:space="preserve">Generally not regarded as sufficient cause:</w:t>
      </w:r>
    </w:p>
    <w:p>
      <w:pPr>
        <w:spacing w:after="160"/>
        <w:ind w:left="360"/>
        <w:jc w:val="both"/>
      </w:pPr>
      <w:r>
        <w:rPr>
          <w:rFonts w:ascii="Arial" w:cs="Arial" w:eastAsia="Arial" w:hAnsi="Arial"/>
          <w:sz w:val="22"/>
          <w:szCs w:val="22"/>
        </w:rPr>
        <w:t xml:space="preserve">(i) mere inconvenience or pressure of other professional engagements of counsel, particularly where such pressure was foreseeable and the matter could have been entrusted to an associate;</w:t>
      </w:r>
    </w:p>
    <w:p>
      <w:pPr>
        <w:spacing w:after="160"/>
        <w:ind w:left="360"/>
        <w:jc w:val="both"/>
      </w:pPr>
      <w:r>
        <w:rPr>
          <w:rFonts w:ascii="Arial" w:cs="Arial" w:eastAsia="Arial" w:hAnsi="Arial"/>
          <w:sz w:val="22"/>
          <w:szCs w:val="22"/>
        </w:rPr>
        <w:t xml:space="preserve">(ii) failure to prepare the case in time despite adequate opportunity;</w:t>
      </w:r>
    </w:p>
    <w:p>
      <w:pPr>
        <w:spacing w:after="160"/>
        <w:ind w:left="360"/>
        <w:jc w:val="both"/>
      </w:pPr>
      <w:r>
        <w:rPr>
          <w:rFonts w:ascii="Arial" w:cs="Arial" w:eastAsia="Arial" w:hAnsi="Arial"/>
          <w:sz w:val="22"/>
          <w:szCs w:val="22"/>
        </w:rPr>
        <w:t xml:space="preserve">(iii) repeated and pattern-based requests for adjournment without any new or compelling justification;</w:t>
      </w:r>
    </w:p>
    <w:p>
      <w:pPr>
        <w:spacing w:after="160"/>
        <w:ind w:left="360"/>
        <w:jc w:val="both"/>
      </w:pPr>
      <w:r>
        <w:rPr>
          <w:rFonts w:ascii="Arial" w:cs="Arial" w:eastAsia="Arial" w:hAnsi="Arial"/>
          <w:sz w:val="22"/>
          <w:szCs w:val="22"/>
        </w:rPr>
        <w:t xml:space="preserve">(iv) tactical adjournments sought merely to gain time or to wear down the opposite party.</w:t>
      </w:r>
    </w:p>
    <w:p>
      <w:pPr>
        <w:pStyle w:val="Heading2"/>
      </w:pPr>
      <w:r>
        <w:t xml:space="preserve">7. Special Considerations: Adjournments at the Stage of Final Arguments / Cross-Examination</w:t>
      </w:r>
    </w:p>
    <w:p>
      <w:pPr>
        <w:spacing w:after="160"/>
        <w:jc w:val="both"/>
      </w:pPr>
      <w:r>
        <w:rPr>
          <w:rFonts w:ascii="Arial" w:cs="Arial" w:eastAsia="Arial" w:hAnsi="Arial"/>
          <w:sz w:val="22"/>
          <w:szCs w:val="22"/>
        </w:rPr>
        <w:t xml:space="preserve">Courts have taken a particularly strict view of adjournment requests once the recording of evidence has commenced or once a matter is listed for final arguments, recognising that piecemeal, repeatedly adjourned cross-examinations or arguments are especially detrimental to the truth-seeking process and to judicial efficiency. The principle of "day-to-day" recording of evidence embodied in Order XVII Rule 1(2) is intended precisely to prevent witnesses' testimony from being recorded over fragmented sittings spread across months or years, which can compromise both the integrity of the evidence and the fairness of cross-examination.</w:t>
      </w:r>
    </w:p>
    <w:p>
      <w:pPr>
        <w:pStyle w:val="Heading2"/>
      </w:pPr>
      <w:r>
        <w:t xml:space="preserve">8. Adjournment in Criminal Proceedings</w:t>
      </w:r>
    </w:p>
    <w:p>
      <w:pPr>
        <w:spacing w:after="160"/>
        <w:jc w:val="both"/>
      </w:pPr>
      <w:r>
        <w:rPr>
          <w:rFonts w:ascii="Arial" w:cs="Arial" w:eastAsia="Arial" w:hAnsi="Arial"/>
          <w:sz w:val="22"/>
          <w:szCs w:val="22"/>
        </w:rPr>
        <w:t xml:space="preserve">Although the present discussion is centred on civil procedure, it is worth noting, for completeness, that Section 309 of the Code of Criminal Procedure, 1973 (corresponding to Section 346 of the Bharatiya Nagarik Suraksha Sanhita, 2023) similarly mandates that, once examination of witnesses has begun, the same shall be continued from day to day until all witnesses in attendance have been examined, unless the court finds the adjournment of the same beyond the following day to be necessary for reasons to be recorded, underscoring a parallel legislative policy against piecemeal proceedings across both civil and criminal jurisdictions.</w:t>
      </w:r>
    </w:p>
    <w:p>
      <w:pPr>
        <w:pStyle w:val="Heading2"/>
      </w:pPr>
      <w:r>
        <w:t xml:space="preserve">9. Procedural Requirements of an Adjournment Application</w:t>
      </w:r>
    </w:p>
    <w:p>
      <w:pPr>
        <w:spacing w:after="160"/>
        <w:jc w:val="both"/>
      </w:pPr>
      <w:r>
        <w:rPr>
          <w:rFonts w:ascii="Arial" w:cs="Arial" w:eastAsia="Arial" w:hAnsi="Arial"/>
          <w:sz w:val="22"/>
          <w:szCs w:val="22"/>
        </w:rPr>
        <w:t xml:space="preserve">A properly drafted adjournment application should ordinarily contain:</w:t>
      </w:r>
    </w:p>
    <w:p>
      <w:pPr>
        <w:spacing w:after="160"/>
        <w:ind w:left="360"/>
        <w:jc w:val="both"/>
      </w:pPr>
      <w:r>
        <w:rPr>
          <w:rFonts w:ascii="Arial" w:cs="Arial" w:eastAsia="Arial" w:hAnsi="Arial"/>
          <w:sz w:val="22"/>
          <w:szCs w:val="22"/>
        </w:rPr>
        <w:t xml:space="preserve">(i) the case number, names of parties, and the stage at which the matter is presently listed;</w:t>
      </w:r>
    </w:p>
    <w:p>
      <w:pPr>
        <w:spacing w:after="160"/>
        <w:ind w:left="360"/>
        <w:jc w:val="both"/>
      </w:pPr>
      <w:r>
        <w:rPr>
          <w:rFonts w:ascii="Arial" w:cs="Arial" w:eastAsia="Arial" w:hAnsi="Arial"/>
          <w:sz w:val="22"/>
          <w:szCs w:val="22"/>
        </w:rPr>
        <w:t xml:space="preserve">(ii) a clear and specific statement of the reason(s) necessitating the adjournment, supported, where possible, by documentary proof (e.g., a medical certificate, a death certificate, proof of travel, correspondence evidencing ongoing settlement talks);</w:t>
      </w:r>
    </w:p>
    <w:p>
      <w:pPr>
        <w:spacing w:after="160"/>
        <w:ind w:left="360"/>
        <w:jc w:val="both"/>
      </w:pPr>
      <w:r>
        <w:rPr>
          <w:rFonts w:ascii="Arial" w:cs="Arial" w:eastAsia="Arial" w:hAnsi="Arial"/>
          <w:sz w:val="22"/>
          <w:szCs w:val="22"/>
        </w:rPr>
        <w:t xml:space="preserve">(iii) a statement disclosing whether, and how many times, an adjournment has previously been sought by the applicant in the same matter, in candid compliance with the spirit of Order XVII Rule 1(1) proviso;</w:t>
      </w:r>
    </w:p>
    <w:p>
      <w:pPr>
        <w:spacing w:after="160"/>
        <w:ind w:left="360"/>
        <w:jc w:val="both"/>
      </w:pPr>
      <w:r>
        <w:rPr>
          <w:rFonts w:ascii="Arial" w:cs="Arial" w:eastAsia="Arial" w:hAnsi="Arial"/>
          <w:sz w:val="22"/>
          <w:szCs w:val="22"/>
        </w:rPr>
        <w:t xml:space="preserve">(iv) an undertaking, where appropriate, that the applicant will not seek further adjournment on the same or similar ground, and will be ready to proceed on the next date fixed;</w:t>
      </w:r>
    </w:p>
    <w:p>
      <w:pPr>
        <w:spacing w:after="160"/>
        <w:ind w:left="360"/>
        <w:jc w:val="both"/>
      </w:pPr>
      <w:r>
        <w:rPr>
          <w:rFonts w:ascii="Arial" w:cs="Arial" w:eastAsia="Arial" w:hAnsi="Arial"/>
          <w:sz w:val="22"/>
          <w:szCs w:val="22"/>
        </w:rPr>
        <w:t xml:space="preserve">(v) a prayer for adjournment to a specific date, or for such date as the court may deem fit, often coupled with an offer to bear costs occasioned to the opposite side, in order to demonstrate bona fides; and</w:t>
      </w:r>
    </w:p>
    <w:p>
      <w:pPr>
        <w:spacing w:after="160"/>
        <w:ind w:left="360"/>
        <w:jc w:val="both"/>
      </w:pPr>
      <w:r>
        <w:rPr>
          <w:rFonts w:ascii="Arial" w:cs="Arial" w:eastAsia="Arial" w:hAnsi="Arial"/>
          <w:sz w:val="22"/>
          <w:szCs w:val="22"/>
        </w:rPr>
        <w:t xml:space="preserve">(vi) verification of the facts stated, where supported by an affidavit.</w:t>
      </w:r>
    </w:p>
    <w:p>
      <w:pPr>
        <w:pStyle w:val="Heading2"/>
      </w:pPr>
      <w:r>
        <w:t xml:space="preserve">10. Judicial Discretion and the Balance to be Struck</w:t>
      </w:r>
    </w:p>
    <w:p>
      <w:pPr>
        <w:spacing w:after="160"/>
        <w:jc w:val="both"/>
      </w:pPr>
      <w:r>
        <w:rPr>
          <w:rFonts w:ascii="Arial" w:cs="Arial" w:eastAsia="Arial" w:hAnsi="Arial"/>
          <w:sz w:val="22"/>
          <w:szCs w:val="22"/>
        </w:rPr>
        <w:t xml:space="preserve">Ultimately, the grant or refusal of an adjournment lies within the discretion of the court, to be exercised judicially, having regard to the facts and circumstances of each case, the conduct of the parties, the stage of the proceedings, the genuineness of the cause shown, and the imperative of ensuring that justice is not sacrificed at the altar of speed, while simultaneously ensuring that speed and certainty of process are not perpetually sacrificed at the altar of indulgence. The legislative trend, particularly post the 2002 CPC amendments, unmistakably favours a stricter, more disciplined approach to adjournments, while preserving sufficient judicial discretion to do substantial justice in genuinely deserving cases.</w:t>
      </w:r>
    </w:p>
    <w:p>
      <w:pPr>
        <w:pStyle w:val="Heading2"/>
      </w:pPr>
      <w:r>
        <w:t xml:space="preserve">11. Conclusion</w:t>
      </w:r>
    </w:p>
    <w:p>
      <w:pPr>
        <w:spacing w:after="160"/>
        <w:jc w:val="both"/>
      </w:pPr>
      <w:r>
        <w:rPr>
          <w:rFonts w:ascii="Arial" w:cs="Arial" w:eastAsia="Arial" w:hAnsi="Arial"/>
          <w:sz w:val="22"/>
          <w:szCs w:val="22"/>
        </w:rPr>
        <w:t xml:space="preserve">The adjournment application, though often regarded as a minor or routine procedural step, occupies a position of considerable significance in the practical administration of civil justice, since the manner in which courts handle requests for adjournment directly determines the pace, predictability, and ultimately the credibility of the litigation process. Order XVII CPC, as amended in 2002, reflects a deliberate legislative effort to curb the culture of routine and repeated adjournments through the introduction of the "three adjournments" cap, the mandate to fix a comprehensive timetable for the suit, and the imposition of costs as a disincentive against dilatory conduct, while retaining sufficient flexibility to accommodate genuine cases of "sufficient cause." A competently drafted adjournment application must candidly disclose the true reason for the request, the number of previous adjournments sought, and must, wherever possible, be supported by credible evidence, so as to satisfy the court that the request is bona fide and not a device to delay the proceedings.</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DRAFT ADJOURNMENT APPLICATION</w:t>
      </w:r>
    </w:p>
    <w:p>
      <w:pPr>
        <w:spacing w:after="300"/>
        <w:jc w:val="center"/>
      </w:pPr>
      <w:r>
        <w:rPr>
          <w:rFonts w:ascii="Arial" w:cs="Arial" w:eastAsia="Arial" w:hAnsi="Arial"/>
          <w:i/>
          <w:iCs/>
          <w:sz w:val="20"/>
          <w:szCs w:val="20"/>
        </w:rPr>
        <w:t xml:space="preserve">(Presumed Facts: In the pending Civil Suit No. ___ of 2026 [the recovery suit at Topic 1/2 above], the matter is listed for cross-examination of the Plaintiff's witness. The Defendant's counsel is suddenly hospitalised two days before the scheduled date, and the Defendant seeks a short adjournment, this being only the first such request in the matter.)</w:t>
      </w:r>
    </w:p>
    <w:p>
      <w:pPr>
        <w:spacing w:after="200" w:before="200"/>
        <w:jc w:val="center"/>
      </w:pPr>
      <w:r>
        <w:rPr>
          <w:rFonts w:ascii="Arial" w:cs="Arial" w:eastAsia="Arial" w:hAnsi="Arial"/>
          <w:b/>
          <w:bCs/>
          <w:sz w:val="22"/>
          <w:szCs w:val="22"/>
        </w:rPr>
        <w:t xml:space="preserve">IN THE COURT OF THE CIVIL JUDGE (SENIOR DIVISION), AT [CITY]</w:t>
      </w:r>
    </w:p>
    <w:p>
      <w:pPr>
        <w:spacing w:after="160"/>
        <w:jc w:val="both"/>
      </w:pPr>
      <w:r>
        <w:rPr>
          <w:rFonts w:ascii="Arial" w:cs="Arial" w:eastAsia="Arial" w:hAnsi="Arial"/>
          <w:sz w:val="22"/>
          <w:szCs w:val="22"/>
        </w:rPr>
        <w:t xml:space="preserve">Civil Suit No. _____ of 2026</w:t>
      </w:r>
    </w:p>
    <w:p>
      <w:pPr>
        <w:spacing w:after="160"/>
        <w:jc w:val="both"/>
      </w:pPr>
      <w:r>
        <w:rPr>
          <w:rFonts w:ascii="Arial" w:cs="Arial" w:eastAsia="Arial" w:hAnsi="Arial"/>
          <w:sz w:val="22"/>
          <w:szCs w:val="22"/>
        </w:rPr>
        <w:t xml:space="preserve">M/s Shree Enterprises ..................................................................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Anil Kumar Verma .................................................................. DEFENDANT</w:t>
      </w:r>
    </w:p>
    <w:p>
      <w:pPr>
        <w:spacing w:after="200" w:before="200"/>
        <w:jc w:val="center"/>
      </w:pPr>
      <w:r>
        <w:rPr>
          <w:rFonts w:ascii="Arial" w:cs="Arial" w:eastAsia="Arial" w:hAnsi="Arial"/>
          <w:b/>
          <w:bCs/>
          <w:sz w:val="22"/>
          <w:szCs w:val="22"/>
        </w:rPr>
        <w:t xml:space="preserve">APPLICATION FOR ADJOURNMENT UNDER ORDER XVII RULE 1 OF THE CODE OF CIVIL PROCEDURE, 1908</w:t>
      </w:r>
    </w:p>
    <w:p>
      <w:pPr>
        <w:spacing w:after="160"/>
        <w:jc w:val="both"/>
      </w:pPr>
      <w:r>
        <w:rPr>
          <w:rFonts w:ascii="Arial" w:cs="Arial" w:eastAsia="Arial" w:hAnsi="Arial"/>
          <w:sz w:val="22"/>
          <w:szCs w:val="22"/>
        </w:rPr>
        <w:t xml:space="preserve">MOST RESPECTFULLY SHOWETH:</w:t>
      </w:r>
    </w:p>
    <w:p>
      <w:pPr>
        <w:spacing w:after="160"/>
        <w:jc w:val="both"/>
      </w:pPr>
      <w:r>
        <w:rPr>
          <w:rFonts w:ascii="Arial" w:cs="Arial" w:eastAsia="Arial" w:hAnsi="Arial"/>
          <w:sz w:val="22"/>
          <w:szCs w:val="22"/>
        </w:rPr>
        <w:t xml:space="preserve">1. That the above-captioned suit is presently listed before this Hon'ble Court on [date] for the purpose of cross-examination of the Plaintiff's witness, Mr. Ramesh Kumar Sharma (PW-1), the examination-in-chief of the said witness having been concluded on the last date of hearing.</w:t>
      </w:r>
    </w:p>
    <w:p>
      <w:pPr>
        <w:spacing w:after="160"/>
        <w:jc w:val="both"/>
      </w:pPr>
      <w:r>
        <w:rPr>
          <w:rFonts w:ascii="Arial" w:cs="Arial" w:eastAsia="Arial" w:hAnsi="Arial"/>
          <w:sz w:val="22"/>
          <w:szCs w:val="22"/>
        </w:rPr>
        <w:t xml:space="preserve">2. That the Defendant's counsel, [Name of Advocate], who has been conducting the present matter on behalf of the Defendant since its inception and is fully conversant with the facts and the cross-examination strategy required in the matter, was suddenly taken ill on [date, two days prior to hearing] and has been admitted to [Hospital Name], [City], for treatment of [nature of ailment, e.g., acute appendicitis requiring surgical intervention], and is presently advised complete bed rest for a period of at least ten days by the attending physician. A true copy of the medical certificate/discharge summary issued by the treating hospital, dated [date], is filed herewith and marked as ANNEXURE A-1.</w:t>
      </w:r>
    </w:p>
    <w:p>
      <w:pPr>
        <w:spacing w:after="160"/>
        <w:jc w:val="both"/>
      </w:pPr>
      <w:r>
        <w:rPr>
          <w:rFonts w:ascii="Arial" w:cs="Arial" w:eastAsia="Arial" w:hAnsi="Arial"/>
          <w:sz w:val="22"/>
          <w:szCs w:val="22"/>
        </w:rPr>
        <w:t xml:space="preserve">3. That, in the circumstances, the Defendant's counsel is unable to appear before this Hon'ble Court on the date fixed to conduct the cross-examination of PW-1, and the Defendant, being a layperson, is not in a position to conduct such cross-examination himself, more particularly having regard to the complex factual and legal issues, including the questions of part-payment and set-off, that the cross-examination is required to address.</w:t>
      </w:r>
    </w:p>
    <w:p>
      <w:pPr>
        <w:spacing w:after="160"/>
        <w:jc w:val="both"/>
      </w:pPr>
      <w:r>
        <w:rPr>
          <w:rFonts w:ascii="Arial" w:cs="Arial" w:eastAsia="Arial" w:hAnsi="Arial"/>
          <w:sz w:val="22"/>
          <w:szCs w:val="22"/>
        </w:rPr>
        <w:t xml:space="preserve">4. That the Defendant has made bona fide efforts to engage alternate counsel at short notice; however, given that the matter requires familiarity with voluminous documents and a carefully prepared line of cross-examination, it would neither be feasible nor in the interest of a fair trial for an alternate counsel, unfamiliar with the intricacies of the matter, to conduct the cross-examination of PW-1 at such short notice.</w:t>
      </w:r>
    </w:p>
    <w:p>
      <w:pPr>
        <w:spacing w:after="160"/>
        <w:jc w:val="both"/>
      </w:pPr>
      <w:r>
        <w:rPr>
          <w:rFonts w:ascii="Arial" w:cs="Arial" w:eastAsia="Arial" w:hAnsi="Arial"/>
          <w:sz w:val="22"/>
          <w:szCs w:val="22"/>
        </w:rPr>
        <w:t xml:space="preserve">5. That this is the first occasion on which the Defendant is seeking an adjournment in the present suit, and the Defendant has, on every previous occasion, ensured punctual compliance with the directions and timelines fixed by this Hon'ble Court; no adjournment has previously been sought or granted at the instance of the Defendant.</w:t>
      </w:r>
    </w:p>
    <w:p>
      <w:pPr>
        <w:spacing w:after="160"/>
        <w:jc w:val="both"/>
      </w:pPr>
      <w:r>
        <w:rPr>
          <w:rFonts w:ascii="Arial" w:cs="Arial" w:eastAsia="Arial" w:hAnsi="Arial"/>
          <w:sz w:val="22"/>
          <w:szCs w:val="22"/>
        </w:rPr>
        <w:t xml:space="preserve">6. That the Defendant is not seeking the present adjournment with any intention to delay the proceedings or to cause prejudice to the Plaintiff, but solely on account of the sudden and unforeseen medical emergency faced by his counsel, which is a circumstance entirely beyond the control of the Defendant.</w:t>
      </w:r>
    </w:p>
    <w:p>
      <w:pPr>
        <w:spacing w:after="160"/>
        <w:jc w:val="both"/>
      </w:pPr>
      <w:r>
        <w:rPr>
          <w:rFonts w:ascii="Arial" w:cs="Arial" w:eastAsia="Arial" w:hAnsi="Arial"/>
          <w:sz w:val="22"/>
          <w:szCs w:val="22"/>
        </w:rPr>
        <w:t xml:space="preserve">7. That the Defendant is ready and willing to bear such reasonable costs as this Hon'ble Court may deem fit to impose as a condition for grant of the present adjournment, and undertakes to ensure that the cross-examination of PW-1 is completed on the next date without seeking any further adjournment on this or any similar ground.</w:t>
      </w:r>
    </w:p>
    <w:p>
      <w:pPr>
        <w:spacing w:after="160"/>
        <w:jc w:val="both"/>
      </w:pPr>
      <w:r>
        <w:rPr>
          <w:rFonts w:ascii="Arial" w:cs="Arial" w:eastAsia="Arial" w:hAnsi="Arial"/>
          <w:sz w:val="22"/>
          <w:szCs w:val="22"/>
        </w:rPr>
        <w:t xml:space="preserve">8. That no prejudice would be caused to the Plaintiff if the short adjournment sought herein is granted, since the witness (PW-1) continues to be available, and the adjournment sought is for a short, reasonable period only.</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most respectfully prayed that this Hon'ble Court may be pleased to:</w:t>
      </w:r>
    </w:p>
    <w:p>
      <w:pPr>
        <w:spacing w:after="160"/>
        <w:jc w:val="both"/>
      </w:pPr>
      <w:r>
        <w:rPr>
          <w:rFonts w:ascii="Arial" w:cs="Arial" w:eastAsia="Arial" w:hAnsi="Arial"/>
          <w:sz w:val="22"/>
          <w:szCs w:val="22"/>
        </w:rPr>
        <w:t xml:space="preserve">(a) adjourn the hearing fixed on [date] for cross-examination of PW-1 to a short, convenient date after the expiry of the period of rest advised to the Defendant's counsel;</w:t>
      </w:r>
    </w:p>
    <w:p>
      <w:pPr>
        <w:spacing w:after="160"/>
        <w:jc w:val="both"/>
      </w:pPr>
      <w:r>
        <w:rPr>
          <w:rFonts w:ascii="Arial" w:cs="Arial" w:eastAsia="Arial" w:hAnsi="Arial"/>
          <w:sz w:val="22"/>
          <w:szCs w:val="22"/>
        </w:rPr>
        <w:t xml:space="preserve">(b) impose such reasonable costs upon the Defendant as this Hon'ble Court may deem fit, as a condition for grant of the present adjournment; and</w:t>
      </w:r>
    </w:p>
    <w:p>
      <w:pPr>
        <w:spacing w:after="160"/>
        <w:jc w:val="both"/>
      </w:pPr>
      <w:r>
        <w:rPr>
          <w:rFonts w:ascii="Arial" w:cs="Arial" w:eastAsia="Arial" w:hAnsi="Arial"/>
          <w:sz w:val="22"/>
          <w:szCs w:val="22"/>
        </w:rPr>
        <w:t xml:space="preserve">(c) pass such other order(s) as this Hon'ble Court may deem fit and proper in the interest of justice.</w:t>
      </w:r>
    </w:p>
    <w:p>
      <w:pPr>
        <w:spacing w:after="160"/>
        <w:jc w:val="both"/>
      </w:pPr>
      <w:r>
        <w:rPr>
          <w:rFonts w:ascii="Arial" w:cs="Arial" w:eastAsia="Arial" w:hAnsi="Arial"/>
          <w:sz w:val="22"/>
          <w:szCs w:val="22"/>
        </w:rPr>
        <w:t xml:space="preserve">DEFENDANT</w:t>
      </w:r>
    </w:p>
    <w:p>
      <w:pPr>
        <w:spacing w:after="160"/>
        <w:jc w:val="both"/>
      </w:pPr>
      <w:r>
        <w:rPr>
          <w:rFonts w:ascii="Arial" w:cs="Arial" w:eastAsia="Arial" w:hAnsi="Arial"/>
          <w:sz w:val="22"/>
          <w:szCs w:val="22"/>
        </w:rPr>
        <w:t xml:space="preserve">Through [Alternate/Associate] Counsel</w:t>
      </w:r>
    </w:p>
    <w:p>
      <w:pPr>
        <w:spacing w:after="200" w:before="200"/>
        <w:jc w:val="center"/>
      </w:pPr>
      <w:r>
        <w:rPr>
          <w:rFonts w:ascii="Arial" w:cs="Arial" w:eastAsia="Arial" w:hAnsi="Arial"/>
          <w:b/>
          <w:bCs/>
          <w:sz w:val="22"/>
          <w:szCs w:val="22"/>
        </w:rPr>
        <w:t xml:space="preserve">AFFIDAVIT IN SUPPORT</w:t>
      </w:r>
    </w:p>
    <w:p>
      <w:pPr>
        <w:spacing w:after="160"/>
        <w:jc w:val="both"/>
      </w:pPr>
      <w:r>
        <w:rPr>
          <w:rFonts w:ascii="Arial" w:cs="Arial" w:eastAsia="Arial" w:hAnsi="Arial"/>
          <w:sz w:val="22"/>
          <w:szCs w:val="22"/>
        </w:rPr>
        <w:t xml:space="preserve">I, Mr. Anil Kumar Verma, the Defendant above named, do hereby solemnly affirm and state that the contents of paragraphs 1 to 8 of the accompanying application are true and correct to my knowledge and belief, based on information received from my counsel's office, which I believe to be true.</w:t>
      </w:r>
    </w:p>
    <w:p>
      <w:pPr>
        <w:spacing w:after="160"/>
        <w:jc w:val="both"/>
      </w:pPr>
      <w:r>
        <w:rPr>
          <w:rFonts w:ascii="Arial" w:cs="Arial" w:eastAsia="Arial" w:hAnsi="Arial"/>
          <w:sz w:val="22"/>
          <w:szCs w:val="22"/>
        </w:rPr>
        <w:t xml:space="preserve">DEPONENT (Sworn before Notary/Oath Commissioner)</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Medical certificate/discharge summary of counsel dated [date] — Annexure A-1</w:t>
      </w:r>
    </w:p>
    <w:p>
      <w:r>
        <w:br w:type="page"/>
      </w:r>
    </w:p>
    <w:p>
      <w:pPr>
        <w:pStyle w:val="Heading1"/>
      </w:pPr>
      <w:r>
        <w:t xml:space="preserve">11. PURSIS</w:t>
      </w:r>
    </w:p>
    <w:p>
      <w:pPr>
        <w:pBdr>
          <w:bottom w:val="single" w:color="1F4E79" w:sz="6" w:space="4"/>
        </w:pBdr>
        <w:spacing w:after="240" w:before="120"/>
      </w:pPr>
      <w:r>
        <w:rPr>
          <w:rFonts w:ascii="Arial" w:cs="Arial" w:eastAsia="Arial" w:hAnsi="Arial"/>
          <w:b/>
          <w:bCs/>
          <w:color w:val="1F4E79"/>
          <w:sz w:val="26"/>
          <w:szCs w:val="26"/>
        </w:rPr>
        <w:t xml:space="preserve">PART A: DETAILED ANSWER</w:t>
      </w:r>
    </w:p>
    <w:p>
      <w:pPr>
        <w:pStyle w:val="Heading2"/>
      </w:pPr>
      <w:r>
        <w:t xml:space="preserve">1. Introduction</w:t>
      </w:r>
    </w:p>
    <w:p>
      <w:pPr>
        <w:spacing w:after="160"/>
        <w:jc w:val="both"/>
      </w:pPr>
      <w:r>
        <w:rPr>
          <w:rFonts w:ascii="Arial" w:cs="Arial" w:eastAsia="Arial" w:hAnsi="Arial"/>
          <w:sz w:val="22"/>
          <w:szCs w:val="22"/>
        </w:rPr>
        <w:t xml:space="preserve">A "Pursis" (a term derived from Persian/Urdu usage prevalent in Indian court practice, particularly in Western India, meaning "statement" or "submission") is a brief, written statement or memorandum filed by a party, or jointly by the parties, before a court, recording a particular fact, submission, consent, or development relevant to the pending proceedings, without the formality of a full-fledged application or affidavit. Although the term "pursis" does not appear as a defined term in the Code of Civil Procedure, 1908 ("CPC"), it is a well-recognised and frequently used instrument in everyday civil litigation practice across Indian courts (especially in Maharashtra, Gujarat, and other parts of Western India, though analogous documents under different nomenclature are used elsewhere), filed under the general procedural powers of the court, often read with Section 151 CPC (inherent powers of the court).</w:t>
      </w:r>
    </w:p>
    <w:p>
      <w:pPr>
        <w:pStyle w:val="Heading2"/>
      </w:pPr>
      <w:r>
        <w:t xml:space="preserve">2. Nature and Purpose of a Pursis</w:t>
      </w:r>
    </w:p>
    <w:p>
      <w:pPr>
        <w:spacing w:after="160"/>
        <w:jc w:val="both"/>
      </w:pPr>
      <w:r>
        <w:rPr>
          <w:rFonts w:ascii="Arial" w:cs="Arial" w:eastAsia="Arial" w:hAnsi="Arial"/>
          <w:sz w:val="22"/>
          <w:szCs w:val="22"/>
        </w:rPr>
        <w:t xml:space="preserve">A pursis is essentially an informal, concise communication to the court, distinguishable from a formal application (which seeks specific judicial relief through an order) and from a plaint/written statement (which set out the substantive cause of action or defence). It is most commonly used for purposes such as:</w:t>
      </w:r>
    </w:p>
    <w:p>
      <w:pPr>
        <w:spacing w:after="160"/>
        <w:ind w:left="360"/>
        <w:jc w:val="both"/>
      </w:pPr>
      <w:r>
        <w:rPr>
          <w:rFonts w:ascii="Arial" w:cs="Arial" w:eastAsia="Arial" w:hAnsi="Arial"/>
          <w:sz w:val="22"/>
          <w:szCs w:val="22"/>
        </w:rPr>
        <w:t xml:space="preserve">(i) </w:t>
      </w:r>
      <w:r>
        <w:rPr>
          <w:rFonts w:ascii="Arial" w:cs="Arial" w:eastAsia="Arial" w:hAnsi="Arial"/>
          <w:b/>
          <w:bCs/>
          <w:sz w:val="22"/>
          <w:szCs w:val="22"/>
        </w:rPr>
        <w:t xml:space="preserve">Recording settlement or compromise:</w:t>
      </w:r>
      <w:r>
        <w:rPr>
          <w:rFonts w:ascii="Arial" w:cs="Arial" w:eastAsia="Arial" w:hAnsi="Arial"/>
          <w:sz w:val="22"/>
          <w:szCs w:val="22"/>
        </w:rPr>
        <w:t xml:space="preserve"> Where parties have arrived at a settlement, they may file a joint pursis informing the court of the settlement and seeking disposal of the suit/proceeding in terms thereof (often as a step preliminary to, or in conjunction with, a formal compromise application/decree under Order XXIII Rule 3 CPC).</w:t>
      </w:r>
    </w:p>
    <w:p>
      <w:pPr>
        <w:spacing w:after="160"/>
        <w:ind w:left="360"/>
        <w:jc w:val="both"/>
      </w:pPr>
      <w:r>
        <w:rPr>
          <w:rFonts w:ascii="Arial" w:cs="Arial" w:eastAsia="Arial" w:hAnsi="Arial"/>
          <w:sz w:val="22"/>
          <w:szCs w:val="22"/>
        </w:rPr>
        <w:t xml:space="preserve">(ii) </w:t>
      </w:r>
      <w:r>
        <w:rPr>
          <w:rFonts w:ascii="Arial" w:cs="Arial" w:eastAsia="Arial" w:hAnsi="Arial"/>
          <w:b/>
          <w:bCs/>
          <w:sz w:val="22"/>
          <w:szCs w:val="22"/>
        </w:rPr>
        <w:t xml:space="preserve">Withdrawal of suit or proceeding:</w:t>
      </w:r>
      <w:r>
        <w:rPr>
          <w:rFonts w:ascii="Arial" w:cs="Arial" w:eastAsia="Arial" w:hAnsi="Arial"/>
          <w:sz w:val="22"/>
          <w:szCs w:val="22"/>
        </w:rPr>
        <w:t xml:space="preserve"> A plaintiff or petitioner may file a pursis intimating the court of his intention to withdraw the suit/petition, sometimes with liberty to file a fresh suit on the same cause of action under Order XXIII Rule 1 CPC, or simply as an unconditional withdrawal.</w:t>
      </w:r>
    </w:p>
    <w:p>
      <w:pPr>
        <w:spacing w:after="160"/>
        <w:ind w:left="360"/>
        <w:jc w:val="both"/>
      </w:pPr>
      <w:r>
        <w:rPr>
          <w:rFonts w:ascii="Arial" w:cs="Arial" w:eastAsia="Arial" w:hAnsi="Arial"/>
          <w:sz w:val="22"/>
          <w:szCs w:val="22"/>
        </w:rPr>
        <w:t xml:space="preserve">(iii) </w:t>
      </w:r>
      <w:r>
        <w:rPr>
          <w:rFonts w:ascii="Arial" w:cs="Arial" w:eastAsia="Arial" w:hAnsi="Arial"/>
          <w:b/>
          <w:bCs/>
          <w:sz w:val="22"/>
          <w:szCs w:val="22"/>
        </w:rPr>
        <w:t xml:space="preserve">Recording adjustment/part-satisfaction of a claim:</w:t>
      </w:r>
      <w:r>
        <w:rPr>
          <w:rFonts w:ascii="Arial" w:cs="Arial" w:eastAsia="Arial" w:hAnsi="Arial"/>
          <w:sz w:val="22"/>
          <w:szCs w:val="22"/>
        </w:rPr>
        <w:t xml:space="preserve"> Where the parties have settled their dispute in part, or have agreed on a payment schedule, a pursis may be filed to bring this on record.</w:t>
      </w:r>
    </w:p>
    <w:p>
      <w:pPr>
        <w:spacing w:after="160"/>
        <w:ind w:left="360"/>
        <w:jc w:val="both"/>
      </w:pPr>
      <w:r>
        <w:rPr>
          <w:rFonts w:ascii="Arial" w:cs="Arial" w:eastAsia="Arial" w:hAnsi="Arial"/>
          <w:sz w:val="22"/>
          <w:szCs w:val="22"/>
        </w:rPr>
        <w:t xml:space="preserve">(iv) </w:t>
      </w:r>
      <w:r>
        <w:rPr>
          <w:rFonts w:ascii="Arial" w:cs="Arial" w:eastAsia="Arial" w:hAnsi="Arial"/>
          <w:b/>
          <w:bCs/>
          <w:sz w:val="22"/>
          <w:szCs w:val="22"/>
        </w:rPr>
        <w:t xml:space="preserve">Intimating non-pressing of a particular relief or issue:</w:t>
      </w:r>
      <w:r>
        <w:rPr>
          <w:rFonts w:ascii="Arial" w:cs="Arial" w:eastAsia="Arial" w:hAnsi="Arial"/>
          <w:sz w:val="22"/>
          <w:szCs w:val="22"/>
        </w:rPr>
        <w:t xml:space="preserve"> A party may file a pursis stating that it does not wish to press a particular prayer, application, or issue.</w:t>
      </w:r>
    </w:p>
    <w:p>
      <w:pPr>
        <w:spacing w:after="160"/>
        <w:jc w:val="both"/>
      </w:pPr>
      <w:r>
        <w:rPr>
          <w:rFonts w:ascii="Arial" w:cs="Arial" w:eastAsia="Arial" w:hAnsi="Arial"/>
          <w:sz w:val="22"/>
          <w:szCs w:val="22"/>
        </w:rPr>
        <w:t xml:space="preserve">(v) </w:t>
      </w:r>
      <w:r>
        <w:rPr>
          <w:rFonts w:ascii="Arial" w:cs="Arial" w:eastAsia="Arial" w:hAnsi="Arial"/>
          <w:b/>
          <w:bCs/>
          <w:sz w:val="22"/>
          <w:szCs w:val="22"/>
        </w:rPr>
        <w:t xml:space="preserve">Conveying instructions of a party to the court through counsel:</w:t>
      </w:r>
      <w:r>
        <w:rPr>
          <w:rFonts w:ascii="Arial" w:cs="Arial" w:eastAsia="Arial" w:hAnsi="Arial"/>
          <w:sz w:val="22"/>
          <w:szCs w:val="22"/>
        </w:rPr>
        <w:t xml:space="preserve"> For instance, a pursis may be filed to inform the court that a party does not wish to contest a particular application, or has no objection to a particular order being passed, or seeks to record a "no instructions" situation (where counsel is unable to obtain instructions from the client and wishes to bring this to the notice of the court).</w:t>
      </w:r>
    </w:p>
    <w:p>
      <w:pPr>
        <w:spacing w:after="160"/>
        <w:ind w:left="360"/>
        <w:jc w:val="both"/>
      </w:pPr>
      <w:r>
        <w:rPr>
          <w:rFonts w:ascii="Arial" w:cs="Arial" w:eastAsia="Arial" w:hAnsi="Arial"/>
          <w:sz w:val="22"/>
          <w:szCs w:val="22"/>
        </w:rPr>
        <w:t xml:space="preserve">(vi) </w:t>
      </w:r>
      <w:r>
        <w:rPr>
          <w:rFonts w:ascii="Arial" w:cs="Arial" w:eastAsia="Arial" w:hAnsi="Arial"/>
          <w:b/>
          <w:bCs/>
          <w:sz w:val="22"/>
          <w:szCs w:val="22"/>
        </w:rPr>
        <w:t xml:space="preserve">Recording an undertaking:</w:t>
      </w:r>
      <w:r>
        <w:rPr>
          <w:rFonts w:ascii="Arial" w:cs="Arial" w:eastAsia="Arial" w:hAnsi="Arial"/>
          <w:sz w:val="22"/>
          <w:szCs w:val="22"/>
        </w:rPr>
        <w:t xml:space="preserve"> A party may file a pursis recording an undertaking given to the court, e.g., an undertaking not to alienate certain property, or to maintain status quo, pending further orders.</w:t>
      </w:r>
    </w:p>
    <w:p>
      <w:pPr>
        <w:spacing w:after="160"/>
        <w:ind w:left="360"/>
        <w:jc w:val="both"/>
      </w:pPr>
      <w:r>
        <w:rPr>
          <w:rFonts w:ascii="Arial" w:cs="Arial" w:eastAsia="Arial" w:hAnsi="Arial"/>
          <w:sz w:val="22"/>
          <w:szCs w:val="22"/>
        </w:rPr>
        <w:t xml:space="preserve">(vii) </w:t>
      </w:r>
      <w:r>
        <w:rPr>
          <w:rFonts w:ascii="Arial" w:cs="Arial" w:eastAsia="Arial" w:hAnsi="Arial"/>
          <w:b/>
          <w:bCs/>
          <w:sz w:val="22"/>
          <w:szCs w:val="22"/>
        </w:rPr>
        <w:t xml:space="preserve">Updating the court on a procedural development:</w:t>
      </w:r>
      <w:r>
        <w:rPr>
          <w:rFonts w:ascii="Arial" w:cs="Arial" w:eastAsia="Arial" w:hAnsi="Arial"/>
          <w:sz w:val="22"/>
          <w:szCs w:val="22"/>
        </w:rPr>
        <w:t xml:space="preserve"> For example, intimating the court that a particular document has been filed, that a witness has become available, or that some interim arrangement between the parties continues.</w:t>
      </w:r>
    </w:p>
    <w:p>
      <w:pPr>
        <w:pStyle w:val="Heading2"/>
      </w:pPr>
      <w:r>
        <w:t xml:space="preserve">3. Distinction Between a Pursis and Other Pleadings/Applications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Feature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Pursis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Application (e.g., under Order VI Rule 17, Order XXXIX, etc.)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Affidavit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Informal, brief, often a single paragraph or short statement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structured, with grounds and prayer clause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sworn statement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inform/update the court or record consent/withdrawal/settlement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seek a specific substantive or interlocutory order/relief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verify facts on oath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Generally signed by the party/advocate; not always sworn before a notary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Usually accompanied by a verifying affidavit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Sworn before a notary/oath commissioner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 takes it "on record"; may pass consequential 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 adjudicates and passes a reasoned order on merits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Evidentiary value, used in support of pleadings/applications</w:t>
            </w:r>
          </w:p>
        </w:tc>
      </w:tr>
    </w:tbl>
    <w:p>
      <w:pPr>
        <w:spacing w:after="120"/>
      </w:pPr>
    </w:p>
    <w:p>
      <w:pPr>
        <w:spacing w:after="160"/>
        <w:jc w:val="both"/>
      </w:pPr>
      <w:r>
        <w:rPr>
          <w:rFonts w:ascii="Arial" w:cs="Arial" w:eastAsia="Arial" w:hAnsi="Arial"/>
          <w:sz w:val="22"/>
          <w:szCs w:val="22"/>
        </w:rPr>
        <w:t xml:space="preserve">It should be emphasised that a pursis does not, by itself, create or extinguish substantive rights; rather, it is the vehicle by which the court is informed of a fact or party's position, on the basis of which the court may then pass an appropriate consequential order (e.g., an order of disposal in terms of a settlement pursis, or an order recording withdrawal).</w:t>
      </w:r>
    </w:p>
    <w:p>
      <w:pPr>
        <w:pStyle w:val="Heading2"/>
      </w:pPr>
      <w:r>
        <w:t xml:space="preserve">4. Pursis in the Context of Compromise and Settlement — Order XXIII Rule 3 CPC</w:t>
      </w:r>
    </w:p>
    <w:p>
      <w:pPr>
        <w:spacing w:after="160"/>
        <w:jc w:val="both"/>
      </w:pPr>
      <w:r>
        <w:rPr>
          <w:rFonts w:ascii="Arial" w:cs="Arial" w:eastAsia="Arial" w:hAnsi="Arial"/>
          <w:sz w:val="22"/>
          <w:szCs w:val="22"/>
        </w:rPr>
        <w:t xml:space="preserve">Where parties to a suit arrive at a lawful agreement or compromise, in writing and signed by the parties, satisfying the whole or part of the subject-matter of the suit, Order XXIII Rule 3 CPC requires the court, where satisfied that such agreement/compromise has been lawfully entered into, to order such agreement/compromise to be recorded, and to pass a decree in accordance therewith, so far as it relates to the parties to the suit. In practice, parties often initially intimate the factum of settlement to the court by way of a brief pursis (sometimes called a "consent pursis" or "settlement pursis"), which is then followed up by filing the detailed terms of settlement/consent terms as a formal document, on the basis of which the court passes a consent decree. The pursis, in such cases, serves as the procedural trigger alerting the court that the matter is ripe for disposal in terms of settlement, although the substantive compromise itself must satisfy the requirements of Order XXIII Rule 3 (being lawful, in writing, and signed by the parties) for the court to record it and pass a decree.</w:t>
      </w:r>
    </w:p>
    <w:p>
      <w:pPr>
        <w:pStyle w:val="Heading2"/>
      </w:pPr>
      <w:r>
        <w:t xml:space="preserve">5. Pursis for Withdrawal of Suit — Order XXIII Rule 1 CPC</w:t>
      </w:r>
    </w:p>
    <w:p>
      <w:pPr>
        <w:spacing w:after="160"/>
        <w:jc w:val="both"/>
      </w:pPr>
      <w:r>
        <w:rPr>
          <w:rFonts w:ascii="Arial" w:cs="Arial" w:eastAsia="Arial" w:hAnsi="Arial"/>
          <w:sz w:val="22"/>
          <w:szCs w:val="22"/>
        </w:rPr>
        <w:t xml:space="preserve">Order XXIII Rule 1 CPC permits a plaintiff, at any time after institution of a suit, to withdraw his suit, or abandon part of his claim, against all or any of the defendants. Where the plaintiff seeks to withdraw with liberty to institute a fresh suit on the same subject-matter, he must satisfy the court, by application, that the suit must fail by reason of some formal defect, or that there are other sufficient grounds for permitting him to institute a fresh suit. In practice, where a plaintiff simply intends to withdraw the suit unconditionally (without seeking liberty to file a fresh suit), this is frequently communicated through a brief pursis to that effect, upon which the court passes an order disposing of the suit as withdrawn; where liberty to file a fresh suit is sought, a more formal application (rather than a bare pursis) explaining the formal defect or sufficient ground is generally required, given the substantive determination the court must make under Order XXIII Rule 1(3).</w:t>
      </w:r>
    </w:p>
    <w:p>
      <w:pPr>
        <w:pStyle w:val="Heading2"/>
      </w:pPr>
      <w:r>
        <w:t xml:space="preserve">6. Evidentiary and Procedural Weight of a Pursis</w:t>
      </w:r>
    </w:p>
    <w:p>
      <w:pPr>
        <w:spacing w:after="160"/>
        <w:jc w:val="both"/>
      </w:pPr>
      <w:r>
        <w:rPr>
          <w:rFonts w:ascii="Arial" w:cs="Arial" w:eastAsia="Arial" w:hAnsi="Arial"/>
          <w:sz w:val="22"/>
          <w:szCs w:val="22"/>
        </w:rPr>
        <w:t xml:space="preserve">While a pursis is informal in character, once filed and taken on record by the court, the statement contained therein binds the party filing it (and, where filed jointly, both parties), and the party cannot ordinarily resile from a categorical statement or undertaking recorded in a pursis without leave of the court and a satisfactory explanation, since the opposite party and the court may have acted, or refrained from acting, in reliance upon such pursis. Courts have, accordingly, treated statements recorded in a pursis with considerable seriousness, particularly where they amount to admissions, undertakings, or representations made consciously and deliberately to the court.</w:t>
      </w:r>
    </w:p>
    <w:p>
      <w:pPr>
        <w:pStyle w:val="Heading2"/>
      </w:pPr>
      <w:r>
        <w:t xml:space="preserve">7. Format and Drafting Considerations for a Pursis</w:t>
      </w:r>
    </w:p>
    <w:p>
      <w:pPr>
        <w:spacing w:after="160"/>
        <w:jc w:val="both"/>
      </w:pPr>
      <w:r>
        <w:rPr>
          <w:rFonts w:ascii="Arial" w:cs="Arial" w:eastAsia="Arial" w:hAnsi="Arial"/>
          <w:sz w:val="22"/>
          <w:szCs w:val="22"/>
        </w:rPr>
        <w:t xml:space="preserve">Although there is no rigid statutory format, good drafting practice for a pursis includes:</w:t>
      </w:r>
    </w:p>
    <w:p>
      <w:pPr>
        <w:spacing w:after="160"/>
        <w:ind w:left="360"/>
        <w:jc w:val="both"/>
      </w:pPr>
      <w:r>
        <w:rPr>
          <w:rFonts w:ascii="Arial" w:cs="Arial" w:eastAsia="Arial" w:hAnsi="Arial"/>
          <w:sz w:val="22"/>
          <w:szCs w:val="22"/>
        </w:rPr>
        <w:t xml:space="preserve">(i) the cause title of the suit/proceeding (court, case number, parties), exactly as in the main proceeding;</w:t>
      </w:r>
    </w:p>
    <w:p>
      <w:pPr>
        <w:spacing w:after="160"/>
        <w:ind w:left="360"/>
        <w:jc w:val="both"/>
      </w:pPr>
      <w:r>
        <w:rPr>
          <w:rFonts w:ascii="Arial" w:cs="Arial" w:eastAsia="Arial" w:hAnsi="Arial"/>
          <w:sz w:val="22"/>
          <w:szCs w:val="22"/>
        </w:rPr>
        <w:t xml:space="preserve">(ii) a clear heading identifying the document as a "Pursis" and indicating, where helpful, its purpose (e.g., "Pursis recording settlement," "Pursis for withdrawal");</w:t>
      </w:r>
    </w:p>
    <w:p>
      <w:pPr>
        <w:spacing w:after="160"/>
        <w:ind w:left="360"/>
        <w:jc w:val="both"/>
      </w:pPr>
      <w:r>
        <w:rPr>
          <w:rFonts w:ascii="Arial" w:cs="Arial" w:eastAsia="Arial" w:hAnsi="Arial"/>
          <w:sz w:val="22"/>
          <w:szCs w:val="22"/>
        </w:rPr>
        <w:t xml:space="preserve">(iii) a concise narration of the relevant fact, development, or submission, in numbered paragraphs if more than one point needs to be conveyed, but generally far shorter than a plaint or application;</w:t>
      </w:r>
    </w:p>
    <w:p>
      <w:pPr>
        <w:spacing w:after="160"/>
        <w:ind w:left="360"/>
        <w:jc w:val="both"/>
      </w:pPr>
      <w:r>
        <w:rPr>
          <w:rFonts w:ascii="Arial" w:cs="Arial" w:eastAsia="Arial" w:hAnsi="Arial"/>
          <w:sz w:val="22"/>
          <w:szCs w:val="22"/>
        </w:rPr>
        <w:t xml:space="preserve">(iv) the specific request to the court arising from the pursis (e.g., "it is, therefore, prayed that this Hon'ble Court may be pleased to dispose of the suit in terms of the settlement arrived at between the parties" or "the suit be disposed of as withdrawn");</w:t>
      </w:r>
    </w:p>
    <w:p>
      <w:pPr>
        <w:spacing w:after="160"/>
        <w:ind w:left="360"/>
        <w:jc w:val="both"/>
      </w:pPr>
      <w:r>
        <w:rPr>
          <w:rFonts w:ascii="Arial" w:cs="Arial" w:eastAsia="Arial" w:hAnsi="Arial"/>
          <w:sz w:val="22"/>
          <w:szCs w:val="22"/>
        </w:rPr>
        <w:t xml:space="preserve">(v) signature of the party and/or advocate filing the pursis; and</w:t>
      </w:r>
    </w:p>
    <w:p>
      <w:pPr>
        <w:spacing w:after="160"/>
        <w:ind w:left="360"/>
        <w:jc w:val="both"/>
      </w:pPr>
      <w:r>
        <w:rPr>
          <w:rFonts w:ascii="Arial" w:cs="Arial" w:eastAsia="Arial" w:hAnsi="Arial"/>
          <w:sz w:val="22"/>
          <w:szCs w:val="22"/>
        </w:rPr>
        <w:t xml:space="preserve">(vi) where the pursis is filed jointly, signatures of both/all parties (or their respective advocates) to indicate their joint concurrence.</w:t>
      </w:r>
    </w:p>
    <w:p>
      <w:pPr>
        <w:pStyle w:val="Heading2"/>
      </w:pPr>
      <w:r>
        <w:t xml:space="preserve">8. Conclusion</w:t>
      </w:r>
    </w:p>
    <w:p>
      <w:pPr>
        <w:spacing w:after="160"/>
        <w:jc w:val="both"/>
      </w:pPr>
      <w:r>
        <w:rPr>
          <w:rFonts w:ascii="Arial" w:cs="Arial" w:eastAsia="Arial" w:hAnsi="Arial"/>
          <w:sz w:val="22"/>
          <w:szCs w:val="22"/>
        </w:rPr>
        <w:t xml:space="preserve">The "pursis" occupies a distinctive, practical niche in Indian civil litigation practice, providing a simple and efficient procedural mechanism for parties to communicate consent, settlement, withdrawal, or other relevant developments to the court without the elaborate formality otherwise required of pleadings and applications. While informal in form, a pursis, once filed and accepted on record, carries real legal consequences, since courts act upon the statements and undertakings contained therein to pass consequential orders, including consent decrees under Order XXIII Rule 3 CPC and orders of withdrawal under Order XXIII Rule 1 CPC. A competent advocate must, therefore, ensure that any pursis filed on behalf of a client is precise, unambiguous, and reflects the client's true and considered instructions, since a careless or imprecise pursis, once acted upon by the court, may be difficult to retract.</w:t>
      </w:r>
    </w:p>
    <w:p>
      <w:r>
        <w:br w:type="page"/>
      </w:r>
    </w:p>
    <w:p>
      <w:pPr>
        <w:pBdr>
          <w:bottom w:val="single" w:color="1F4E79" w:sz="6" w:space="4"/>
        </w:pBdr>
        <w:spacing w:after="240" w:before="120"/>
      </w:pPr>
      <w:r>
        <w:rPr>
          <w:rFonts w:ascii="Arial" w:cs="Arial" w:eastAsia="Arial" w:hAnsi="Arial"/>
          <w:b/>
          <w:bCs/>
          <w:color w:val="1F4E79"/>
          <w:sz w:val="26"/>
          <w:szCs w:val="26"/>
        </w:rPr>
        <w:t xml:space="preserve">PART B: MODEL DRAFT</w:t>
      </w:r>
    </w:p>
    <w:p>
      <w:pPr>
        <w:spacing w:after="160"/>
        <w:jc w:val="center"/>
      </w:pPr>
      <w:r>
        <w:rPr>
          <w:rFonts w:ascii="Arial" w:cs="Arial" w:eastAsia="Arial" w:hAnsi="Arial"/>
          <w:b/>
          <w:bCs/>
          <w:i w:val="false"/>
          <w:iCs w:val="false"/>
          <w:sz w:val="24"/>
          <w:szCs w:val="24"/>
        </w:rPr>
        <w:t xml:space="preserve">(A) DRAFT JOINT PURSIS RECORDING SETTLEMENT BETWEEN THE PARTIES, AND (B) DRAFT PURSIS FOR UNCONDITIONAL WITHDRAWAL OF SUIT</w:t>
      </w:r>
    </w:p>
    <w:p>
      <w:pPr>
        <w:spacing w:after="300"/>
        <w:jc w:val="center"/>
      </w:pPr>
      <w:r>
        <w:rPr>
          <w:rFonts w:ascii="Arial" w:cs="Arial" w:eastAsia="Arial" w:hAnsi="Arial"/>
          <w:i/>
          <w:iCs/>
          <w:sz w:val="20"/>
          <w:szCs w:val="20"/>
        </w:rPr>
        <w:t xml:space="preserve">(Presumed Facts: Continuing from the recovery suit at Topics 1, 2, 6, and 10 above. After the cross-examination stage, the Plaintiff and the Defendant arrive at a mutual settlement whereby the Defendant agrees to pay a reduced lump-sum amount in full and final settlement, taking into account the part-payment and set-off pleaded earlier. The parties file a joint pursis recording the settlement and seeking disposal of the suit in terms thereof. A second, illustrative pursis is also provided for a scenario of simple unconditional withdrawal of a suit by a plaintiff.)</w:t>
      </w:r>
    </w:p>
    <w:p>
      <w:pPr>
        <w:spacing w:after="200" w:before="200"/>
        <w:jc w:val="center"/>
      </w:pPr>
      <w:r>
        <w:rPr>
          <w:rFonts w:ascii="Arial" w:cs="Arial" w:eastAsia="Arial" w:hAnsi="Arial"/>
          <w:b/>
          <w:bCs/>
          <w:sz w:val="22"/>
          <w:szCs w:val="22"/>
        </w:rPr>
        <w:t xml:space="preserve">PART A — JOINT PURSIS RECORDING SETTLEMENT</w:t>
      </w:r>
    </w:p>
    <w:p>
      <w:pPr>
        <w:spacing w:after="200" w:before="200"/>
        <w:jc w:val="center"/>
      </w:pPr>
      <w:r>
        <w:rPr>
          <w:rFonts w:ascii="Arial" w:cs="Arial" w:eastAsia="Arial" w:hAnsi="Arial"/>
          <w:b/>
          <w:bCs/>
          <w:sz w:val="22"/>
          <w:szCs w:val="22"/>
        </w:rPr>
        <w:t xml:space="preserve">IN THE COURT OF THE CIVIL JUDGE (SENIOR DIVISION), AT [CITY]</w:t>
      </w:r>
    </w:p>
    <w:p>
      <w:pPr>
        <w:spacing w:after="160"/>
        <w:jc w:val="both"/>
      </w:pPr>
      <w:r>
        <w:rPr>
          <w:rFonts w:ascii="Arial" w:cs="Arial" w:eastAsia="Arial" w:hAnsi="Arial"/>
          <w:sz w:val="22"/>
          <w:szCs w:val="22"/>
        </w:rPr>
        <w:t xml:space="preserve">Civil Suit No. _____ of 2026</w:t>
      </w:r>
    </w:p>
    <w:p>
      <w:pPr>
        <w:spacing w:after="160"/>
        <w:jc w:val="both"/>
      </w:pPr>
      <w:r>
        <w:rPr>
          <w:rFonts w:ascii="Arial" w:cs="Arial" w:eastAsia="Arial" w:hAnsi="Arial"/>
          <w:sz w:val="22"/>
          <w:szCs w:val="22"/>
        </w:rPr>
        <w:t xml:space="preserve">M/s Shree Enterprises ..................................................................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Anil Kumar Verma .................................................................. DEFENDANT</w:t>
      </w:r>
    </w:p>
    <w:p>
      <w:pPr>
        <w:spacing w:after="200" w:before="200"/>
        <w:jc w:val="center"/>
      </w:pPr>
      <w:r>
        <w:rPr>
          <w:rFonts w:ascii="Arial" w:cs="Arial" w:eastAsia="Arial" w:hAnsi="Arial"/>
          <w:b/>
          <w:bCs/>
          <w:sz w:val="22"/>
          <w:szCs w:val="22"/>
        </w:rPr>
        <w:t xml:space="preserve">JOINT PURSIS ON BEHALF OF THE PLAINTIFF AND THE DEFENDANT</w:t>
      </w:r>
    </w:p>
    <w:p>
      <w:pPr>
        <w:spacing w:after="160"/>
        <w:jc w:val="both"/>
      </w:pPr>
      <w:r>
        <w:rPr>
          <w:rFonts w:ascii="Arial" w:cs="Arial" w:eastAsia="Arial" w:hAnsi="Arial"/>
          <w:sz w:val="22"/>
          <w:szCs w:val="22"/>
        </w:rPr>
        <w:t xml:space="preserve">MOST RESPECTFULLY SUBMIT:</w:t>
      </w:r>
    </w:p>
    <w:p>
      <w:pPr>
        <w:spacing w:after="160"/>
        <w:jc w:val="both"/>
      </w:pPr>
      <w:r>
        <w:rPr>
          <w:rFonts w:ascii="Arial" w:cs="Arial" w:eastAsia="Arial" w:hAnsi="Arial"/>
          <w:sz w:val="22"/>
          <w:szCs w:val="22"/>
        </w:rPr>
        <w:t xml:space="preserve">1. That the above-captioned suit is presently pending before this Hon'ble Court, the cross-examination of the Plaintiff's witness, Mr. Ramesh Kumar Sharma (PW-1), having been concluded on the last date of hearing.</w:t>
      </w:r>
    </w:p>
    <w:p>
      <w:pPr>
        <w:spacing w:after="160"/>
        <w:jc w:val="both"/>
      </w:pPr>
      <w:r>
        <w:rPr>
          <w:rFonts w:ascii="Arial" w:cs="Arial" w:eastAsia="Arial" w:hAnsi="Arial"/>
          <w:sz w:val="22"/>
          <w:szCs w:val="22"/>
        </w:rPr>
        <w:t xml:space="preserve">2. That during the pendency of the present suit, the parties hereto have, through the intervention of common well-wishers and after several rounds of bona fide negotiations, arrived at an amicable settlement of the entire dispute between them, the broad terms whereof are recorded below:</w:t>
      </w:r>
    </w:p>
    <w:p>
      <w:pPr>
        <w:spacing w:after="160"/>
        <w:jc w:val="both"/>
      </w:pPr>
      <w:r>
        <w:rPr>
          <w:rFonts w:ascii="Arial" w:cs="Arial" w:eastAsia="Arial" w:hAnsi="Arial"/>
          <w:sz w:val="22"/>
          <w:szCs w:val="22"/>
        </w:rPr>
        <w:t xml:space="preserve">(a) The Defendant shall pay to the Plaintiff a lump sum of Rs. 10,00,000/- (Rupees Ten Lakh only) in full and final settlement of all claims, counter-claims, and the set-off raised in the present suit, inclusive of principal, interest, and costs;</w:t>
      </w:r>
    </w:p>
    <w:p>
      <w:pPr>
        <w:spacing w:after="160"/>
        <w:jc w:val="both"/>
      </w:pPr>
      <w:r>
        <w:rPr>
          <w:rFonts w:ascii="Arial" w:cs="Arial" w:eastAsia="Arial" w:hAnsi="Arial"/>
          <w:sz w:val="22"/>
          <w:szCs w:val="22"/>
        </w:rPr>
        <w:t xml:space="preserve">(b) The said sum of Rs. 10,00,000/- shall be paid by the Defendant to the Plaintiff in two equal instalments of Rs. 5,00,000/- each, the first instalment to be paid within thirty days of the present pursis being recorded by this Hon'ble Court, and the second and final instalment to be paid within sixty days thereof, through account payee cheque/RTGS transfer to the bank account of the Plaintiff;</w:t>
      </w:r>
    </w:p>
    <w:p>
      <w:pPr>
        <w:spacing w:after="160"/>
        <w:jc w:val="both"/>
      </w:pPr>
      <w:r>
        <w:rPr>
          <w:rFonts w:ascii="Arial" w:cs="Arial" w:eastAsia="Arial" w:hAnsi="Arial"/>
          <w:sz w:val="22"/>
          <w:szCs w:val="22"/>
        </w:rPr>
        <w:t xml:space="preserve">(c) Upon receipt of the entire settlement amount as aforesaid, the Plaintiff shall have no further claim whatsoever against the Defendant arising out of, or in connection with, the subject-matter of the present suit, and the Defendant shall similarly have no further claim against the Plaintiff in respect of the set-off earlier pleaded by him in his written statement;</w:t>
      </w:r>
    </w:p>
    <w:p>
      <w:pPr>
        <w:spacing w:after="160"/>
        <w:jc w:val="both"/>
      </w:pPr>
      <w:r>
        <w:rPr>
          <w:rFonts w:ascii="Arial" w:cs="Arial" w:eastAsia="Arial" w:hAnsi="Arial"/>
          <w:sz w:val="22"/>
          <w:szCs w:val="22"/>
        </w:rPr>
        <w:t xml:space="preserve">(d) Each party shall bear its own costs of the present litigation.</w:t>
      </w:r>
    </w:p>
    <w:p>
      <w:pPr>
        <w:spacing w:after="160"/>
        <w:jc w:val="both"/>
      </w:pPr>
      <w:r>
        <w:rPr>
          <w:rFonts w:ascii="Arial" w:cs="Arial" w:eastAsia="Arial" w:hAnsi="Arial"/>
          <w:sz w:val="22"/>
          <w:szCs w:val="22"/>
        </w:rPr>
        <w:t xml:space="preserve">A copy of the detailed Settlement Agreement dated [date], duly signed by both parties and witnessed, recording the aforesaid terms and other ancillary terms agreed between the parties, is filed herewith and marked as ANNEXURE S-1.</w:t>
      </w:r>
    </w:p>
    <w:p>
      <w:pPr>
        <w:spacing w:after="160"/>
        <w:jc w:val="both"/>
      </w:pPr>
      <w:r>
        <w:rPr>
          <w:rFonts w:ascii="Arial" w:cs="Arial" w:eastAsia="Arial" w:hAnsi="Arial"/>
          <w:sz w:val="22"/>
          <w:szCs w:val="22"/>
        </w:rPr>
        <w:t xml:space="preserve">3. That the parties hereto state and confirm that the aforesaid settlement has been arrived at voluntarily, without any coercion, undue influence, or misrepresentation by either party, and that both parties fully understand and accept the terms thereof.</w:t>
      </w:r>
    </w:p>
    <w:p>
      <w:pPr>
        <w:spacing w:after="160"/>
        <w:jc w:val="both"/>
      </w:pPr>
      <w:r>
        <w:rPr>
          <w:rFonts w:ascii="Arial" w:cs="Arial" w:eastAsia="Arial" w:hAnsi="Arial"/>
          <w:sz w:val="22"/>
          <w:szCs w:val="22"/>
        </w:rPr>
        <w:t xml:space="preserve">4. That, in view of the aforesaid settlement, the parties hereto jointly and respectfully request this Hon'ble Court to record the settlement/compromise in terms of the Settlement Agreement dated [date] (Annexure S-1), in accordance with Order XXIII Rule 3 of the Code of Civil Procedure, 1908, and to dispose of the present suit in terms thereof by passing a consent decree.</w:t>
      </w:r>
    </w:p>
    <w:p>
      <w:pPr>
        <w:spacing w:after="160"/>
        <w:jc w:val="both"/>
      </w:pPr>
      <w:r>
        <w:rPr>
          <w:rFonts w:ascii="Arial" w:cs="Arial" w:eastAsia="Arial" w:hAnsi="Arial"/>
          <w:sz w:val="22"/>
          <w:szCs w:val="22"/>
        </w:rPr>
        <w:t xml:space="preserve">5. That the parties further undertake to comply with the terms of payment set out above and in the Settlement Agreement, and agree that, in the event of default by the Defendant in payment of either instalment as agreed, the Plaintiff shall be entitled to execute the consent decree for the balance unpaid amount, together with interest at 9% per annum on the defaulted instalment from the date of default till payment.</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jointly and most respectfully prayed that this Hon'ble Court may be pleased to:</w:t>
      </w:r>
    </w:p>
    <w:p>
      <w:pPr>
        <w:spacing w:after="160"/>
        <w:jc w:val="both"/>
      </w:pPr>
      <w:r>
        <w:rPr>
          <w:rFonts w:ascii="Arial" w:cs="Arial" w:eastAsia="Arial" w:hAnsi="Arial"/>
          <w:sz w:val="22"/>
          <w:szCs w:val="22"/>
        </w:rPr>
        <w:t xml:space="preserve">(a) take the present Pursis, together with the Settlement Agreement dated [date] (Annexure S-1), on record;</w:t>
      </w:r>
    </w:p>
    <w:p>
      <w:pPr>
        <w:spacing w:after="160"/>
        <w:jc w:val="both"/>
      </w:pPr>
      <w:r>
        <w:rPr>
          <w:rFonts w:ascii="Arial" w:cs="Arial" w:eastAsia="Arial" w:hAnsi="Arial"/>
          <w:sz w:val="22"/>
          <w:szCs w:val="22"/>
        </w:rPr>
        <w:t xml:space="preserve">(b) record the settlement/compromise arrived at between the parties, in terms of Order XXIII Rule 3 of the Code of Civil Procedure, 1908;</w:t>
      </w:r>
    </w:p>
    <w:p>
      <w:pPr>
        <w:spacing w:after="160"/>
        <w:jc w:val="both"/>
      </w:pPr>
      <w:r>
        <w:rPr>
          <w:rFonts w:ascii="Arial" w:cs="Arial" w:eastAsia="Arial" w:hAnsi="Arial"/>
          <w:sz w:val="22"/>
          <w:szCs w:val="22"/>
        </w:rPr>
        <w:t xml:space="preserve">(c) pass a consent decree in terms of the Settlement Agreement dated [date] (Annexure S-1), and dispose of the present suit accordingly; and</w:t>
      </w:r>
    </w:p>
    <w:p>
      <w:pPr>
        <w:spacing w:after="160"/>
        <w:jc w:val="both"/>
      </w:pPr>
      <w:r>
        <w:rPr>
          <w:rFonts w:ascii="Arial" w:cs="Arial" w:eastAsia="Arial" w:hAnsi="Arial"/>
          <w:sz w:val="22"/>
          <w:szCs w:val="22"/>
        </w:rPr>
        <w:t xml:space="preserve">(d) pass such other order(s) as this Hon'ble Court may deem fit and proper.</w:t>
      </w:r>
    </w:p>
    <w:p>
      <w:pPr>
        <w:spacing w:after="160"/>
        <w:jc w:val="both"/>
      </w:pPr>
      <w:r>
        <w:rPr>
          <w:rFonts w:ascii="Arial" w:cs="Arial" w:eastAsia="Arial" w:hAnsi="Arial"/>
          <w:sz w:val="22"/>
          <w:szCs w:val="22"/>
        </w:rPr>
        <w:t xml:space="preserve">PLAINTIFF DEFENDANT</w:t>
      </w:r>
    </w:p>
    <w:p>
      <w:pPr>
        <w:spacing w:after="160"/>
        <w:jc w:val="both"/>
      </w:pPr>
      <w:r>
        <w:rPr>
          <w:rFonts w:ascii="Arial" w:cs="Arial" w:eastAsia="Arial" w:hAnsi="Arial"/>
          <w:sz w:val="22"/>
          <w:szCs w:val="22"/>
        </w:rPr>
        <w:t xml:space="preserve">(Through Counsel) (Through Counsel)</w:t>
      </w:r>
    </w:p>
    <w:p>
      <w:pPr>
        <w:spacing w:after="200" w:before="200"/>
        <w:jc w:val="center"/>
      </w:pPr>
      <w:r>
        <w:rPr>
          <w:rFonts w:ascii="Arial" w:cs="Arial" w:eastAsia="Arial" w:hAnsi="Arial"/>
          <w:b/>
          <w:bCs/>
          <w:sz w:val="22"/>
          <w:szCs w:val="22"/>
        </w:rPr>
        <w:t xml:space="preserve">LIST OF DOCUMENTS</w:t>
      </w:r>
    </w:p>
    <w:p>
      <w:pPr>
        <w:spacing w:after="160"/>
        <w:jc w:val="both"/>
      </w:pPr>
      <w:r>
        <w:rPr>
          <w:rFonts w:ascii="Arial" w:cs="Arial" w:eastAsia="Arial" w:hAnsi="Arial"/>
          <w:sz w:val="22"/>
          <w:szCs w:val="22"/>
        </w:rPr>
        <w:t xml:space="preserve">1. Settlement Agreement dated [date], signed by both parties — Annexure S-1</w:t>
      </w:r>
    </w:p>
    <w:p>
      <w:pPr>
        <w:spacing w:after="200" w:before="200"/>
        <w:jc w:val="center"/>
      </w:pPr>
      <w:r>
        <w:rPr>
          <w:rFonts w:ascii="Arial" w:cs="Arial" w:eastAsia="Arial" w:hAnsi="Arial"/>
          <w:b/>
          <w:bCs/>
          <w:sz w:val="22"/>
          <w:szCs w:val="22"/>
        </w:rPr>
        <w:t xml:space="preserve">PART B — PURSIS FOR UNCONDITIONAL WITHDRAWAL OF SUIT</w:t>
      </w:r>
    </w:p>
    <w:p>
      <w:pPr>
        <w:spacing w:after="160"/>
        <w:jc w:val="both"/>
      </w:pPr>
      <w:r>
        <w:rPr>
          <w:rFonts w:ascii="Arial" w:cs="Arial" w:eastAsia="Arial" w:hAnsi="Arial"/>
          <w:sz w:val="22"/>
          <w:szCs w:val="22"/>
        </w:rPr>
        <w:t xml:space="preserve">(Illustrative — Separate Hypothetical Matter)</w:t>
      </w:r>
    </w:p>
    <w:p>
      <w:pPr>
        <w:spacing w:after="200" w:before="200"/>
        <w:jc w:val="center"/>
      </w:pPr>
      <w:r>
        <w:rPr>
          <w:rFonts w:ascii="Arial" w:cs="Arial" w:eastAsia="Arial" w:hAnsi="Arial"/>
          <w:b/>
          <w:bCs/>
          <w:sz w:val="22"/>
          <w:szCs w:val="22"/>
        </w:rPr>
        <w:t xml:space="preserve">IN THE COURT OF THE CIVIL JUDGE (JUNIOR DIVISION), AT [CITY]</w:t>
      </w:r>
    </w:p>
    <w:p>
      <w:pPr>
        <w:spacing w:after="160"/>
        <w:jc w:val="both"/>
      </w:pPr>
      <w:r>
        <w:rPr>
          <w:rFonts w:ascii="Arial" w:cs="Arial" w:eastAsia="Arial" w:hAnsi="Arial"/>
          <w:sz w:val="22"/>
          <w:szCs w:val="22"/>
        </w:rPr>
        <w:t xml:space="preserve">Civil Suit No. _____ of 2025</w:t>
      </w:r>
    </w:p>
    <w:p>
      <w:pPr>
        <w:spacing w:after="160"/>
        <w:jc w:val="both"/>
      </w:pPr>
      <w:r>
        <w:rPr>
          <w:rFonts w:ascii="Arial" w:cs="Arial" w:eastAsia="Arial" w:hAnsi="Arial"/>
          <w:sz w:val="22"/>
          <w:szCs w:val="22"/>
        </w:rPr>
        <w:t xml:space="preserve">Mr. X .................................................................................................. PLAINTIFF</w:t>
      </w:r>
    </w:p>
    <w:p>
      <w:pPr>
        <w:spacing w:after="200"/>
        <w:jc w:val="center"/>
      </w:pPr>
      <w:r>
        <w:rPr>
          <w:rFonts w:ascii="Arial" w:cs="Arial" w:eastAsia="Arial" w:hAnsi="Arial"/>
          <w:b/>
          <w:bCs/>
          <w:i w:val="false"/>
          <w:iCs w:val="false"/>
          <w:sz w:val="22"/>
          <w:szCs w:val="22"/>
        </w:rPr>
        <w:t xml:space="preserve">VERSUS</w:t>
      </w:r>
    </w:p>
    <w:p>
      <w:pPr>
        <w:spacing w:after="160"/>
        <w:jc w:val="both"/>
      </w:pPr>
      <w:r>
        <w:rPr>
          <w:rFonts w:ascii="Arial" w:cs="Arial" w:eastAsia="Arial" w:hAnsi="Arial"/>
          <w:sz w:val="22"/>
          <w:szCs w:val="22"/>
        </w:rPr>
        <w:t xml:space="preserve">Mr. Y .................................................................................................. DEFENDANT</w:t>
      </w:r>
    </w:p>
    <w:p>
      <w:pPr>
        <w:spacing w:after="200" w:before="200"/>
        <w:jc w:val="center"/>
      </w:pPr>
      <w:r>
        <w:rPr>
          <w:rFonts w:ascii="Arial" w:cs="Arial" w:eastAsia="Arial" w:hAnsi="Arial"/>
          <w:b/>
          <w:bCs/>
          <w:sz w:val="22"/>
          <w:szCs w:val="22"/>
        </w:rPr>
        <w:t xml:space="preserve">PURSIS ON BEHALF OF THE PLAINTIFF</w:t>
      </w:r>
    </w:p>
    <w:p>
      <w:pPr>
        <w:spacing w:after="160"/>
        <w:jc w:val="both"/>
      </w:pPr>
      <w:r>
        <w:rPr>
          <w:rFonts w:ascii="Arial" w:cs="Arial" w:eastAsia="Arial" w:hAnsi="Arial"/>
          <w:sz w:val="22"/>
          <w:szCs w:val="22"/>
        </w:rPr>
        <w:t xml:space="preserve">MOST RESPECTFULLY SUBMIT:</w:t>
      </w:r>
    </w:p>
    <w:p>
      <w:pPr>
        <w:spacing w:after="160"/>
        <w:jc w:val="both"/>
      </w:pPr>
      <w:r>
        <w:rPr>
          <w:rFonts w:ascii="Arial" w:cs="Arial" w:eastAsia="Arial" w:hAnsi="Arial"/>
          <w:sz w:val="22"/>
          <w:szCs w:val="22"/>
        </w:rPr>
        <w:t xml:space="preserve">1. That the Plaintiff has instituted the present suit against the Defendant for [nature of relief].</w:t>
      </w:r>
    </w:p>
    <w:p>
      <w:pPr>
        <w:spacing w:after="160"/>
        <w:jc w:val="both"/>
      </w:pPr>
      <w:r>
        <w:rPr>
          <w:rFonts w:ascii="Arial" w:cs="Arial" w:eastAsia="Arial" w:hAnsi="Arial"/>
          <w:sz w:val="22"/>
          <w:szCs w:val="22"/>
        </w:rPr>
        <w:t xml:space="preserve">2. That, subsequent to the institution of the present suit, the Plaintiff and the Defendant have resolved their dispute outside the present proceedings to the satisfaction of the Plaintiff, and the Plaintiff no longer wishes to pursue the present suit.</w:t>
      </w:r>
    </w:p>
    <w:p>
      <w:pPr>
        <w:spacing w:after="160"/>
        <w:jc w:val="both"/>
      </w:pPr>
      <w:r>
        <w:rPr>
          <w:rFonts w:ascii="Arial" w:cs="Arial" w:eastAsia="Arial" w:hAnsi="Arial"/>
          <w:sz w:val="22"/>
          <w:szCs w:val="22"/>
        </w:rPr>
        <w:t xml:space="preserve">3. That the Plaintiff, accordingly, wishes to unconditionally withdraw the present suit, without seeking liberty to institute a fresh suit on the same cause of action, and without claiming any costs from the Defendant.</w:t>
      </w:r>
    </w:p>
    <w:p>
      <w:pPr>
        <w:spacing w:after="200" w:before="200"/>
        <w:jc w:val="center"/>
      </w:pPr>
      <w:r>
        <w:rPr>
          <w:rFonts w:ascii="Arial" w:cs="Arial" w:eastAsia="Arial" w:hAnsi="Arial"/>
          <w:b/>
          <w:bCs/>
          <w:sz w:val="22"/>
          <w:szCs w:val="22"/>
        </w:rPr>
        <w:t xml:space="preserve">PRAYER</w:t>
      </w:r>
    </w:p>
    <w:p>
      <w:pPr>
        <w:spacing w:after="160"/>
        <w:jc w:val="both"/>
      </w:pPr>
      <w:r>
        <w:rPr>
          <w:rFonts w:ascii="Arial" w:cs="Arial" w:eastAsia="Arial" w:hAnsi="Arial"/>
          <w:sz w:val="22"/>
          <w:szCs w:val="22"/>
        </w:rPr>
        <w:t xml:space="preserve">It is, therefore, respectfully prayed that this Hon'ble Court may be pleased to permit the Plaintiff to withdraw the present suit unconditionally, and to dispose of the same as withdrawn, with no order as to costs.</w:t>
      </w:r>
    </w:p>
    <w:p>
      <w:pPr>
        <w:spacing w:after="160"/>
        <w:jc w:val="both"/>
      </w:pPr>
      <w:r>
        <w:rPr>
          <w:rFonts w:ascii="Arial" w:cs="Arial" w:eastAsia="Arial" w:hAnsi="Arial"/>
          <w:sz w:val="22"/>
          <w:szCs w:val="22"/>
        </w:rPr>
        <w:t xml:space="preserve">PLAINTIFF</w:t>
      </w:r>
    </w:p>
    <w:p>
      <w:pPr>
        <w:spacing w:after="160"/>
        <w:jc w:val="both"/>
      </w:pPr>
      <w:r>
        <w:rPr>
          <w:rFonts w:ascii="Arial" w:cs="Arial" w:eastAsia="Arial" w:hAnsi="Arial"/>
          <w:sz w:val="22"/>
          <w:szCs w:val="22"/>
        </w:rPr>
        <w:t xml:space="preserve">Through Counsel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sz w:val="16"/>
        <w:szCs w:val="16"/>
      </w:rPr>
      <w:t xml:space="preserve">Module 02 — Writing Exercises on Drafting and Pleading (Civil)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8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2026-06-30T10:00:48.968Z</dcterms:created>
  <dcterms:modified xsi:type="dcterms:W3CDTF">2026-06-30T10:00:48.968Z</dcterms:modified>
</cp:coreProperties>
</file>

<file path=docProps/custom.xml><?xml version="1.0" encoding="utf-8"?>
<Properties xmlns="http://schemas.openxmlformats.org/officeDocument/2006/custom-properties" xmlns:vt="http://schemas.openxmlformats.org/officeDocument/2006/docPropsVTypes"/>
</file>