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7AE8" w:rsidRPr="002A7AE8" w:rsidRDefault="002A7AE8" w:rsidP="002A7AE8">
      <w:pPr>
        <w:jc w:val="center"/>
        <w:rPr>
          <w:rFonts w:cstheme="minorHAnsi"/>
          <w:sz w:val="28"/>
          <w:szCs w:val="28"/>
        </w:rPr>
      </w:pPr>
      <w:bookmarkStart w:id="0" w:name="_GoBack"/>
      <w:bookmarkEnd w:id="0"/>
      <w:r w:rsidRPr="002A7AE8">
        <w:rPr>
          <w:rFonts w:cstheme="minorHAnsi"/>
          <w:sz w:val="28"/>
          <w:szCs w:val="28"/>
        </w:rPr>
        <w:t>Module 1 : CH : 1</w:t>
      </w:r>
    </w:p>
    <w:p w:rsidR="002A7AE8" w:rsidRDefault="002A7AE8" w:rsidP="002A7AE8">
      <w:pPr>
        <w:jc w:val="center"/>
        <w:rPr>
          <w:rFonts w:cstheme="minorHAnsi"/>
          <w:sz w:val="28"/>
          <w:szCs w:val="28"/>
        </w:rPr>
      </w:pPr>
      <w:r w:rsidRPr="002A7AE8">
        <w:rPr>
          <w:rFonts w:cstheme="minorHAnsi"/>
          <w:sz w:val="28"/>
          <w:szCs w:val="28"/>
        </w:rPr>
        <w:t>Introduction to intellectual property rights (IPR)</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Intellectual Property Rights (IPR) are legal rights granted to individuals or organisations over creations of the human mind. These creations span a wide range of intellectual activity, covering inventions, literary and artistic works, trademarks, industrial designs, geographical indications, trade secrets, and other forms of creative output. At their core, IPR exist to encourage innovation and creativity by conferring exclusive rights upon creators for a defined period.</w:t>
      </w:r>
    </w:p>
    <w:p w:rsidR="002A7AE8" w:rsidRPr="002A7AE8" w:rsidRDefault="002A7AE8" w:rsidP="002A7AE8">
      <w:pPr>
        <w:rPr>
          <w:rFonts w:cstheme="minorHAnsi"/>
          <w:sz w:val="28"/>
          <w:szCs w:val="28"/>
        </w:rPr>
      </w:pPr>
      <w:r w:rsidRPr="002A7AE8">
        <w:rPr>
          <w:rFonts w:cstheme="minorHAnsi"/>
          <w:sz w:val="28"/>
          <w:szCs w:val="28"/>
        </w:rPr>
        <w:t>In today's knowledge-driven economy, intellectual property has become one of the most valuable assets for both businesses and nations. Protecting IP fosters research and development, technological progress, cultural expression, and fair market competition. The rapid pace of globalisation and digital transformation has only amplified its significance, leading to comprehensive national laws and international frameworks that govern the protection of intellectual creations across borders.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Meaning of intellectual property</w:t>
      </w:r>
    </w:p>
    <w:p w:rsidR="002A7AE8" w:rsidRPr="002A7AE8" w:rsidRDefault="002A7AE8" w:rsidP="002A7AE8">
      <w:pPr>
        <w:rPr>
          <w:rFonts w:cstheme="minorHAnsi"/>
          <w:sz w:val="28"/>
          <w:szCs w:val="28"/>
        </w:rPr>
      </w:pPr>
      <w:r w:rsidRPr="002A7AE8">
        <w:rPr>
          <w:rFonts w:cstheme="minorHAnsi"/>
          <w:sz w:val="28"/>
          <w:szCs w:val="28"/>
        </w:rPr>
        <w:t>The term 'Intellectual Property' refers to property arising from intellectual activity in the industrial, scientific, literary, and artistic domains. Unlike tangible property, it is intangible in nature — it does not exist in a physical form but rather as ideas, expressions, inventions, symbols, and creations of the mind. The law, however, recognises such intangible creations as property and extends legal protection to them.</w:t>
      </w:r>
    </w:p>
    <w:p w:rsidR="002A7AE8" w:rsidRPr="002A7AE8" w:rsidRDefault="002A7AE8" w:rsidP="002A7AE8">
      <w:pPr>
        <w:rPr>
          <w:rFonts w:cstheme="minorHAnsi"/>
          <w:sz w:val="28"/>
          <w:szCs w:val="28"/>
        </w:rPr>
      </w:pPr>
      <w:r w:rsidRPr="002A7AE8">
        <w:rPr>
          <w:rFonts w:cstheme="minorHAnsi"/>
          <w:sz w:val="28"/>
          <w:szCs w:val="28"/>
        </w:rPr>
        <w:t>According to the Convention Establishing the World Intellectual Property Organization (WIPO), intellectual property encompasses rights relating to literary, artistic and scientific works; performances of artists; inventions in all fields of human endeavour; scientific discoveries; industrial designs; trademarks, service marks and commercial names; and protection against unfair competition. IPR are thus the legal mechanisms through which creators obtain formal recognition and derive economic value from their work.</w:t>
      </w:r>
    </w:p>
    <w:p w:rsidR="002A7AE8" w:rsidRPr="002A7AE8" w:rsidRDefault="002A7AE8" w:rsidP="002A7AE8">
      <w:pPr>
        <w:rPr>
          <w:rFonts w:cstheme="minorHAnsi"/>
          <w:sz w:val="28"/>
          <w:szCs w:val="28"/>
        </w:rPr>
      </w:pPr>
      <w:r w:rsidRPr="002A7AE8">
        <w:rPr>
          <w:rFonts w:cstheme="minorHAnsi"/>
          <w:sz w:val="28"/>
          <w:szCs w:val="28"/>
        </w:rPr>
        <w:t>Essential features of intellectual property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is a creation of the human intellect and not merely a product of physical labour.</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It is intangible property, existing in the form of ideas, expressions, and knowledge.</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confers exclusive rights upon the owner to use, exploit, or deal with the protected creation.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 xml:space="preserve">Protection is generally granted for a limited duration, after which the creation enters the public domain (except trade secrets and certain moral rights). </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promotes innovation, creativity, and the progress of science and culture.</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possesses commercial value and may be licensed, assigned, mortgaged, or transferred like any other property.</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History and origin of intellectual property rights</w:t>
      </w:r>
    </w:p>
    <w:p w:rsidR="002A7AE8" w:rsidRPr="002A7AE8" w:rsidRDefault="002A7AE8" w:rsidP="002A7AE8">
      <w:pPr>
        <w:rPr>
          <w:rFonts w:cstheme="minorHAnsi"/>
          <w:sz w:val="28"/>
          <w:szCs w:val="28"/>
        </w:rPr>
      </w:pPr>
      <w:r w:rsidRPr="002A7AE8">
        <w:rPr>
          <w:rFonts w:cstheme="minorHAnsi"/>
          <w:sz w:val="28"/>
          <w:szCs w:val="28"/>
        </w:rPr>
        <w:t>The concept of intellectual property developed over several centuries, evolving alongside advancements in trade, commerce, science, literature, and technology. The formal legal frameworks in existence today are the outcome of a long process of historical development at both national and international levels.</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Early development</w:t>
      </w:r>
    </w:p>
    <w:p w:rsidR="002A7AE8" w:rsidRPr="002A7AE8" w:rsidRDefault="002A7AE8" w:rsidP="002A7AE8">
      <w:pPr>
        <w:rPr>
          <w:rFonts w:cstheme="minorHAnsi"/>
          <w:sz w:val="28"/>
          <w:szCs w:val="28"/>
        </w:rPr>
      </w:pPr>
      <w:r w:rsidRPr="002A7AE8">
        <w:rPr>
          <w:rFonts w:cstheme="minorHAnsi"/>
          <w:sz w:val="28"/>
          <w:szCs w:val="28"/>
        </w:rPr>
        <w:t>The earliest forms of IP protection can be traced to ancient civilisations, where craftsmen used distinctive marks on goods to indicate their origin and quality. During the Renaissance, inventors began seeking protection against unauthorised copying of their work to safeguard economic returns.</w:t>
      </w:r>
    </w:p>
    <w:p w:rsidR="002A7AE8" w:rsidRPr="002A7AE8" w:rsidRDefault="002A7AE8" w:rsidP="002A7AE8">
      <w:pPr>
        <w:rPr>
          <w:rFonts w:cstheme="minorHAnsi"/>
          <w:sz w:val="28"/>
          <w:szCs w:val="28"/>
        </w:rPr>
      </w:pPr>
      <w:r w:rsidRPr="002A7AE8">
        <w:rPr>
          <w:rFonts w:cstheme="minorHAnsi"/>
          <w:sz w:val="28"/>
          <w:szCs w:val="28"/>
        </w:rPr>
        <w:t>The first formal patent system is acknowledged to have emerged in Venice in 1474, when the Venetian Republic enacted a statute granting exclusive rights to inventors for novel devices — considered the earliest statutory patent law in recorded history. In England, the Statute of Monopolies, 1624, laid the foundations of modern patent law by restricting Crown monopolies and confining patent rights to genuine inventors. The Statute of Anne, 1710, is generally regarded as the first modern copyright statute, recognising authors' rights over their published works.</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International development</w:t>
      </w:r>
    </w:p>
    <w:p w:rsidR="002A7AE8" w:rsidRPr="002A7AE8" w:rsidRDefault="002A7AE8" w:rsidP="002A7AE8">
      <w:pPr>
        <w:rPr>
          <w:rFonts w:cstheme="minorHAnsi"/>
          <w:sz w:val="28"/>
          <w:szCs w:val="28"/>
        </w:rPr>
      </w:pPr>
      <w:r w:rsidRPr="002A7AE8">
        <w:rPr>
          <w:rFonts w:cstheme="minorHAnsi"/>
          <w:sz w:val="28"/>
          <w:szCs w:val="28"/>
        </w:rPr>
        <w:t xml:space="preserve">As global trade expanded, the inadequacy of purely domestic protection became clear. Creators required protection not only within their home </w:t>
      </w:r>
      <w:r w:rsidRPr="002A7AE8">
        <w:rPr>
          <w:rFonts w:cstheme="minorHAnsi"/>
          <w:sz w:val="28"/>
          <w:szCs w:val="28"/>
        </w:rPr>
        <w:lastRenderedPageBreak/>
        <w:t>countries but also in foreign markets. This need gave rise to several landmark international conventions: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Paris Convention for the Protection of Industrial Property, 1883, was the first major multilateral treaty on industrial property, covering patents, trademarks, and industrial designs.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Berne Convention for the Protection of Literary and Artistic Works, 1886, established the first international framework for copyright, requiring member states to protect works of foreign authors.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World Intellectual Property Organization (WIPO) was established by the WIPO Convention signed at Stockholm in 1967 and became a specialised United Nations agency in 1974.</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TRIPS Agreement (Trade-Related Aspects of Intellectual Property Rights), 1994, negotiated under the WTO, set minimum standards of IP protection applicable to all WTO member states.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India, as a founding member of the WTO and party to major international IP treaties, has progressively amended its domestic legislation to meet international obligations, particularly in patent, copyright, and trademark law.</w:t>
      </w: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Theories of intellectual property rights</w:t>
      </w:r>
    </w:p>
    <w:p w:rsidR="002A7AE8" w:rsidRPr="002A7AE8" w:rsidRDefault="002A7AE8" w:rsidP="002A7AE8">
      <w:pPr>
        <w:rPr>
          <w:rFonts w:cstheme="minorHAnsi"/>
          <w:sz w:val="28"/>
          <w:szCs w:val="28"/>
        </w:rPr>
      </w:pPr>
      <w:r w:rsidRPr="002A7AE8">
        <w:rPr>
          <w:rFonts w:cstheme="minorHAnsi"/>
          <w:sz w:val="28"/>
          <w:szCs w:val="28"/>
        </w:rPr>
        <w:t>Theories of IPR explain the philosophical, legal, economic, and social rationale for granting protection over creations of the human mind. Each theory offers a distinct justification for why creators should receive exclusive rights and how society benefits from such protection.</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Natural rights theory / Labour theory (Lockean theory)</w:t>
      </w:r>
    </w:p>
    <w:p w:rsidR="002A7AE8" w:rsidRPr="002A7AE8" w:rsidRDefault="002A7AE8" w:rsidP="002A7AE8">
      <w:pPr>
        <w:rPr>
          <w:rFonts w:cstheme="minorHAnsi"/>
          <w:sz w:val="28"/>
          <w:szCs w:val="28"/>
        </w:rPr>
      </w:pPr>
      <w:r w:rsidRPr="002A7AE8">
        <w:rPr>
          <w:rFonts w:cstheme="minorHAnsi"/>
          <w:sz w:val="28"/>
          <w:szCs w:val="28"/>
        </w:rPr>
        <w:t xml:space="preserve">Associated with philosopher John Locke, this theory holds that a person has a natural right over the products of their own labour, effort, and intellect. When an individual applies mental labour to create an invention, literary work, or artistic expression, they deserve ownership over that creation. Locke also imposed two limiting conditions: the 'enough and as good condition' (ownership is justified only if sufficient resources remain available for others) and the 'no waste condition' (one should not claim more than can be effectively used). The principal criticism is that intellectual creations, unlike </w:t>
      </w:r>
      <w:r w:rsidRPr="002A7AE8">
        <w:rPr>
          <w:rFonts w:cstheme="minorHAnsi"/>
          <w:sz w:val="28"/>
          <w:szCs w:val="28"/>
        </w:rPr>
        <w:lastRenderedPageBreak/>
        <w:t>physical property, can be simultaneously used by many people, so excessive protection may restrict public access to knowledge.</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Utilitarian theory / Incentive theory</w:t>
      </w:r>
    </w:p>
    <w:p w:rsidR="002A7AE8" w:rsidRPr="002A7AE8" w:rsidRDefault="002A7AE8" w:rsidP="002A7AE8">
      <w:pPr>
        <w:rPr>
          <w:rFonts w:cstheme="minorHAnsi"/>
          <w:sz w:val="28"/>
          <w:szCs w:val="28"/>
        </w:rPr>
      </w:pPr>
      <w:r w:rsidRPr="002A7AE8">
        <w:rPr>
          <w:rFonts w:cstheme="minorHAnsi"/>
          <w:sz w:val="28"/>
          <w:szCs w:val="28"/>
        </w:rPr>
        <w:t>Linked to Jeremy Bentham and John Stuart Mill, this theory holds that IPR exist not because creators naturally own ideas, but because granting rights produces the greatest good for the greatest number. Creating inventions, books, medicines, or technology demands significant time, capital, and skill. Without legal protection, free-riding by competitors would discourage such investment. Society therefore grants temporary exclusive rights as an incentive. Once the protection period expires, the creation enters the public domain. A key criticism is that strong monopolies can inflate prices and restrict access to essential knowledge and medicines.</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Personality theory (Personhood theory)</w:t>
      </w:r>
    </w:p>
    <w:p w:rsidR="002A7AE8" w:rsidRPr="002A7AE8" w:rsidRDefault="002A7AE8" w:rsidP="002A7AE8">
      <w:pPr>
        <w:rPr>
          <w:rFonts w:cstheme="minorHAnsi"/>
          <w:sz w:val="28"/>
          <w:szCs w:val="28"/>
        </w:rPr>
      </w:pPr>
      <w:r w:rsidRPr="002A7AE8">
        <w:rPr>
          <w:rFonts w:cstheme="minorHAnsi"/>
          <w:sz w:val="28"/>
          <w:szCs w:val="28"/>
        </w:rPr>
        <w:t>Associated with Hegel and Kant, this theory views intellectual creations as expressions of the creator's personality, identity, and individuality. Because a creator's thoughts and feelings are embedded in their work, they should retain control over how it is used. This theory strongly influences copyright law, particularly the concept of moral rights — specifically the right of attribution (to be recognised as author) and the right of integrity (to object to distortions that damage reputation). Its primary limitation is that it applies more forcefully to artistic works than to industrial inventions.</w:t>
      </w: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Social planning theory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This theory views IPR as a tool for broader social and cultural development. Rather than solely rewarding creators, IP law should maximise social welfare by promoting education, scientific progress, and access to knowledge. Governments balance private rights and public interests through limited durations of protection, fair use provisions, exceptions, and compulsory licensing. For instance, patent law may permit compulsory licensing of medicines when public health needs outweigh private monopoly interests. The challenge lies in correctly calibrating this balance without undermining incentives for creators.</w:t>
      </w: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Economic theory / Reward theory</w:t>
      </w:r>
    </w:p>
    <w:p w:rsidR="002A7AE8" w:rsidRPr="002A7AE8" w:rsidRDefault="002A7AE8" w:rsidP="002A7AE8">
      <w:pPr>
        <w:rPr>
          <w:rFonts w:cstheme="minorHAnsi"/>
          <w:sz w:val="28"/>
          <w:szCs w:val="28"/>
        </w:rPr>
      </w:pPr>
      <w:r w:rsidRPr="002A7AE8">
        <w:rPr>
          <w:rFonts w:cstheme="minorHAnsi"/>
          <w:sz w:val="28"/>
          <w:szCs w:val="28"/>
        </w:rPr>
        <w:lastRenderedPageBreak/>
        <w:t>This theory treats IPR as a reward to creators for their contribution to society. Since creators invest capital, skill, time, and knowledge, they deserve economic benefits in return. IPR enables creators to commercialise their work, earn profits, license their creations, and recover investment costs. Common examples include pharmaceutical companies receiving patent protection for drug development and authors earning royalties through copyright. The criticism is that economic reward alone does not explain all forms of creative motivation — many creators are driven by reputation, passion, or public benefit.</w:t>
      </w: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Incentive to innovate theory</w:t>
      </w:r>
    </w:p>
    <w:p w:rsidR="002A7AE8" w:rsidRPr="002A7AE8" w:rsidRDefault="002A7AE8" w:rsidP="002A7AE8">
      <w:pPr>
        <w:rPr>
          <w:rFonts w:cstheme="minorHAnsi"/>
          <w:sz w:val="28"/>
          <w:szCs w:val="28"/>
        </w:rPr>
      </w:pPr>
      <w:r w:rsidRPr="002A7AE8">
        <w:rPr>
          <w:rFonts w:cstheme="minorHAnsi"/>
          <w:sz w:val="28"/>
          <w:szCs w:val="28"/>
        </w:rPr>
        <w:t>This theory posits that innovation will decline if creators cannot control or benefit from their inventions. IPR provides a temporary monopoly to motivate future creativity. Without this protection, competitors could immediately copy inventions, causing original creators to suffer losses and discouraging investment in research. Patent protection, for example, incentivises companies to invest in expensive research areas such as medicine, biotechnology, and advanced technology.</w:t>
      </w: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Disclosure theory (Patent bargain theory)</w:t>
      </w:r>
    </w:p>
    <w:p w:rsidR="002A7AE8" w:rsidRPr="002A7AE8" w:rsidRDefault="002A7AE8" w:rsidP="002A7AE8">
      <w:pPr>
        <w:rPr>
          <w:rFonts w:cstheme="minorHAnsi"/>
          <w:sz w:val="28"/>
          <w:szCs w:val="28"/>
        </w:rPr>
      </w:pPr>
      <w:r w:rsidRPr="002A7AE8">
        <w:rPr>
          <w:rFonts w:cstheme="minorHAnsi"/>
          <w:sz w:val="28"/>
          <w:szCs w:val="28"/>
        </w:rPr>
        <w:t>Particularly significant in patent law, this theory describes a bargain between the inventor and society. In exchange for a temporary exclusive right, the inventor fully discloses the technical knowledge behind the invention through a patent document. After the patent expires, the information is freely available to the public. This approach expands the common pool of knowledge, prevents permanent secrecy over important discoveries, and stimulates further research and development.</w:t>
      </w: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Economic efficiency theory</w:t>
      </w:r>
    </w:p>
    <w:p w:rsidR="002A7AE8" w:rsidRPr="002A7AE8" w:rsidRDefault="002A7AE8" w:rsidP="002A7AE8">
      <w:pPr>
        <w:rPr>
          <w:rFonts w:cstheme="minorHAnsi"/>
          <w:sz w:val="28"/>
          <w:szCs w:val="28"/>
        </w:rPr>
      </w:pPr>
      <w:r w:rsidRPr="002A7AE8">
        <w:rPr>
          <w:rFonts w:cstheme="minorHAnsi"/>
          <w:sz w:val="28"/>
          <w:szCs w:val="28"/>
        </w:rPr>
        <w:t>This theory argues that IPR facilitates the efficient allocation of intellectual resources in the economy. It treats intellectual creations as valuable assets that can be bought, sold, licensed, and commercialised, thereby creating functioning markets for innovation, encouraging investment, and supporting technology transfer. The principal concern is that excessive commercialisation may impede the free exchange of ideas that is essential for continued innovation.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lastRenderedPageBreak/>
        <w:t>5.</w:t>
      </w:r>
      <w:r w:rsidRPr="002A7AE8">
        <w:rPr>
          <w:rFonts w:cstheme="minorHAnsi"/>
          <w:sz w:val="28"/>
          <w:szCs w:val="28"/>
        </w:rPr>
        <w:tab/>
        <w:t>Conclusion</w:t>
      </w:r>
    </w:p>
    <w:p w:rsidR="002A7AE8" w:rsidRPr="002A7AE8" w:rsidRDefault="002A7AE8" w:rsidP="002A7AE8">
      <w:pPr>
        <w:rPr>
          <w:rFonts w:cstheme="minorHAnsi"/>
          <w:sz w:val="28"/>
          <w:szCs w:val="28"/>
        </w:rPr>
      </w:pPr>
      <w:r w:rsidRPr="002A7AE8">
        <w:rPr>
          <w:rFonts w:cstheme="minorHAnsi"/>
          <w:sz w:val="28"/>
          <w:szCs w:val="28"/>
        </w:rPr>
        <w:t>Intellectual Property Rights form an indispensable part of modern legal systems, innovation ecosystems, and economic development. By conferring legal recognition and exclusive rights upon creators, inventors, and businesses, IP laws provide the essential incentive structure that drives investment in research and development, artistic creation, and technological advancement. The various forms of IP protection</w:t>
      </w:r>
    </w:p>
    <w:p w:rsidR="002A7AE8" w:rsidRPr="002A7AE8" w:rsidRDefault="002A7AE8" w:rsidP="002A7AE8">
      <w:pPr>
        <w:rPr>
          <w:rFonts w:cstheme="minorHAnsi"/>
          <w:sz w:val="28"/>
          <w:szCs w:val="28"/>
        </w:rPr>
      </w:pPr>
      <w:r w:rsidRPr="002A7AE8">
        <w:rPr>
          <w:rFonts w:cstheme="minorHAnsi"/>
          <w:sz w:val="28"/>
          <w:szCs w:val="28"/>
        </w:rPr>
        <w:t>— patents, copyright, trademarks, geographical indications, industrial designs, and trade secrets — together address the full spectrum of human intellectual and creative activity. A sound understanding of the foundational theories and historical development of IPR is essential for navigating the complex legal landscape that governs intellectual property today.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1 : CH : 2 International conventions</w:t>
      </w:r>
    </w:p>
    <w:p w:rsidR="002A7AE8" w:rsidRPr="002A7AE8" w:rsidRDefault="002A7AE8" w:rsidP="002A7AE8">
      <w:pPr>
        <w:rPr>
          <w:rFonts w:cstheme="minorHAnsi"/>
          <w:sz w:val="28"/>
          <w:szCs w:val="28"/>
        </w:rPr>
      </w:pPr>
      <w:r w:rsidRPr="002A7AE8">
        <w:rPr>
          <w:rFonts w:cstheme="minorHAnsi"/>
          <w:sz w:val="28"/>
          <w:szCs w:val="28"/>
        </w:rPr>
        <w:t>International intellectual property conventions are multilateral treaties through which nations agree to mutually recognise and protect IP rights across borders. These agreements have built the legal architecture of global IP protection, making it possible for inventors, authors, and businesses to secure rights in multiple countries simultaneously. The key conventions are discussed below.</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Paris Convention for the Protection of Industrial Property, 1883</w:t>
      </w:r>
    </w:p>
    <w:p w:rsidR="002A7AE8" w:rsidRPr="002A7AE8" w:rsidRDefault="002A7AE8" w:rsidP="002A7AE8">
      <w:pPr>
        <w:rPr>
          <w:rFonts w:cstheme="minorHAnsi"/>
          <w:sz w:val="28"/>
          <w:szCs w:val="28"/>
        </w:rPr>
      </w:pPr>
      <w:r w:rsidRPr="002A7AE8">
        <w:rPr>
          <w:rFonts w:cstheme="minorHAnsi"/>
          <w:sz w:val="28"/>
          <w:szCs w:val="28"/>
        </w:rPr>
        <w:t>Adopted on 20 March 1883 and administered by WIPO, the Paris Convention is one of the earliest and most significant IP treaties in history. It covers industrial property rights including patents, trademarks, industrial designs, trade names, geographical indications, and protection against unfair competition. India acceded to this Convention in 1998. Currently, more than 175 countries are contracting parties.</w:t>
      </w:r>
    </w:p>
    <w:p w:rsidR="002A7AE8" w:rsidRPr="002A7AE8" w:rsidRDefault="002A7AE8" w:rsidP="002A7AE8">
      <w:pPr>
        <w:rPr>
          <w:rFonts w:cstheme="minorHAnsi"/>
          <w:sz w:val="28"/>
          <w:szCs w:val="28"/>
        </w:rPr>
      </w:pPr>
      <w:r w:rsidRPr="002A7AE8">
        <w:rPr>
          <w:rFonts w:cstheme="minorHAnsi"/>
          <w:sz w:val="28"/>
          <w:szCs w:val="28"/>
        </w:rPr>
        <w:t>Objectives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To provide international protection for industrial property rights.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To ensure nationals of member states receive equal treatment in all other member states (national treatment principle).</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To establish common minimum standards of industrial property protection across member countries.</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To combat unfair competition in international trade.</w:t>
      </w:r>
    </w:p>
    <w:p w:rsidR="002A7AE8" w:rsidRPr="002A7AE8" w:rsidRDefault="002A7AE8" w:rsidP="002A7AE8">
      <w:pPr>
        <w:rPr>
          <w:rFonts w:cstheme="minorHAnsi"/>
          <w:sz w:val="28"/>
          <w:szCs w:val="28"/>
        </w:rPr>
      </w:pPr>
      <w:r w:rsidRPr="002A7AE8">
        <w:rPr>
          <w:rFonts w:cstheme="minorHAnsi"/>
          <w:sz w:val="28"/>
          <w:szCs w:val="28"/>
        </w:rPr>
        <w:t>Important principles</w:t>
      </w:r>
    </w:p>
    <w:p w:rsidR="002A7AE8" w:rsidRPr="002A7AE8" w:rsidRDefault="002A7AE8" w:rsidP="002A7AE8">
      <w:pPr>
        <w:rPr>
          <w:rFonts w:cstheme="minorHAnsi"/>
          <w:sz w:val="28"/>
          <w:szCs w:val="28"/>
        </w:rPr>
      </w:pPr>
      <w:r w:rsidRPr="002A7AE8">
        <w:rPr>
          <w:rFonts w:cstheme="minorHAnsi"/>
          <w:sz w:val="28"/>
          <w:szCs w:val="28"/>
        </w:rPr>
        <w:t>National treatment: Each member state must grant nationals of other member states the same protection for industrial property as it grants to its own nationals. This prevents discriminatory treatment of foreign right-holders.</w:t>
      </w:r>
    </w:p>
    <w:p w:rsidR="002A7AE8" w:rsidRPr="002A7AE8" w:rsidRDefault="002A7AE8" w:rsidP="002A7AE8">
      <w:pPr>
        <w:rPr>
          <w:rFonts w:cstheme="minorHAnsi"/>
          <w:sz w:val="28"/>
          <w:szCs w:val="28"/>
        </w:rPr>
      </w:pPr>
      <w:r w:rsidRPr="002A7AE8">
        <w:rPr>
          <w:rFonts w:cstheme="minorHAnsi"/>
          <w:sz w:val="28"/>
          <w:szCs w:val="28"/>
        </w:rPr>
        <w:t>Right of priority: An applicant who files for a patent or trademark in one member state may, within a specified period — twelve months for patents and six months for trademarks and industrial designs — claim the same priority date in other member states. This makes it practicable to seek protection in multiple countries without losing the original filing date.</w:t>
      </w:r>
    </w:p>
    <w:p w:rsidR="002A7AE8" w:rsidRPr="002A7AE8" w:rsidRDefault="002A7AE8" w:rsidP="002A7AE8">
      <w:pPr>
        <w:rPr>
          <w:rFonts w:cstheme="minorHAnsi"/>
          <w:sz w:val="28"/>
          <w:szCs w:val="28"/>
        </w:rPr>
      </w:pPr>
      <w:r w:rsidRPr="002A7AE8">
        <w:rPr>
          <w:rFonts w:cstheme="minorHAnsi"/>
          <w:sz w:val="28"/>
          <w:szCs w:val="28"/>
        </w:rPr>
        <w:t>Common rules: The Convention sets minimum substantive standards that all member states must incorporate into their domestic legislation.</w:t>
      </w:r>
    </w:p>
    <w:p w:rsidR="002A7AE8" w:rsidRPr="002A7AE8" w:rsidRDefault="002A7AE8" w:rsidP="002A7AE8">
      <w:pPr>
        <w:rPr>
          <w:rFonts w:cstheme="minorHAnsi"/>
          <w:sz w:val="28"/>
          <w:szCs w:val="28"/>
        </w:rPr>
      </w:pPr>
      <w:r w:rsidRPr="002A7AE8">
        <w:rPr>
          <w:rFonts w:cstheme="minorHAnsi"/>
          <w:sz w:val="28"/>
          <w:szCs w:val="28"/>
        </w:rPr>
        <w:t>Recent developments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Digitalisation of patent filing systems and online international patent cooperation.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Stronger protection for geographical indications.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Harmonization of industrial property laws.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Increased technical assistance to developing countries through WIPO programmes.</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Berne Convention for the Protection of Literary and Artistic Works, 1886 Adopted on 9 September 1886 and administered by WIPO, the Berne Convention is the foundational international treaty on copyright law. It establishes a framework for mutual recognition of copyright among member states and prescribes minimum protection standards for literary and artistic works. India has been a member since 1928, and the Convention currently has more than 180 contracting states. Objectives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To protect the rights of authors and creators in respect of their literary and artistic works on an international basis.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To ensure authors from member states receive equal treatment in other member states (national treatment).</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To promote global creative expression by establishing reliable international copyright standards.</w:t>
      </w:r>
    </w:p>
    <w:p w:rsidR="002A7AE8" w:rsidRPr="002A7AE8" w:rsidRDefault="002A7AE8" w:rsidP="002A7AE8">
      <w:pPr>
        <w:rPr>
          <w:rFonts w:cstheme="minorHAnsi"/>
          <w:sz w:val="28"/>
          <w:szCs w:val="28"/>
        </w:rPr>
      </w:pPr>
      <w:r w:rsidRPr="002A7AE8">
        <w:rPr>
          <w:rFonts w:cstheme="minorHAnsi"/>
          <w:sz w:val="28"/>
          <w:szCs w:val="28"/>
        </w:rPr>
        <w:t>Key principles</w:t>
      </w:r>
    </w:p>
    <w:p w:rsidR="002A7AE8" w:rsidRPr="002A7AE8" w:rsidRDefault="002A7AE8" w:rsidP="002A7AE8">
      <w:pPr>
        <w:rPr>
          <w:rFonts w:cstheme="minorHAnsi"/>
          <w:sz w:val="28"/>
          <w:szCs w:val="28"/>
        </w:rPr>
      </w:pPr>
      <w:r w:rsidRPr="002A7AE8">
        <w:rPr>
          <w:rFonts w:cstheme="minorHAnsi"/>
          <w:sz w:val="28"/>
          <w:szCs w:val="28"/>
        </w:rPr>
        <w:t>National treatment: Authors from member states are entitled to the same rights in other member states as those states grant to their own nationals.</w:t>
      </w:r>
    </w:p>
    <w:p w:rsidR="002A7AE8" w:rsidRPr="002A7AE8" w:rsidRDefault="002A7AE8" w:rsidP="002A7AE8">
      <w:pPr>
        <w:rPr>
          <w:rFonts w:cstheme="minorHAnsi"/>
          <w:sz w:val="28"/>
          <w:szCs w:val="28"/>
        </w:rPr>
      </w:pPr>
      <w:r w:rsidRPr="002A7AE8">
        <w:rPr>
          <w:rFonts w:cstheme="minorHAnsi"/>
          <w:sz w:val="28"/>
          <w:szCs w:val="28"/>
        </w:rPr>
        <w:t>Automatic protection: Copyright arises automatically upon creation of an original work. No formal registration, deposit, or procedural step is required.</w:t>
      </w:r>
    </w:p>
    <w:p w:rsidR="002A7AE8" w:rsidRPr="002A7AE8" w:rsidRDefault="002A7AE8" w:rsidP="002A7AE8">
      <w:pPr>
        <w:rPr>
          <w:rFonts w:cstheme="minorHAnsi"/>
          <w:sz w:val="28"/>
          <w:szCs w:val="28"/>
        </w:rPr>
      </w:pPr>
      <w:r w:rsidRPr="002A7AE8">
        <w:rPr>
          <w:rFonts w:cstheme="minorHAnsi"/>
          <w:sz w:val="28"/>
          <w:szCs w:val="28"/>
        </w:rPr>
        <w:t>Independence of protection: The protection granted in a member state is independent of whether protection exists or the scope of protection in the country of origin of the work.</w:t>
      </w:r>
    </w:p>
    <w:p w:rsidR="002A7AE8" w:rsidRPr="002A7AE8" w:rsidRDefault="002A7AE8" w:rsidP="002A7AE8">
      <w:pPr>
        <w:rPr>
          <w:rFonts w:cstheme="minorHAnsi"/>
          <w:sz w:val="28"/>
          <w:szCs w:val="28"/>
        </w:rPr>
      </w:pPr>
      <w:r w:rsidRPr="002A7AE8">
        <w:rPr>
          <w:rFonts w:cstheme="minorHAnsi"/>
          <w:sz w:val="28"/>
          <w:szCs w:val="28"/>
        </w:rPr>
        <w:t>Recent developments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Protection of digital copyright and internet copyright regulation.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Extension of protection to software and databases.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Developments under the WIPO Copyright Treaty and measures against online piracy.</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TRIPS Agreement, 1994</w:t>
      </w:r>
    </w:p>
    <w:p w:rsidR="002A7AE8" w:rsidRPr="002A7AE8" w:rsidRDefault="002A7AE8" w:rsidP="002A7AE8">
      <w:pPr>
        <w:rPr>
          <w:rFonts w:cstheme="minorHAnsi"/>
          <w:sz w:val="28"/>
          <w:szCs w:val="28"/>
        </w:rPr>
      </w:pPr>
      <w:r w:rsidRPr="002A7AE8">
        <w:rPr>
          <w:rFonts w:cstheme="minorHAnsi"/>
          <w:sz w:val="28"/>
          <w:szCs w:val="28"/>
        </w:rPr>
        <w:t>The Agreement on Trade-Related Aspects of Intellectual Property Rights (TRIPS) was negotiated during the Uruguay Round of multilateral trade negotiations and came into force on 1 January 1995, alongside the establishment of the World Trade Organization (WTO). TRIPS is the most comprehensive multilateral agreement on intellectual property, establishing binding minimum standards of protection for all categories of IP across all WTO member states. India, as a founding member of the WTO, is fully bound by TRIPS obligations.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Objectives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To reduce distortions and impediments to international trade arising from inadequate or inconsistent IP protection.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To ensure effective and adequate IP protection across all WTO member states.</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To promote technological innovation and the transfer and dissemination of technology for mutual benefit.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To balance the rights of IP owners with the broader public interest, including access to knowledge and technology.</w:t>
      </w:r>
    </w:p>
    <w:p w:rsidR="002A7AE8" w:rsidRPr="002A7AE8" w:rsidRDefault="002A7AE8" w:rsidP="002A7AE8">
      <w:pPr>
        <w:rPr>
          <w:rFonts w:cstheme="minorHAnsi"/>
          <w:sz w:val="28"/>
          <w:szCs w:val="28"/>
        </w:rPr>
      </w:pPr>
      <w:r w:rsidRPr="002A7AE8">
        <w:rPr>
          <w:rFonts w:cstheme="minorHAnsi"/>
          <w:sz w:val="28"/>
          <w:szCs w:val="28"/>
        </w:rPr>
        <w:t>Key features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Establishes minimum standards for patents, copyright, trademarks, geographical indications, industrial designs, integrated circuit layout designs, and undisclosed information.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Introduces comprehensive enforcement mechanisms, including civil and criminal remedies for IP infringement.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Provides for settlement of IP-related trade disputes through the WTO dispute settlement mechanism.</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Incorporates the principles of national treatment and Most-Favoured-Nation (MFN) treatment.</w:t>
      </w:r>
    </w:p>
    <w:p w:rsidR="002A7AE8" w:rsidRPr="002A7AE8" w:rsidRDefault="002A7AE8" w:rsidP="002A7AE8">
      <w:pPr>
        <w:rPr>
          <w:rFonts w:cstheme="minorHAnsi"/>
          <w:sz w:val="28"/>
          <w:szCs w:val="28"/>
        </w:rPr>
      </w:pPr>
      <w:r w:rsidRPr="002A7AE8">
        <w:rPr>
          <w:rFonts w:cstheme="minorHAnsi"/>
          <w:sz w:val="28"/>
          <w:szCs w:val="28"/>
        </w:rPr>
        <w:t>Recent developments</w:t>
      </w:r>
    </w:p>
    <w:p w:rsidR="002A7AE8" w:rsidRPr="002A7AE8" w:rsidRDefault="002A7AE8" w:rsidP="002A7AE8">
      <w:pPr>
        <w:rPr>
          <w:rFonts w:cstheme="minorHAnsi"/>
          <w:sz w:val="28"/>
          <w:szCs w:val="28"/>
        </w:rPr>
      </w:pPr>
      <w:r w:rsidRPr="002A7AE8">
        <w:rPr>
          <w:rFonts w:cstheme="minorHAnsi"/>
          <w:sz w:val="28"/>
          <w:szCs w:val="28"/>
        </w:rPr>
        <w:t>The Doha Declaration on TRIPS and Public Health (2001) recognised that IP protection must not prevent countries from taking measures to protect public health. It permitted compulsory licensing and access to affordable medicines, and has since shaped discussions on COVID-19 vaccine access, protection of genetic resources, and traditional knowledge protection.</w:t>
      </w: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Patent Cooperation Treaty (PCT), 1970</w:t>
      </w:r>
    </w:p>
    <w:p w:rsidR="002A7AE8" w:rsidRPr="002A7AE8" w:rsidRDefault="002A7AE8" w:rsidP="002A7AE8">
      <w:pPr>
        <w:rPr>
          <w:rFonts w:cstheme="minorHAnsi"/>
          <w:sz w:val="28"/>
          <w:szCs w:val="28"/>
        </w:rPr>
      </w:pPr>
      <w:r w:rsidRPr="002A7AE8">
        <w:rPr>
          <w:rFonts w:cstheme="minorHAnsi"/>
          <w:sz w:val="28"/>
          <w:szCs w:val="28"/>
        </w:rPr>
        <w:t>Signed in Washington D.C. in 1970 and effective from 1978, the PCT was created to simplify the process of obtaining patent protection across multiple jurisdictions.</w:t>
      </w:r>
    </w:p>
    <w:p w:rsidR="002A7AE8" w:rsidRPr="002A7AE8" w:rsidRDefault="002A7AE8" w:rsidP="002A7AE8">
      <w:pPr>
        <w:rPr>
          <w:rFonts w:cstheme="minorHAnsi"/>
          <w:sz w:val="28"/>
          <w:szCs w:val="28"/>
        </w:rPr>
      </w:pPr>
      <w:r w:rsidRPr="002A7AE8">
        <w:rPr>
          <w:rFonts w:cstheme="minorHAnsi"/>
          <w:sz w:val="28"/>
          <w:szCs w:val="28"/>
        </w:rPr>
        <w:t>More than 155 countries are members, including India (which joined in 1998), the United States, Japan, Germany, and South Korea.</w:t>
      </w:r>
    </w:p>
    <w:p w:rsidR="002A7AE8" w:rsidRPr="002A7AE8" w:rsidRDefault="002A7AE8" w:rsidP="002A7AE8">
      <w:pPr>
        <w:rPr>
          <w:rFonts w:cstheme="minorHAnsi"/>
          <w:sz w:val="28"/>
          <w:szCs w:val="28"/>
        </w:rPr>
      </w:pPr>
      <w:r w:rsidRPr="002A7AE8">
        <w:rPr>
          <w:rFonts w:cstheme="minorHAnsi"/>
          <w:sz w:val="28"/>
          <w:szCs w:val="28"/>
        </w:rPr>
        <w:t>Objectives</w:t>
      </w:r>
    </w:p>
    <w:p w:rsidR="002A7AE8" w:rsidRPr="002A7AE8" w:rsidRDefault="002A7AE8" w:rsidP="002A7AE8">
      <w:pPr>
        <w:rPr>
          <w:rFonts w:cstheme="minorHAnsi"/>
          <w:sz w:val="28"/>
          <w:szCs w:val="28"/>
        </w:rPr>
      </w:pPr>
      <w:r w:rsidRPr="002A7AE8">
        <w:rPr>
          <w:rFonts w:cstheme="minorHAnsi"/>
          <w:sz w:val="28"/>
          <w:szCs w:val="28"/>
        </w:rPr>
        <w:t xml:space="preserve">The PCT allows an inventor to file a single international application that has effect in all contracting states. This eliminates the need to file separate national applications simultaneously, significantly reducing cost and administrative burden. The system also provides for an international search </w:t>
      </w:r>
      <w:r w:rsidRPr="002A7AE8">
        <w:rPr>
          <w:rFonts w:cstheme="minorHAnsi"/>
          <w:sz w:val="28"/>
          <w:szCs w:val="28"/>
        </w:rPr>
        <w:lastRenderedPageBreak/>
        <w:t>and preliminary examination, giving applicants a clearer picture of their invention's patentability before investing in national phase filings.</w:t>
      </w:r>
    </w:p>
    <w:p w:rsidR="002A7AE8" w:rsidRPr="002A7AE8" w:rsidRDefault="002A7AE8" w:rsidP="002A7AE8">
      <w:pPr>
        <w:rPr>
          <w:rFonts w:cstheme="minorHAnsi"/>
          <w:sz w:val="28"/>
          <w:szCs w:val="28"/>
        </w:rPr>
      </w:pPr>
      <w:r w:rsidRPr="002A7AE8">
        <w:rPr>
          <w:rFonts w:cstheme="minorHAnsi"/>
          <w:sz w:val="28"/>
          <w:szCs w:val="28"/>
        </w:rPr>
        <w:t>Recent developments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Electronic patent filing through the ePCT platform.</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AI-assisted international patent searches and digital examination systems.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Dedicated support programmes for startups and universities.</w:t>
      </w:r>
    </w:p>
    <w:p w:rsidR="002A7AE8" w:rsidRPr="002A7AE8" w:rsidRDefault="002A7AE8" w:rsidP="002A7AE8">
      <w:pPr>
        <w:rPr>
          <w:rFonts w:cstheme="minorHAnsi"/>
          <w:sz w:val="28"/>
          <w:szCs w:val="28"/>
        </w:rPr>
      </w:pPr>
      <w:r w:rsidRPr="002A7AE8">
        <w:rPr>
          <w:rFonts w:cstheme="minorHAnsi"/>
          <w:sz w:val="28"/>
          <w:szCs w:val="28"/>
        </w:rPr>
        <w:t>E.</w:t>
      </w:r>
      <w:r w:rsidRPr="002A7AE8">
        <w:rPr>
          <w:rFonts w:cstheme="minorHAnsi"/>
          <w:sz w:val="28"/>
          <w:szCs w:val="28"/>
        </w:rPr>
        <w:tab/>
        <w:t>Madrid Agreement and Madrid Protocol (trademark protection)</w:t>
      </w:r>
    </w:p>
    <w:p w:rsidR="002A7AE8" w:rsidRPr="002A7AE8" w:rsidRDefault="002A7AE8" w:rsidP="002A7AE8">
      <w:pPr>
        <w:rPr>
          <w:rFonts w:cstheme="minorHAnsi"/>
          <w:sz w:val="28"/>
          <w:szCs w:val="28"/>
        </w:rPr>
      </w:pPr>
      <w:r w:rsidRPr="002A7AE8">
        <w:rPr>
          <w:rFonts w:cstheme="minorHAnsi"/>
          <w:sz w:val="28"/>
          <w:szCs w:val="28"/>
        </w:rPr>
        <w:t>The Madrid Agreement was adopted in 1891 and the Madrid Protocol in 1989, together forming the Madrid System — an international framework for trademark registration. India joined the Madrid Protocol in 2013. Other key members include the United States, European Union, and Japan.</w:t>
      </w:r>
    </w:p>
    <w:p w:rsidR="002A7AE8" w:rsidRPr="002A7AE8" w:rsidRDefault="002A7AE8" w:rsidP="002A7AE8">
      <w:pPr>
        <w:rPr>
          <w:rFonts w:cstheme="minorHAnsi"/>
          <w:sz w:val="28"/>
          <w:szCs w:val="28"/>
        </w:rPr>
      </w:pPr>
      <w:r w:rsidRPr="002A7AE8">
        <w:rPr>
          <w:rFonts w:cstheme="minorHAnsi"/>
          <w:sz w:val="28"/>
          <w:szCs w:val="28"/>
        </w:rPr>
        <w:t>Objectives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To allow trademark owners to seek protection in multiple countries through a single international application filed with WIPO.</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To reduce the cost and complexity of managing trademark registrations across jurisdictions.</w:t>
      </w:r>
    </w:p>
    <w:p w:rsidR="002A7AE8" w:rsidRPr="002A7AE8" w:rsidRDefault="002A7AE8" w:rsidP="002A7AE8">
      <w:pPr>
        <w:rPr>
          <w:rFonts w:cstheme="minorHAnsi"/>
          <w:sz w:val="28"/>
          <w:szCs w:val="28"/>
        </w:rPr>
      </w:pPr>
      <w:r w:rsidRPr="002A7AE8">
        <w:rPr>
          <w:rFonts w:cstheme="minorHAnsi"/>
          <w:sz w:val="28"/>
          <w:szCs w:val="28"/>
        </w:rPr>
        <w:t>Recent developments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Online trademark management and AI-based trademark search tools.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Extended protection for digital brands and non-traditional marks.</w:t>
      </w:r>
    </w:p>
    <w:p w:rsidR="002A7AE8" w:rsidRPr="002A7AE8" w:rsidRDefault="002A7AE8" w:rsidP="002A7AE8">
      <w:pPr>
        <w:rPr>
          <w:rFonts w:cstheme="minorHAnsi"/>
          <w:sz w:val="28"/>
          <w:szCs w:val="28"/>
        </w:rPr>
      </w:pPr>
      <w:r w:rsidRPr="002A7AE8">
        <w:rPr>
          <w:rFonts w:cstheme="minorHAnsi"/>
          <w:sz w:val="28"/>
          <w:szCs w:val="28"/>
        </w:rPr>
        <w:t>F.</w:t>
      </w:r>
      <w:r w:rsidRPr="002A7AE8">
        <w:rPr>
          <w:rFonts w:cstheme="minorHAnsi"/>
          <w:sz w:val="28"/>
          <w:szCs w:val="28"/>
        </w:rPr>
        <w:tab/>
        <w:t>WIPO Convention, 1967</w:t>
      </w:r>
    </w:p>
    <w:p w:rsidR="002A7AE8" w:rsidRPr="002A7AE8" w:rsidRDefault="002A7AE8" w:rsidP="002A7AE8">
      <w:pPr>
        <w:rPr>
          <w:rFonts w:cstheme="minorHAnsi"/>
          <w:sz w:val="28"/>
          <w:szCs w:val="28"/>
        </w:rPr>
      </w:pPr>
      <w:r w:rsidRPr="002A7AE8">
        <w:rPr>
          <w:rFonts w:cstheme="minorHAnsi"/>
          <w:sz w:val="28"/>
          <w:szCs w:val="28"/>
        </w:rPr>
        <w:t>The Convention Establishing the World Intellectual Property Organization was signed in Stockholm in 1967. It created WIPO, which began functioning in 1970 and became a specialised agency of the United Nations in 1974. WIPO now has more than 190 member states and serves as the primary international body for the administration of IP treaties and the promotion of global IP protection.</w:t>
      </w:r>
    </w:p>
    <w:p w:rsidR="002A7AE8" w:rsidRPr="002A7AE8" w:rsidRDefault="002A7AE8" w:rsidP="002A7AE8">
      <w:pPr>
        <w:rPr>
          <w:rFonts w:cstheme="minorHAnsi"/>
          <w:sz w:val="28"/>
          <w:szCs w:val="28"/>
        </w:rPr>
      </w:pPr>
      <w:r w:rsidRPr="002A7AE8">
        <w:rPr>
          <w:rFonts w:cstheme="minorHAnsi"/>
          <w:sz w:val="28"/>
          <w:szCs w:val="28"/>
        </w:rPr>
        <w:t>Objectives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To promote worldwide protection of intellectual property through international cooperation.</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To administer global IP treaties including the Paris Convention, Berne Convention, and PCT.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To harmonise IP laws and provide technical assistance to developing nations.</w:t>
      </w:r>
    </w:p>
    <w:p w:rsidR="002A7AE8" w:rsidRPr="002A7AE8" w:rsidRDefault="002A7AE8" w:rsidP="002A7AE8">
      <w:pPr>
        <w:rPr>
          <w:rFonts w:cstheme="minorHAnsi"/>
          <w:sz w:val="28"/>
          <w:szCs w:val="28"/>
        </w:rPr>
      </w:pPr>
      <w:r w:rsidRPr="002A7AE8">
        <w:rPr>
          <w:rFonts w:cstheme="minorHAnsi"/>
          <w:sz w:val="28"/>
          <w:szCs w:val="28"/>
        </w:rPr>
        <w:t>Recent developments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Global policy discussions on AI and intellectual property, including questions of ownership of AI-generated works.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WIPO GREEN platform for exchanging environmentally friendly technologies.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Traditional knowledge protection programmes and treaty initiatives addressing genetic resources.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Development of online patent filing, digital IP databases, and AI-assisted search tools.</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International intellectual property conventions have together created a coherent global framework for protecting creativity and innovation. The Paris Convention addresses industrial property, the Berne Convention safeguards creative works, TRIPS links IP with international trade enforcement, and the PCT and Madrid System simplify multi-jurisdictional registration. Contemporary initiatives across these frameworks focus on digital technologies, artificial intelligence, public health access, environmental innovation, and striking a workable balance between private rights and public interest.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1 : CH : 3</w:t>
      </w:r>
    </w:p>
    <w:p w:rsidR="002A7AE8" w:rsidRPr="002A7AE8" w:rsidRDefault="002A7AE8" w:rsidP="002A7AE8">
      <w:pPr>
        <w:rPr>
          <w:rFonts w:cstheme="minorHAnsi"/>
          <w:sz w:val="28"/>
          <w:szCs w:val="28"/>
        </w:rPr>
      </w:pPr>
      <w:r w:rsidRPr="002A7AE8">
        <w:rPr>
          <w:rFonts w:cstheme="minorHAnsi"/>
          <w:sz w:val="28"/>
          <w:szCs w:val="28"/>
        </w:rPr>
        <w:t xml:space="preserve">International agencies for coordination of IP protection Intellectual property does not stop at national borders — inventions, trademarks, and creative works cross jurisdictions constantly. Effective protection therefore depends on coordination among nations. Several international agencies have been established to create treaties, deliver technical assistance, resolve disputes, </w:t>
      </w:r>
      <w:r w:rsidRPr="002A7AE8">
        <w:rPr>
          <w:rFonts w:cstheme="minorHAnsi"/>
          <w:sz w:val="28"/>
          <w:szCs w:val="28"/>
        </w:rPr>
        <w:lastRenderedPageBreak/>
        <w:t>and promote innovation worldwide. The principal agencies are discussed below.</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World Intellectual Property Organization (WIPO)</w:t>
      </w:r>
    </w:p>
    <w:p w:rsidR="002A7AE8" w:rsidRPr="002A7AE8" w:rsidRDefault="002A7AE8" w:rsidP="002A7AE8">
      <w:pPr>
        <w:rPr>
          <w:rFonts w:cstheme="minorHAnsi"/>
          <w:sz w:val="28"/>
          <w:szCs w:val="28"/>
        </w:rPr>
      </w:pPr>
      <w:r w:rsidRPr="002A7AE8">
        <w:rPr>
          <w:rFonts w:cstheme="minorHAnsi"/>
          <w:sz w:val="28"/>
          <w:szCs w:val="28"/>
        </w:rPr>
        <w:t>WIPO is the foremost international organisation dealing exclusively with intellectual property. It was established by the Convention Establishing the World Intellectual Property Organization, signed at Stockholm in 1967, and began functioning in 1970. In 1974, WIPO became a specialised agency of the United Nations. Its headquarters are in Geneva. WIPO evolved from earlier bodies created to administer the Paris and Berne Conventions and today coordinates international protection across patents, copyright, trademarks, industrial designs, geographical indications, traditional knowledge, and genetic resources.</w:t>
      </w:r>
    </w:p>
    <w:p w:rsidR="002A7AE8" w:rsidRPr="002A7AE8" w:rsidRDefault="002A7AE8" w:rsidP="002A7AE8">
      <w:pPr>
        <w:rPr>
          <w:rFonts w:cstheme="minorHAnsi"/>
          <w:sz w:val="28"/>
          <w:szCs w:val="28"/>
        </w:rPr>
      </w:pPr>
      <w:r w:rsidRPr="002A7AE8">
        <w:rPr>
          <w:rFonts w:cstheme="minorHAnsi"/>
          <w:sz w:val="28"/>
          <w:szCs w:val="28"/>
        </w:rPr>
        <w:t>Objectives of WIPO</w:t>
      </w:r>
    </w:p>
    <w:p w:rsidR="002A7AE8" w:rsidRPr="002A7AE8" w:rsidRDefault="002A7AE8" w:rsidP="002A7AE8">
      <w:pPr>
        <w:rPr>
          <w:rFonts w:cstheme="minorHAnsi"/>
          <w:sz w:val="28"/>
          <w:szCs w:val="28"/>
        </w:rPr>
      </w:pPr>
      <w:r w:rsidRPr="002A7AE8">
        <w:rPr>
          <w:rFonts w:cstheme="minorHAnsi"/>
          <w:sz w:val="28"/>
          <w:szCs w:val="28"/>
        </w:rPr>
        <w:t>WIPO's central purpose is to encourage effective worldwide IP protection through cooperation among nations. It works to harmonise national IP laws and reduce systemic differences between countries. It administers major international agreements including the Paris Convention, the Berne Convention, the Patent Cooperation Treaty, and the Madrid Protocol. Beyond treaty administration, WIPO actively promotes creativity, technological development, and the transfer of technology across borders.</w:t>
      </w:r>
    </w:p>
    <w:p w:rsidR="002A7AE8" w:rsidRPr="002A7AE8" w:rsidRDefault="002A7AE8" w:rsidP="002A7AE8">
      <w:pPr>
        <w:rPr>
          <w:rFonts w:cstheme="minorHAnsi"/>
          <w:sz w:val="28"/>
          <w:szCs w:val="28"/>
        </w:rPr>
      </w:pPr>
      <w:r w:rsidRPr="002A7AE8">
        <w:rPr>
          <w:rFonts w:cstheme="minorHAnsi"/>
          <w:sz w:val="28"/>
          <w:szCs w:val="28"/>
        </w:rPr>
        <w:t>Rights and powers of WIPO</w:t>
      </w:r>
    </w:p>
    <w:p w:rsidR="002A7AE8" w:rsidRPr="002A7AE8" w:rsidRDefault="002A7AE8" w:rsidP="002A7AE8">
      <w:pPr>
        <w:rPr>
          <w:rFonts w:cstheme="minorHAnsi"/>
          <w:sz w:val="28"/>
          <w:szCs w:val="28"/>
        </w:rPr>
      </w:pPr>
      <w:r w:rsidRPr="002A7AE8">
        <w:rPr>
          <w:rFonts w:cstheme="minorHAnsi"/>
          <w:sz w:val="28"/>
          <w:szCs w:val="28"/>
        </w:rPr>
        <w:t>WIPO has the authority to develop and update international IP standards and norms. It manages several global registration systems: the Patent Cooperation Treaty (PCT) for international patent filings, the Madrid System for international trademark registration, and the Hague System for protection of industrial designs. It also provides alternative dispute resolution services, including arbitration, mediation, and resolution of domain name disputes.</w:t>
      </w:r>
    </w:p>
    <w:p w:rsidR="002A7AE8" w:rsidRPr="002A7AE8" w:rsidRDefault="002A7AE8" w:rsidP="002A7AE8">
      <w:pPr>
        <w:rPr>
          <w:rFonts w:cstheme="minorHAnsi"/>
          <w:sz w:val="28"/>
          <w:szCs w:val="28"/>
        </w:rPr>
      </w:pPr>
      <w:r w:rsidRPr="002A7AE8">
        <w:rPr>
          <w:rFonts w:cstheme="minorHAnsi"/>
          <w:sz w:val="28"/>
          <w:szCs w:val="28"/>
        </w:rPr>
        <w:t>Duties and functions of WIPO</w:t>
      </w:r>
    </w:p>
    <w:p w:rsidR="002A7AE8" w:rsidRPr="002A7AE8" w:rsidRDefault="002A7AE8" w:rsidP="002A7AE8">
      <w:pPr>
        <w:rPr>
          <w:rFonts w:cstheme="minorHAnsi"/>
          <w:sz w:val="28"/>
          <w:szCs w:val="28"/>
        </w:rPr>
      </w:pPr>
      <w:r w:rsidRPr="002A7AE8">
        <w:rPr>
          <w:rFonts w:cstheme="minorHAnsi"/>
          <w:sz w:val="28"/>
          <w:szCs w:val="28"/>
        </w:rPr>
        <w:t>WIPO maintains and supervises international IP agreements. It provides technical assistance to developing countries in drafting IP legislation, training officials, and building institutional capacity. Through its global databases and legal information systems, it serves as a central repository of IP knowledge. The WIPO Academy delivers IP training for governments, businesses, researchers, and students worldwide.</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Recent initiatives of WIPO</w:t>
      </w:r>
    </w:p>
    <w:p w:rsidR="002A7AE8" w:rsidRPr="002A7AE8" w:rsidRDefault="002A7AE8" w:rsidP="002A7AE8">
      <w:pPr>
        <w:rPr>
          <w:rFonts w:cstheme="minorHAnsi"/>
          <w:sz w:val="28"/>
          <w:szCs w:val="28"/>
        </w:rPr>
      </w:pPr>
      <w:r w:rsidRPr="002A7AE8">
        <w:rPr>
          <w:rFonts w:cstheme="minorHAnsi"/>
          <w:sz w:val="28"/>
          <w:szCs w:val="28"/>
        </w:rPr>
        <w:t>WIPO has initiated global discussions on the intersection of artificial intelligence and IP, addressing questions about AI-created inventions, copyright issues involving AI, and ownership of AI-generated works. Its WIPO GREEN platform facilitates the exchange of environmentally friendly technologies to support climate innovation and sustainable technology transfer. Significant efforts have also been directed toward protecting indigenous knowledge, genetic resources, and traditional cultural expressions, with a recent treaty initiative proposing disclosure requirements for inventions based on genetic resources. On the digital front, WIPO continues to develop online patent filing, AI-assisted IP searches, and comprehensive digital databases.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World Trade Organization (WTO)</w:t>
      </w:r>
    </w:p>
    <w:p w:rsidR="002A7AE8" w:rsidRPr="002A7AE8" w:rsidRDefault="002A7AE8" w:rsidP="002A7AE8">
      <w:pPr>
        <w:rPr>
          <w:rFonts w:cstheme="minorHAnsi"/>
          <w:sz w:val="28"/>
          <w:szCs w:val="28"/>
        </w:rPr>
      </w:pPr>
      <w:r w:rsidRPr="002A7AE8">
        <w:rPr>
          <w:rFonts w:cstheme="minorHAnsi"/>
          <w:sz w:val="28"/>
          <w:szCs w:val="28"/>
        </w:rPr>
        <w:t>The WTO was established on 1 January 1995 following the Uruguay Round of multilateral trade negotiations. Its headquarters are in Geneva. Prior to the WTO, IP protection was regulated primarily through WIPO treaties, but the absence of robust enforcement mechanisms prompted the creation of the Agreement on Trade-Related Aspects of Intellectual Property Rights (TRIPS), which linked IP protection directly to international trade obligations. The TRIPS Agreement is the WTO's primary instrument in the IP domain.</w:t>
      </w:r>
    </w:p>
    <w:p w:rsidR="002A7AE8" w:rsidRPr="002A7AE8" w:rsidRDefault="002A7AE8" w:rsidP="002A7AE8">
      <w:pPr>
        <w:rPr>
          <w:rFonts w:cstheme="minorHAnsi"/>
          <w:sz w:val="28"/>
          <w:szCs w:val="28"/>
        </w:rPr>
      </w:pPr>
      <w:r w:rsidRPr="002A7AE8">
        <w:rPr>
          <w:rFonts w:cstheme="minorHAnsi"/>
          <w:sz w:val="28"/>
          <w:szCs w:val="28"/>
        </w:rPr>
        <w:t>Objectives of WTO regarding IPR</w:t>
      </w:r>
    </w:p>
    <w:p w:rsidR="002A7AE8" w:rsidRPr="002A7AE8" w:rsidRDefault="002A7AE8" w:rsidP="002A7AE8">
      <w:pPr>
        <w:rPr>
          <w:rFonts w:cstheme="minorHAnsi"/>
          <w:sz w:val="28"/>
          <w:szCs w:val="28"/>
        </w:rPr>
      </w:pPr>
      <w:r w:rsidRPr="002A7AE8">
        <w:rPr>
          <w:rFonts w:cstheme="minorHAnsi"/>
          <w:sz w:val="28"/>
          <w:szCs w:val="28"/>
        </w:rPr>
        <w:t>The WTO's role in IP is centred on the enforcement of the TRIPS Agreement, which establishes minimum international standards for the protection of copyright, patents, trademarks, industrial designs, geographical indications, trade secrets, and integrated circuits. It works to ensure that IP rules do not unnecessarily restrict international trade, while promoting innovation alongside public interests such as health, education, and technology access.</w:t>
      </w:r>
    </w:p>
    <w:p w:rsidR="002A7AE8" w:rsidRPr="002A7AE8" w:rsidRDefault="002A7AE8" w:rsidP="002A7AE8">
      <w:pPr>
        <w:rPr>
          <w:rFonts w:cstheme="minorHAnsi"/>
          <w:sz w:val="28"/>
          <w:szCs w:val="28"/>
        </w:rPr>
      </w:pPr>
      <w:r w:rsidRPr="002A7AE8">
        <w:rPr>
          <w:rFonts w:cstheme="minorHAnsi"/>
          <w:sz w:val="28"/>
          <w:szCs w:val="28"/>
        </w:rPr>
        <w:t>Rights and powers of WTO</w:t>
      </w:r>
    </w:p>
    <w:p w:rsidR="002A7AE8" w:rsidRPr="002A7AE8" w:rsidRDefault="002A7AE8" w:rsidP="002A7AE8">
      <w:pPr>
        <w:rPr>
          <w:rFonts w:cstheme="minorHAnsi"/>
          <w:sz w:val="28"/>
          <w:szCs w:val="28"/>
        </w:rPr>
      </w:pPr>
      <w:r w:rsidRPr="002A7AE8">
        <w:rPr>
          <w:rFonts w:cstheme="minorHAnsi"/>
          <w:sz w:val="28"/>
          <w:szCs w:val="28"/>
        </w:rPr>
        <w:t>The WTO's dispute settlement mechanism gives it the authority to hear and adjudicate disputes between member countries involving violations of TRIPS obligations. It monitors whether countries comply with TRIPS standards and provides mechanisms for enforcing international trade obligations where breaches are found. Duties and functions of WTO in IP protection</w:t>
      </w:r>
    </w:p>
    <w:p w:rsidR="002A7AE8" w:rsidRPr="002A7AE8" w:rsidRDefault="002A7AE8" w:rsidP="002A7AE8">
      <w:pPr>
        <w:rPr>
          <w:rFonts w:cstheme="minorHAnsi"/>
          <w:sz w:val="28"/>
          <w:szCs w:val="28"/>
        </w:rPr>
      </w:pPr>
      <w:r w:rsidRPr="002A7AE8">
        <w:rPr>
          <w:rFonts w:cstheme="minorHAnsi"/>
          <w:sz w:val="28"/>
          <w:szCs w:val="28"/>
        </w:rPr>
        <w:lastRenderedPageBreak/>
        <w:t>The WTO ensures member countries provide adequate legal protection for IP and oversees the domestic implementation of TRIPS. Member countries are required to notify the WTO of changes in their national IP laws. It also provides guidance and transitional arrangements to assist developing countries in implementing their TRIPS obligations.</w:t>
      </w:r>
    </w:p>
    <w:p w:rsidR="002A7AE8" w:rsidRPr="002A7AE8" w:rsidRDefault="002A7AE8" w:rsidP="002A7AE8">
      <w:pPr>
        <w:rPr>
          <w:rFonts w:cstheme="minorHAnsi"/>
          <w:sz w:val="28"/>
          <w:szCs w:val="28"/>
        </w:rPr>
      </w:pPr>
      <w:r w:rsidRPr="002A7AE8">
        <w:rPr>
          <w:rFonts w:cstheme="minorHAnsi"/>
          <w:sz w:val="28"/>
          <w:szCs w:val="28"/>
        </w:rPr>
        <w:t>Recent WTO initiatives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WTO's TRIPS and Public Health agenda focuses on affordable medicines, compulsory licensing, and vaccine accessibility — issues that gained prominence during the COVID-19 pandemic. The e-TRIPS system is a digital platform that provides law information, IP notifications, and transparency tools to member states. WIPO and the WTO jointly provide technical assistance and implementation support to countries building their IP systems.</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International Union for the Protection of New Varieties of Plants (UPOV)</w:t>
      </w:r>
    </w:p>
    <w:p w:rsidR="002A7AE8" w:rsidRPr="002A7AE8" w:rsidRDefault="002A7AE8" w:rsidP="002A7AE8">
      <w:pPr>
        <w:rPr>
          <w:rFonts w:cstheme="minorHAnsi"/>
          <w:sz w:val="28"/>
          <w:szCs w:val="28"/>
        </w:rPr>
      </w:pPr>
      <w:r w:rsidRPr="002A7AE8">
        <w:rPr>
          <w:rFonts w:cstheme="minorHAnsi"/>
          <w:sz w:val="28"/>
          <w:szCs w:val="28"/>
        </w:rPr>
        <w:t>UPOV was created by the UPOV Convention in 1961 and is headquartered in Geneva, Switzerland. It was established specifically to protect innovations in plant breeding by giving breeders of new plant varieties exclusive rights over their creations. UPOV provides a system of plant variety protection that incentivises the development of new and improved varieties of plants, supporting agricultural innovation and food security globally.</w:t>
      </w: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International Association for the Protection of Intellectual Property (AIPPI) AIPPI was founded in 1897 and is one of the oldest organisations dedicated to the development of IP law. It brings together experts, lawyers, researchers, and industry</w:t>
      </w:r>
    </w:p>
    <w:p w:rsidR="002A7AE8" w:rsidRPr="002A7AE8" w:rsidRDefault="002A7AE8" w:rsidP="002A7AE8">
      <w:pPr>
        <w:rPr>
          <w:rFonts w:cstheme="minorHAnsi"/>
          <w:sz w:val="28"/>
          <w:szCs w:val="28"/>
        </w:rPr>
      </w:pPr>
      <w:r w:rsidRPr="002A7AE8">
        <w:rPr>
          <w:rFonts w:cstheme="minorHAnsi"/>
          <w:sz w:val="28"/>
          <w:szCs w:val="28"/>
        </w:rPr>
        <w:t>representatives from across the world to study and advance international IP systems.</w:t>
      </w:r>
    </w:p>
    <w:p w:rsidR="002A7AE8" w:rsidRPr="002A7AE8" w:rsidRDefault="002A7AE8" w:rsidP="002A7AE8">
      <w:pPr>
        <w:rPr>
          <w:rFonts w:cstheme="minorHAnsi"/>
          <w:sz w:val="28"/>
          <w:szCs w:val="28"/>
        </w:rPr>
      </w:pPr>
      <w:r w:rsidRPr="002A7AE8">
        <w:rPr>
          <w:rFonts w:cstheme="minorHAnsi"/>
          <w:sz w:val="28"/>
          <w:szCs w:val="28"/>
        </w:rPr>
        <w:t>Objectives, rights, and duties</w:t>
      </w:r>
    </w:p>
    <w:p w:rsidR="002A7AE8" w:rsidRPr="002A7AE8" w:rsidRDefault="002A7AE8" w:rsidP="002A7AE8">
      <w:pPr>
        <w:rPr>
          <w:rFonts w:cstheme="minorHAnsi"/>
          <w:sz w:val="28"/>
          <w:szCs w:val="28"/>
        </w:rPr>
      </w:pPr>
      <w:r w:rsidRPr="002A7AE8">
        <w:rPr>
          <w:rFonts w:cstheme="minorHAnsi"/>
          <w:sz w:val="28"/>
          <w:szCs w:val="28"/>
        </w:rPr>
        <w:t xml:space="preserve">AIPPI works toward the improvement and harmonisation of international IP laws and studies emerging IP issues of global relevance. It has the right to conduct international research, recommend policy changes, and participate in international IP discussions. In terms of duties, it promotes stronger IP awareness, encourages legal reform, and supports cross-border cooperation among IP practitioners. Recent research priorities include the impact of AI on </w:t>
      </w:r>
      <w:r w:rsidRPr="002A7AE8">
        <w:rPr>
          <w:rFonts w:cstheme="minorHAnsi"/>
          <w:sz w:val="28"/>
          <w:szCs w:val="28"/>
        </w:rPr>
        <w:lastRenderedPageBreak/>
        <w:t>IP, digital copyright challenges, and biotechnology patent issues. AIPPI regularly organises international conferences to advance these debates.</w:t>
      </w: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United Nations Educational, Scientific and Cultural Organization (UNESCO) UNESCO's role in intellectual property focuses primarily on copyright, cultural heritage, education, and creative works. Its objectives are to protect cultural creativity, promote access to knowledge, preserve cultural heritage, and support the rights of authors and artists.</w:t>
      </w:r>
    </w:p>
    <w:p w:rsidR="002A7AE8" w:rsidRPr="002A7AE8" w:rsidRDefault="002A7AE8" w:rsidP="002A7AE8">
      <w:pPr>
        <w:rPr>
          <w:rFonts w:cstheme="minorHAnsi"/>
          <w:sz w:val="28"/>
          <w:szCs w:val="28"/>
        </w:rPr>
      </w:pPr>
      <w:r w:rsidRPr="002A7AE8">
        <w:rPr>
          <w:rFonts w:cstheme="minorHAnsi"/>
          <w:sz w:val="28"/>
          <w:szCs w:val="28"/>
        </w:rPr>
        <w:t>Duties and recent initiatives</w:t>
      </w:r>
    </w:p>
    <w:p w:rsidR="002A7AE8" w:rsidRPr="002A7AE8" w:rsidRDefault="002A7AE8" w:rsidP="002A7AE8">
      <w:pPr>
        <w:rPr>
          <w:rFonts w:cstheme="minorHAnsi"/>
          <w:sz w:val="28"/>
          <w:szCs w:val="28"/>
        </w:rPr>
      </w:pPr>
      <w:r w:rsidRPr="002A7AE8">
        <w:rPr>
          <w:rFonts w:cstheme="minorHAnsi"/>
          <w:sz w:val="28"/>
          <w:szCs w:val="28"/>
        </w:rPr>
        <w:t>UNESCO encourages copyright awareness, supports cultural diversity, and works to protect traditional cultural expressions. It has a duty to safeguard both tangible and intangible cultural heritage from misappropriation and loss. Recent initiatives include digital cultural preservation, open educational resources, and the protection of cultural heritage in online environments. UNESCO's work complements WIPO's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traditional knowledge initiatives by addressing culture and education as distinct but interrelated dimensions of the broader IP landscape.</w:t>
      </w:r>
    </w:p>
    <w:p w:rsidR="002A7AE8" w:rsidRPr="002A7AE8" w:rsidRDefault="002A7AE8" w:rsidP="002A7AE8">
      <w:pPr>
        <w:rPr>
          <w:rFonts w:cstheme="minorHAnsi"/>
          <w:sz w:val="28"/>
          <w:szCs w:val="28"/>
        </w:rPr>
      </w:pPr>
      <w:r w:rsidRPr="002A7AE8">
        <w:rPr>
          <w:rFonts w:cstheme="minorHAnsi"/>
          <w:sz w:val="28"/>
          <w:szCs w:val="28"/>
        </w:rPr>
        <w:t>Relevant 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India – Patent Protection for Pharmaceutical and Agricultural Chemical Products Citation: WT/DS50/R (1997)</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After TRIPS came into force, India was required to provide a mechanism for filing patent applications for pharmaceutical and agricultural chemical products.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United States challenged India’s failure to implement a proper “mailbox system” and exclusive marketing rights mechanism.</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dispute was brought before the WTO Dispute Settlement Body.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lastRenderedPageBreak/>
        <w:t>1.</w:t>
      </w:r>
      <w:r w:rsidRPr="002A7AE8">
        <w:rPr>
          <w:rFonts w:cstheme="minorHAnsi"/>
          <w:sz w:val="28"/>
          <w:szCs w:val="28"/>
        </w:rPr>
        <w:tab/>
        <w:t>Whether India failed to comply with its obligations under the TRIPS Agreement.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India was required to provide a system for receiving pharmaceutical patent applications during the transition period.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WTO Panel held that India had failed to comply with TRIPS obligations.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India was required to create a proper mechanism for mailbox applications.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India later amended its patent laws to comply with TRIPS requirements.</w:t>
      </w:r>
    </w:p>
    <w:p w:rsidR="002A7AE8" w:rsidRPr="002A7AE8" w:rsidRDefault="002A7AE8" w:rsidP="002A7AE8">
      <w:pPr>
        <w:rPr>
          <w:rFonts w:cstheme="minorHAnsi"/>
          <w:sz w:val="28"/>
          <w:szCs w:val="28"/>
        </w:rPr>
      </w:pPr>
      <w:r w:rsidRPr="002A7AE8">
        <w:rPr>
          <w:rFonts w:cstheme="minorHAnsi"/>
          <w:sz w:val="28"/>
          <w:szCs w:val="28"/>
        </w:rPr>
        <w:t>Principle:</w:t>
      </w:r>
    </w:p>
    <w:p w:rsidR="002A7AE8" w:rsidRPr="002A7AE8" w:rsidRDefault="002A7AE8" w:rsidP="002A7AE8">
      <w:pPr>
        <w:rPr>
          <w:rFonts w:cstheme="minorHAnsi"/>
          <w:sz w:val="28"/>
          <w:szCs w:val="28"/>
        </w:rPr>
      </w:pPr>
      <w:r w:rsidRPr="002A7AE8">
        <w:rPr>
          <w:rFonts w:cstheme="minorHAnsi"/>
          <w:sz w:val="28"/>
          <w:szCs w:val="28"/>
        </w:rPr>
        <w:t>WTO ensures compliance with international IP obligations through its dispute settlement mechanism.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United States – Section 110(5) of the US Copyright Act Citation: WT/DS160/R (2000)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European Communities challenged provisions of US copyright law.</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law allowed certain businesses to play music without paying royalties.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was argued that the exception violated TRIPS obligations.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the US copyright exception violated TRIPS standards.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the exception caused unreasonable harm to copyright owners.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WTO Panel held that parts of the US law were inconsistent with TRIPS.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Exceptions to IP rights must satisfy the limitations permitted under international law.</w:t>
      </w:r>
    </w:p>
    <w:p w:rsidR="002A7AE8" w:rsidRPr="002A7AE8" w:rsidRDefault="002A7AE8" w:rsidP="002A7AE8">
      <w:pPr>
        <w:rPr>
          <w:rFonts w:cstheme="minorHAnsi"/>
          <w:sz w:val="28"/>
          <w:szCs w:val="28"/>
        </w:rPr>
      </w:pPr>
      <w:r w:rsidRPr="002A7AE8">
        <w:rPr>
          <w:rFonts w:cstheme="minorHAnsi"/>
          <w:sz w:val="28"/>
          <w:szCs w:val="28"/>
        </w:rPr>
        <w:t>Principle:</w:t>
      </w:r>
    </w:p>
    <w:p w:rsidR="002A7AE8" w:rsidRPr="002A7AE8" w:rsidRDefault="002A7AE8" w:rsidP="002A7AE8">
      <w:pPr>
        <w:rPr>
          <w:rFonts w:cstheme="minorHAnsi"/>
          <w:sz w:val="28"/>
          <w:szCs w:val="28"/>
        </w:rPr>
      </w:pPr>
      <w:r w:rsidRPr="002A7AE8">
        <w:rPr>
          <w:rFonts w:cstheme="minorHAnsi"/>
          <w:sz w:val="28"/>
          <w:szCs w:val="28"/>
        </w:rPr>
        <w:t>TRIPS balances protection of owners with limited exceptions.</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Yahoo! Inc. v. Akash Arora Citation: 1999 (19) PTC 201 (Del)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Yahoo owned the well-known domain name “Yahoo.com”.</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Defendant started using the name “Yahoo India”.</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Yahoo filed an action for passing off.</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domain names deserve protection similar to trademarks.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defendant’s use created consumer confusion.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Delhi High Court protected the domain name.</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held that internet domain names perform trademark functions.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Unauthorized use amounted to passing off.</w:t>
      </w:r>
    </w:p>
    <w:p w:rsidR="002A7AE8" w:rsidRPr="002A7AE8" w:rsidRDefault="002A7AE8" w:rsidP="002A7AE8">
      <w:pPr>
        <w:rPr>
          <w:rFonts w:cstheme="minorHAnsi"/>
          <w:sz w:val="28"/>
          <w:szCs w:val="28"/>
        </w:rPr>
      </w:pPr>
      <w:r w:rsidRPr="002A7AE8">
        <w:rPr>
          <w:rFonts w:cstheme="minorHAnsi"/>
          <w:sz w:val="28"/>
          <w:szCs w:val="28"/>
        </w:rPr>
        <w:t>Principle:</w:t>
      </w:r>
    </w:p>
    <w:p w:rsidR="002A7AE8" w:rsidRPr="002A7AE8" w:rsidRDefault="002A7AE8" w:rsidP="002A7AE8">
      <w:pPr>
        <w:rPr>
          <w:rFonts w:cstheme="minorHAnsi"/>
          <w:sz w:val="28"/>
          <w:szCs w:val="28"/>
        </w:rPr>
      </w:pPr>
      <w:r w:rsidRPr="002A7AE8">
        <w:rPr>
          <w:rFonts w:cstheme="minorHAnsi"/>
          <w:sz w:val="28"/>
          <w:szCs w:val="28"/>
        </w:rPr>
        <w:t>Reflects international principles promoted by WIPO regarding protection of domain names.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4.</w:t>
      </w:r>
      <w:r w:rsidRPr="002A7AE8">
        <w:rPr>
          <w:rFonts w:cstheme="minorHAnsi"/>
          <w:sz w:val="28"/>
          <w:szCs w:val="28"/>
        </w:rPr>
        <w:tab/>
        <w:t>Novartis AG v. Union of India Citation: (2013) 6 SCC 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Novartis sought a patent for the cancer drug Glivec.</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Patent was refused under Section 3(d) of the Indian Patents Act.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Novartis challenged the rejection.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Indian patent law complied with TRIPS obligations.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the modified drug showed enhanced therapeutic efficacy.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rejected the patent claim.</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held that Indian law balances innovation and public health.</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3(d) was consistent with India's patent policy.</w:t>
      </w:r>
    </w:p>
    <w:p w:rsidR="002A7AE8" w:rsidRPr="002A7AE8" w:rsidRDefault="002A7AE8" w:rsidP="002A7AE8">
      <w:pPr>
        <w:rPr>
          <w:rFonts w:cstheme="minorHAnsi"/>
          <w:sz w:val="28"/>
          <w:szCs w:val="28"/>
        </w:rPr>
      </w:pPr>
      <w:r w:rsidRPr="002A7AE8">
        <w:rPr>
          <w:rFonts w:cstheme="minorHAnsi"/>
          <w:sz w:val="28"/>
          <w:szCs w:val="28"/>
        </w:rPr>
        <w:t>Principle:</w:t>
      </w:r>
    </w:p>
    <w:p w:rsidR="002A7AE8" w:rsidRPr="002A7AE8" w:rsidRDefault="002A7AE8" w:rsidP="002A7AE8">
      <w:pPr>
        <w:rPr>
          <w:rFonts w:cstheme="minorHAnsi"/>
          <w:sz w:val="28"/>
          <w:szCs w:val="28"/>
        </w:rPr>
      </w:pPr>
      <w:r w:rsidRPr="002A7AE8">
        <w:rPr>
          <w:rFonts w:cstheme="minorHAnsi"/>
          <w:sz w:val="28"/>
          <w:szCs w:val="28"/>
        </w:rPr>
        <w:t>Countries may adopt TRIPS-compliant standards suited to national interests.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International agencies play an indispensable role in coordinating global IP protection. WIPO develops international IP systems and administers key treaties, the WTO ensures enforcement through the TRIPS framework, UPOV protects plant-breeding innovations, AIPPI contributes to the ongoing development of IP law, and UNESCO safeguards cultural creativity and copyright. Across all these bodies, current priorities converge on artificial intelligence, digital innovation, traditional knowledge, green technologies, and balancing private ownership with public interest — demonstrating that IP governance is continuously adapting to the demands of a rapidly changing world.</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2</w:t>
      </w:r>
    </w:p>
    <w:p w:rsidR="002A7AE8" w:rsidRPr="002A7AE8" w:rsidRDefault="002A7AE8" w:rsidP="002A7AE8">
      <w:pPr>
        <w:rPr>
          <w:rFonts w:cstheme="minorHAnsi"/>
          <w:sz w:val="28"/>
          <w:szCs w:val="28"/>
        </w:rPr>
      </w:pPr>
      <w:r w:rsidRPr="002A7AE8">
        <w:rPr>
          <w:rFonts w:cstheme="minorHAnsi"/>
          <w:sz w:val="28"/>
          <w:szCs w:val="28"/>
        </w:rPr>
        <w:t>Chapter 1: Copyright – introduction, meaning, nature and subject matter</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Copyright is one of the foundational branches of Intellectual Property Rights. It protects original expressions created through human skill, labour, and creativity — covering literary, artistic, musical, dramatic, and other creative works. The principal purpose of copyright is to reward creators with exclusive legal rights so they are incentivized to continue producing creative output. Crucially, copyright does not protect ideas themselves but protects the particular form in which those ideas are expressed. An author who imagines a love story acquires no copyright in that idea; it is only when the story is written down — in that specific form — that copyright attaches.</w:t>
      </w:r>
    </w:p>
    <w:p w:rsidR="002A7AE8" w:rsidRPr="002A7AE8" w:rsidRDefault="002A7AE8" w:rsidP="002A7AE8">
      <w:pPr>
        <w:rPr>
          <w:rFonts w:cstheme="minorHAnsi"/>
          <w:sz w:val="28"/>
          <w:szCs w:val="28"/>
        </w:rPr>
      </w:pPr>
      <w:r w:rsidRPr="002A7AE8">
        <w:rPr>
          <w:rFonts w:cstheme="minorHAnsi"/>
          <w:sz w:val="28"/>
          <w:szCs w:val="28"/>
        </w:rPr>
        <w:lastRenderedPageBreak/>
        <w:t>In India, copyright is governed by the Copyright Act, 1957. At the international level, key frameworks include the Berne Convention for the Protection of Literary and Artistic Works and the TRIPS Agreement. Copyright law balances two competing interests: the creator's right to control and benefit from their work, and society's interest in accessing knowledge, culture, and education.</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Meaning of copyright</w:t>
      </w:r>
    </w:p>
    <w:p w:rsidR="002A7AE8" w:rsidRPr="002A7AE8" w:rsidRDefault="002A7AE8" w:rsidP="002A7AE8">
      <w:pPr>
        <w:rPr>
          <w:rFonts w:cstheme="minorHAnsi"/>
          <w:sz w:val="28"/>
          <w:szCs w:val="28"/>
        </w:rPr>
      </w:pPr>
      <w:r w:rsidRPr="002A7AE8">
        <w:rPr>
          <w:rFonts w:cstheme="minorHAnsi"/>
          <w:sz w:val="28"/>
          <w:szCs w:val="28"/>
        </w:rPr>
        <w:t>Copyright means the exclusive legal right granted to the creator or owner of an original work to reproduce, publish, distribute, communicate, adapt, and control how that work is used. The word literally means 'right to copy', though modern copyright encompasses far more — reproduction, publication, performance, distribution, adaptation, translation, broadcasting, and digital communication.</w:t>
      </w:r>
    </w:p>
    <w:p w:rsidR="002A7AE8" w:rsidRPr="002A7AE8" w:rsidRDefault="002A7AE8" w:rsidP="002A7AE8">
      <w:pPr>
        <w:rPr>
          <w:rFonts w:cstheme="minorHAnsi"/>
          <w:sz w:val="28"/>
          <w:szCs w:val="28"/>
        </w:rPr>
      </w:pPr>
      <w:r w:rsidRPr="002A7AE8">
        <w:rPr>
          <w:rFonts w:cstheme="minorHAnsi"/>
          <w:sz w:val="28"/>
          <w:szCs w:val="28"/>
        </w:rPr>
        <w:t>Bare act – Section 14, Copyright Act, 1957</w:t>
      </w:r>
    </w:p>
    <w:p w:rsidR="002A7AE8" w:rsidRPr="002A7AE8" w:rsidRDefault="002A7AE8" w:rsidP="002A7AE8">
      <w:pPr>
        <w:rPr>
          <w:rFonts w:cstheme="minorHAnsi"/>
          <w:sz w:val="28"/>
          <w:szCs w:val="28"/>
        </w:rPr>
      </w:pPr>
      <w:r w:rsidRPr="002A7AE8">
        <w:rPr>
          <w:rFonts w:cstheme="minorHAnsi"/>
          <w:sz w:val="28"/>
          <w:szCs w:val="28"/>
        </w:rPr>
        <w:t>"Copyright" means the exclusive right subject to the provisions of this Act, to do or authorize the doing of any of the following acts in respect of a work or any substantial part thereof — (a) in the case of a literary, dramatic or musical work: to reproduce the work; to issue copies to the public; to perform or communicate it to the public; to make a cinematograph film or sound recording; to make any translation or adaptation; (b) in case of a computer program: the above acts plus the right to sell or give on commercial rental any copy; (c) in the case of an artistic work: to reproduce including storing in any medium; (d) in the case of a cinematograph film: to make a copy, sell, rent, or communicate to the public; (e) in the case of a sound recording: to make another sound recording, sell, rent, or communicate to the public.</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Section 14 defines copyright as the bundle of exclusive rights over a work. The section covers five categories of works — literary/dramatic/musical, computer programs, artistic works, cinematograph films, and sound recordings — and specifies the acts that only the copyright owner may authorize. "Exclusive" means all others are excluded; "subject to the provisions" means the exceptions in Section 52 apply. This is the central operative definition of copyright in Indian law.</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Nature and characteristics of copyright</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Intellectual property right</w:t>
      </w:r>
    </w:p>
    <w:p w:rsidR="002A7AE8" w:rsidRPr="002A7AE8" w:rsidRDefault="002A7AE8" w:rsidP="002A7AE8">
      <w:pPr>
        <w:rPr>
          <w:rFonts w:cstheme="minorHAnsi"/>
          <w:sz w:val="28"/>
          <w:szCs w:val="28"/>
        </w:rPr>
      </w:pPr>
      <w:r w:rsidRPr="002A7AE8">
        <w:rPr>
          <w:rFonts w:cstheme="minorHAnsi"/>
          <w:sz w:val="28"/>
          <w:szCs w:val="28"/>
        </w:rPr>
        <w:t>Copyright protects creations of the mind, not physical objects. Purchasing a printed book transfers ownership of the physical object; it does not transfer the copyright in the content, which remains with the author or copyright owner.</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Protection of expression, not ideas</w:t>
      </w:r>
    </w:p>
    <w:p w:rsidR="002A7AE8" w:rsidRPr="002A7AE8" w:rsidRDefault="002A7AE8" w:rsidP="002A7AE8">
      <w:pPr>
        <w:rPr>
          <w:rFonts w:cstheme="minorHAnsi"/>
          <w:sz w:val="28"/>
          <w:szCs w:val="28"/>
        </w:rPr>
      </w:pPr>
      <w:r w:rsidRPr="002A7AE8">
        <w:rPr>
          <w:rFonts w:cstheme="minorHAnsi"/>
          <w:sz w:val="28"/>
          <w:szCs w:val="28"/>
        </w:rPr>
        <w:t>One of the foundational principles of copyright is the idea-expression dichotomy: ideas are free; expressions are protected. Copyright does not protect thoughts, concepts, facts, methods, or theories — only the specific way in which they are expressed. Two authors may independently write about the same historical event; only direct copying of the other's expression constitutes infringement.</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Statutory right</w:t>
      </w:r>
    </w:p>
    <w:p w:rsidR="002A7AE8" w:rsidRPr="002A7AE8" w:rsidRDefault="002A7AE8" w:rsidP="002A7AE8">
      <w:pPr>
        <w:rPr>
          <w:rFonts w:cstheme="minorHAnsi"/>
          <w:sz w:val="28"/>
          <w:szCs w:val="28"/>
        </w:rPr>
      </w:pPr>
      <w:r w:rsidRPr="002A7AE8">
        <w:rPr>
          <w:rFonts w:cstheme="minorHAnsi"/>
          <w:sz w:val="28"/>
          <w:szCs w:val="28"/>
        </w:rPr>
        <w:t>Copyright is a right created by law. A creator receives rights only to the extent provided by the relevant legislation. There is no copyright outside the scope of the statute.</w:t>
      </w: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Exclusive right</w:t>
      </w:r>
    </w:p>
    <w:p w:rsidR="002A7AE8" w:rsidRPr="002A7AE8" w:rsidRDefault="002A7AE8" w:rsidP="002A7AE8">
      <w:pPr>
        <w:rPr>
          <w:rFonts w:cstheme="minorHAnsi"/>
          <w:sz w:val="28"/>
          <w:szCs w:val="28"/>
        </w:rPr>
      </w:pPr>
      <w:r w:rsidRPr="002A7AE8">
        <w:rPr>
          <w:rFonts w:cstheme="minorHAnsi"/>
          <w:sz w:val="28"/>
          <w:szCs w:val="28"/>
        </w:rPr>
        <w:t>The copyright owner has exclusive authority to decide who may use the work, how it may be used, and whether payment or permission is required. Unauthorized use constitutes infringement.</w:t>
      </w:r>
    </w:p>
    <w:p w:rsidR="002A7AE8" w:rsidRPr="002A7AE8" w:rsidRDefault="002A7AE8" w:rsidP="002A7AE8">
      <w:pPr>
        <w:rPr>
          <w:rFonts w:cstheme="minorHAnsi"/>
          <w:sz w:val="28"/>
          <w:szCs w:val="28"/>
        </w:rPr>
      </w:pPr>
      <w:r w:rsidRPr="002A7AE8">
        <w:rPr>
          <w:rFonts w:cstheme="minorHAnsi"/>
          <w:sz w:val="28"/>
          <w:szCs w:val="28"/>
        </w:rPr>
        <w:t>e.</w:t>
      </w:r>
      <w:r w:rsidRPr="002A7AE8">
        <w:rPr>
          <w:rFonts w:cstheme="minorHAnsi"/>
          <w:sz w:val="28"/>
          <w:szCs w:val="28"/>
        </w:rPr>
        <w:tab/>
        <w:t>Negative right</w:t>
      </w:r>
    </w:p>
    <w:p w:rsidR="002A7AE8" w:rsidRPr="002A7AE8" w:rsidRDefault="002A7AE8" w:rsidP="002A7AE8">
      <w:pPr>
        <w:rPr>
          <w:rFonts w:cstheme="minorHAnsi"/>
          <w:sz w:val="28"/>
          <w:szCs w:val="28"/>
        </w:rPr>
      </w:pPr>
      <w:r w:rsidRPr="002A7AE8">
        <w:rPr>
          <w:rFonts w:cstheme="minorHAnsi"/>
          <w:sz w:val="28"/>
          <w:szCs w:val="28"/>
        </w:rPr>
        <w:t>Copyright primarily gives the owner the power to prevent others from reproducing or commercially exploiting the work without permission. It operates mainly as a right to stop others rather than a positive right to use the work.</w:t>
      </w:r>
    </w:p>
    <w:p w:rsidR="002A7AE8" w:rsidRPr="002A7AE8" w:rsidRDefault="002A7AE8" w:rsidP="002A7AE8">
      <w:pPr>
        <w:rPr>
          <w:rFonts w:cstheme="minorHAnsi"/>
          <w:sz w:val="28"/>
          <w:szCs w:val="28"/>
        </w:rPr>
      </w:pPr>
      <w:r w:rsidRPr="002A7AE8">
        <w:rPr>
          <w:rFonts w:cstheme="minorHAnsi"/>
          <w:sz w:val="28"/>
          <w:szCs w:val="28"/>
        </w:rPr>
        <w:t>f.</w:t>
      </w:r>
      <w:r w:rsidRPr="002A7AE8">
        <w:rPr>
          <w:rFonts w:cstheme="minorHAnsi"/>
          <w:sz w:val="28"/>
          <w:szCs w:val="28"/>
        </w:rPr>
        <w:tab/>
        <w:t>Economic and moral rights</w:t>
      </w:r>
    </w:p>
    <w:p w:rsidR="002A7AE8" w:rsidRPr="002A7AE8" w:rsidRDefault="002A7AE8" w:rsidP="002A7AE8">
      <w:pPr>
        <w:rPr>
          <w:rFonts w:cstheme="minorHAnsi"/>
          <w:sz w:val="28"/>
          <w:szCs w:val="28"/>
        </w:rPr>
      </w:pPr>
      <w:r w:rsidRPr="002A7AE8">
        <w:rPr>
          <w:rFonts w:cstheme="minorHAnsi"/>
          <w:sz w:val="28"/>
          <w:szCs w:val="28"/>
        </w:rPr>
        <w:t xml:space="preserve">Copyright comprises two categories of rights. Economic rights allow creators to earn financial benefits through reproduction, distribution, licensing, public performance, and adaptation. Moral rights protect the personal connection between creator and work — specifically the right of attribution (to be recognized as author) and the right of integrity (to object to distortions </w:t>
      </w:r>
      <w:r w:rsidRPr="002A7AE8">
        <w:rPr>
          <w:rFonts w:cstheme="minorHAnsi"/>
          <w:sz w:val="28"/>
          <w:szCs w:val="28"/>
        </w:rPr>
        <w:lastRenderedPageBreak/>
        <w:t>prejudicial to reputation). Moral rights under Section 57 persist even after economic rights are assigned.</w:t>
      </w:r>
    </w:p>
    <w:p w:rsidR="002A7AE8" w:rsidRPr="002A7AE8" w:rsidRDefault="002A7AE8" w:rsidP="002A7AE8">
      <w:pPr>
        <w:rPr>
          <w:rFonts w:cstheme="minorHAnsi"/>
          <w:sz w:val="28"/>
          <w:szCs w:val="28"/>
        </w:rPr>
      </w:pPr>
      <w:r w:rsidRPr="002A7AE8">
        <w:rPr>
          <w:rFonts w:cstheme="minorHAnsi"/>
          <w:sz w:val="28"/>
          <w:szCs w:val="28"/>
        </w:rPr>
        <w:t>g.</w:t>
      </w:r>
      <w:r w:rsidRPr="002A7AE8">
        <w:rPr>
          <w:rFonts w:cstheme="minorHAnsi"/>
          <w:sz w:val="28"/>
          <w:szCs w:val="28"/>
        </w:rPr>
        <w:tab/>
        <w:t>Limited duration</w:t>
      </w:r>
    </w:p>
    <w:p w:rsidR="002A7AE8" w:rsidRPr="002A7AE8" w:rsidRDefault="002A7AE8" w:rsidP="002A7AE8">
      <w:pPr>
        <w:rPr>
          <w:rFonts w:cstheme="minorHAnsi"/>
          <w:sz w:val="28"/>
          <w:szCs w:val="28"/>
        </w:rPr>
      </w:pPr>
      <w:r w:rsidRPr="002A7AE8">
        <w:rPr>
          <w:rFonts w:cstheme="minorHAnsi"/>
          <w:sz w:val="28"/>
          <w:szCs w:val="28"/>
        </w:rPr>
        <w:t>Copyright is not permanent. Protection lasts for a defined period — generally the author's lifetime plus sixty years in India — after which the work enters the public domain and may be freely used by anyone.</w:t>
      </w:r>
    </w:p>
    <w:p w:rsidR="002A7AE8" w:rsidRPr="002A7AE8" w:rsidRDefault="002A7AE8" w:rsidP="002A7AE8">
      <w:pPr>
        <w:rPr>
          <w:rFonts w:cstheme="minorHAnsi"/>
          <w:sz w:val="28"/>
          <w:szCs w:val="28"/>
        </w:rPr>
      </w:pPr>
      <w:r w:rsidRPr="002A7AE8">
        <w:rPr>
          <w:rFonts w:cstheme="minorHAnsi"/>
          <w:sz w:val="28"/>
          <w:szCs w:val="28"/>
        </w:rPr>
        <w:t>h.</w:t>
      </w:r>
      <w:r w:rsidRPr="002A7AE8">
        <w:rPr>
          <w:rFonts w:cstheme="minorHAnsi"/>
          <w:sz w:val="28"/>
          <w:szCs w:val="28"/>
        </w:rPr>
        <w:tab/>
        <w:t>Automatic protection</w:t>
      </w:r>
    </w:p>
    <w:p w:rsidR="002A7AE8" w:rsidRPr="002A7AE8" w:rsidRDefault="002A7AE8" w:rsidP="002A7AE8">
      <w:pPr>
        <w:rPr>
          <w:rFonts w:cstheme="minorHAnsi"/>
          <w:sz w:val="28"/>
          <w:szCs w:val="28"/>
        </w:rPr>
      </w:pPr>
      <w:r w:rsidRPr="002A7AE8">
        <w:rPr>
          <w:rFonts w:cstheme="minorHAnsi"/>
          <w:sz w:val="28"/>
          <w:szCs w:val="28"/>
        </w:rPr>
        <w:t>Copyright arises automatically upon the creation of an original work. Registration is not compulsory for the subsistence of copyright, though it serves as valuable evidence in disputes.</w:t>
      </w: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Subject matter of copyright — Section 13 Bare act – Section 13, Copyright Act, 1957</w:t>
      </w:r>
    </w:p>
    <w:p w:rsidR="002A7AE8" w:rsidRPr="002A7AE8" w:rsidRDefault="002A7AE8" w:rsidP="002A7AE8">
      <w:pPr>
        <w:rPr>
          <w:rFonts w:cstheme="minorHAnsi"/>
          <w:sz w:val="28"/>
          <w:szCs w:val="28"/>
        </w:rPr>
      </w:pPr>
      <w:r w:rsidRPr="002A7AE8">
        <w:rPr>
          <w:rFonts w:cstheme="minorHAnsi"/>
          <w:sz w:val="28"/>
          <w:szCs w:val="28"/>
        </w:rPr>
        <w:t>Subject to the provisions of this section and the other provisions of this Act, copyright shall subsist throughout India in the following classes of works: (a) original literary,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dramatic, musical and artistic works; (b) cinematograph films; and (c) sound recordings. Copyright shall not subsist unless the work is first published in India, or the author is a citizen of India, or in the case of an architectural work, the work is located in India.</w:t>
      </w:r>
    </w:p>
    <w:p w:rsidR="002A7AE8" w:rsidRPr="002A7AE8" w:rsidRDefault="002A7AE8" w:rsidP="002A7AE8">
      <w:pPr>
        <w:rPr>
          <w:rFonts w:cstheme="minorHAnsi"/>
          <w:sz w:val="28"/>
          <w:szCs w:val="28"/>
        </w:rPr>
      </w:pPr>
      <w:r w:rsidRPr="002A7AE8">
        <w:rPr>
          <w:rFonts w:cstheme="minorHAnsi"/>
          <w:sz w:val="28"/>
          <w:szCs w:val="28"/>
        </w:rPr>
        <w:t>Section 13 defines the subject matter of copyright — the categories of works eligible for protection. Only "original" works qualify, meaning the work must originate from the author and not be copied. Copyright does not subsist in a cinematograph film if a substantial part of the film infringes another work, nor in a sound recording made in contravention of copyright. In a work of architecture, copyright extends only to artistic character and design, not to construction processes.</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Literary works</w:t>
      </w:r>
    </w:p>
    <w:p w:rsidR="002A7AE8" w:rsidRPr="002A7AE8" w:rsidRDefault="002A7AE8" w:rsidP="002A7AE8">
      <w:pPr>
        <w:rPr>
          <w:rFonts w:cstheme="minorHAnsi"/>
          <w:sz w:val="28"/>
          <w:szCs w:val="28"/>
        </w:rPr>
      </w:pPr>
      <w:r w:rsidRPr="002A7AE8">
        <w:rPr>
          <w:rFonts w:cstheme="minorHAnsi"/>
          <w:sz w:val="28"/>
          <w:szCs w:val="28"/>
        </w:rPr>
        <w:t>Literary works include books, novels, short stories, poems, articles, computer programs, databases, and tables. Protection extends to both printed and digital forms. Computer programs — whether in source code or object code — are expressly protected as literary works under the Act. The quality or literary merit of the work is irrelevant; originality is the only requirement.</w:t>
      </w:r>
    </w:p>
    <w:p w:rsidR="002A7AE8" w:rsidRPr="002A7AE8" w:rsidRDefault="002A7AE8" w:rsidP="002A7AE8">
      <w:pPr>
        <w:rPr>
          <w:rFonts w:cstheme="minorHAnsi"/>
          <w:sz w:val="28"/>
          <w:szCs w:val="28"/>
        </w:rPr>
      </w:pPr>
      <w:r w:rsidRPr="002A7AE8">
        <w:rPr>
          <w:rFonts w:cstheme="minorHAnsi"/>
          <w:sz w:val="28"/>
          <w:szCs w:val="28"/>
        </w:rPr>
        <w:lastRenderedPageBreak/>
        <w:t>B.</w:t>
      </w:r>
      <w:r w:rsidRPr="002A7AE8">
        <w:rPr>
          <w:rFonts w:cstheme="minorHAnsi"/>
          <w:sz w:val="28"/>
          <w:szCs w:val="28"/>
        </w:rPr>
        <w:tab/>
        <w:t>Dramatic works</w:t>
      </w:r>
    </w:p>
    <w:p w:rsidR="002A7AE8" w:rsidRPr="002A7AE8" w:rsidRDefault="002A7AE8" w:rsidP="002A7AE8">
      <w:pPr>
        <w:rPr>
          <w:rFonts w:cstheme="minorHAnsi"/>
          <w:sz w:val="28"/>
          <w:szCs w:val="28"/>
        </w:rPr>
      </w:pPr>
      <w:r w:rsidRPr="002A7AE8">
        <w:rPr>
          <w:rFonts w:cstheme="minorHAnsi"/>
          <w:sz w:val="28"/>
          <w:szCs w:val="28"/>
        </w:rPr>
        <w:t>Dramatic works are works intended for performance. They include scripts, plays, choreographic works, and stage arrangements. Copyright protects the written form and structure of the performance. Cinematograph films are expressly excluded from the definition of dramatic works.</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Musical works</w:t>
      </w:r>
    </w:p>
    <w:p w:rsidR="002A7AE8" w:rsidRPr="002A7AE8" w:rsidRDefault="002A7AE8" w:rsidP="002A7AE8">
      <w:pPr>
        <w:rPr>
          <w:rFonts w:cstheme="minorHAnsi"/>
          <w:sz w:val="28"/>
          <w:szCs w:val="28"/>
        </w:rPr>
      </w:pPr>
      <w:r w:rsidRPr="002A7AE8">
        <w:rPr>
          <w:rFonts w:cstheme="minorHAnsi"/>
          <w:sz w:val="28"/>
          <w:szCs w:val="28"/>
        </w:rPr>
        <w:t>A musical work means a work consisting of music and includes any graphical notation of such work, but does not include words or actions intended to be sung, spoken, or performed with the music. Musical composition and arrangement are protected; lyrics and sound recordings carry separate copyrights.</w:t>
      </w: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Artistic works</w:t>
      </w:r>
    </w:p>
    <w:p w:rsidR="002A7AE8" w:rsidRPr="002A7AE8" w:rsidRDefault="002A7AE8" w:rsidP="002A7AE8">
      <w:pPr>
        <w:rPr>
          <w:rFonts w:cstheme="minorHAnsi"/>
          <w:sz w:val="28"/>
          <w:szCs w:val="28"/>
        </w:rPr>
      </w:pPr>
      <w:r w:rsidRPr="002A7AE8">
        <w:rPr>
          <w:rFonts w:cstheme="minorHAnsi"/>
          <w:sz w:val="28"/>
          <w:szCs w:val="28"/>
        </w:rPr>
        <w:t>Artistic works include paintings, sculptures, drawings (including diagrams, maps, charts, and plans), engravings, photographs, and works of architecture. Artistic quality is not a requirement — a simple sketch or technical diagram qualifies for protection, provided it is original.</w:t>
      </w:r>
    </w:p>
    <w:p w:rsidR="002A7AE8" w:rsidRPr="002A7AE8" w:rsidRDefault="002A7AE8" w:rsidP="002A7AE8">
      <w:pPr>
        <w:rPr>
          <w:rFonts w:cstheme="minorHAnsi"/>
          <w:sz w:val="28"/>
          <w:szCs w:val="28"/>
        </w:rPr>
      </w:pPr>
      <w:r w:rsidRPr="002A7AE8">
        <w:rPr>
          <w:rFonts w:cstheme="minorHAnsi"/>
          <w:sz w:val="28"/>
          <w:szCs w:val="28"/>
        </w:rPr>
        <w:t>E.</w:t>
      </w:r>
      <w:r w:rsidRPr="002A7AE8">
        <w:rPr>
          <w:rFonts w:cstheme="minorHAnsi"/>
          <w:sz w:val="28"/>
          <w:szCs w:val="28"/>
        </w:rPr>
        <w:tab/>
        <w:t>Cinematograph films</w:t>
      </w:r>
    </w:p>
    <w:p w:rsidR="002A7AE8" w:rsidRPr="002A7AE8" w:rsidRDefault="002A7AE8" w:rsidP="002A7AE8">
      <w:pPr>
        <w:rPr>
          <w:rFonts w:cstheme="minorHAnsi"/>
          <w:sz w:val="28"/>
          <w:szCs w:val="28"/>
        </w:rPr>
      </w:pPr>
      <w:r w:rsidRPr="002A7AE8">
        <w:rPr>
          <w:rFonts w:cstheme="minorHAnsi"/>
          <w:sz w:val="28"/>
          <w:szCs w:val="28"/>
        </w:rPr>
        <w:t>A cinematograph film means any work of visual recording, including video films produced by any process analogous to cinematography. Copyright in a cinematograph film subsists for sixty years from the beginning of the calendar year following the year of publication.</w:t>
      </w:r>
    </w:p>
    <w:p w:rsidR="002A7AE8" w:rsidRPr="002A7AE8" w:rsidRDefault="002A7AE8" w:rsidP="002A7AE8">
      <w:pPr>
        <w:rPr>
          <w:rFonts w:cstheme="minorHAnsi"/>
          <w:sz w:val="28"/>
          <w:szCs w:val="28"/>
        </w:rPr>
      </w:pPr>
      <w:r w:rsidRPr="002A7AE8">
        <w:rPr>
          <w:rFonts w:cstheme="minorHAnsi"/>
          <w:sz w:val="28"/>
          <w:szCs w:val="28"/>
        </w:rPr>
        <w:t>F.</w:t>
      </w:r>
      <w:r w:rsidRPr="002A7AE8">
        <w:rPr>
          <w:rFonts w:cstheme="minorHAnsi"/>
          <w:sz w:val="28"/>
          <w:szCs w:val="28"/>
        </w:rPr>
        <w:tab/>
        <w:t>Sound recordings</w:t>
      </w:r>
    </w:p>
    <w:p w:rsidR="002A7AE8" w:rsidRPr="002A7AE8" w:rsidRDefault="002A7AE8" w:rsidP="002A7AE8">
      <w:pPr>
        <w:rPr>
          <w:rFonts w:cstheme="minorHAnsi"/>
          <w:sz w:val="28"/>
          <w:szCs w:val="28"/>
        </w:rPr>
      </w:pPr>
      <w:r w:rsidRPr="002A7AE8">
        <w:rPr>
          <w:rFonts w:cstheme="minorHAnsi"/>
          <w:sz w:val="28"/>
          <w:szCs w:val="28"/>
        </w:rPr>
        <w:t>A sound recording means a recording of sounds from which those sounds may be reproduced, regardless of the medium on which the recording is made or the method of production. Music albums, recorded songs, audiobooks, and podcasts are all sound recordings. Copyright in a sound recording subsists for sixty years from the beginning of the calendar year following publication.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Conclusion</w:t>
      </w:r>
    </w:p>
    <w:p w:rsidR="002A7AE8" w:rsidRPr="002A7AE8" w:rsidRDefault="002A7AE8" w:rsidP="002A7AE8">
      <w:pPr>
        <w:rPr>
          <w:rFonts w:cstheme="minorHAnsi"/>
          <w:sz w:val="28"/>
          <w:szCs w:val="28"/>
        </w:rPr>
      </w:pPr>
      <w:r w:rsidRPr="002A7AE8">
        <w:rPr>
          <w:rFonts w:cstheme="minorHAnsi"/>
          <w:sz w:val="28"/>
          <w:szCs w:val="28"/>
        </w:rPr>
        <w:t xml:space="preserve">Copyright is the legal mechanism that ensures creators retain control over and derive benefit from their original works. By protecting expression rather than ideas, and by attaching automatically upon creation, it strikes an accessible </w:t>
      </w:r>
      <w:r w:rsidRPr="002A7AE8">
        <w:rPr>
          <w:rFonts w:cstheme="minorHAnsi"/>
          <w:sz w:val="28"/>
          <w:szCs w:val="28"/>
        </w:rPr>
        <w:lastRenderedPageBreak/>
        <w:t>and practical balance between rewarding creativity and serving the broader public interest. The Copyright Act, 1957 provides a comprehensive framework covering literary, dramatic, musical, and artistic works, cinematograph films, and sound recordings — encompassing virtually the entire range of human creative expression.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2</w:t>
      </w:r>
    </w:p>
    <w:p w:rsidR="002A7AE8" w:rsidRPr="002A7AE8" w:rsidRDefault="002A7AE8" w:rsidP="002A7AE8">
      <w:pPr>
        <w:rPr>
          <w:rFonts w:cstheme="minorHAnsi"/>
          <w:sz w:val="28"/>
          <w:szCs w:val="28"/>
        </w:rPr>
      </w:pPr>
      <w:r w:rsidRPr="002A7AE8">
        <w:rPr>
          <w:rFonts w:cstheme="minorHAnsi"/>
          <w:sz w:val="28"/>
          <w:szCs w:val="28"/>
        </w:rPr>
        <w:t>Chapter 2: Neighboring rights – introduction, meaning and nature</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Neighboring rights — also called related rights — are an important dimension of Intellectual Property Rights that sit alongside copyright. While copyright protects authors and original creators, Neighboring rights protect the interests of those who contribute to making copyrighted works available to the public without necessarily being the original creators. A songwriter who composes a song enjoys copyright; the singer who performs it, the company that records it, and the broadcaster that transmits it each enjoy distinct Neighboring rights. These rights recognize that the creative, technical, and economic contributions of performers, producers, and broadcasters deserve independent legal protection.</w:t>
      </w:r>
    </w:p>
    <w:p w:rsidR="002A7AE8" w:rsidRPr="002A7AE8" w:rsidRDefault="002A7AE8" w:rsidP="002A7AE8">
      <w:pPr>
        <w:rPr>
          <w:rFonts w:cstheme="minorHAnsi"/>
          <w:sz w:val="28"/>
          <w:szCs w:val="28"/>
        </w:rPr>
      </w:pPr>
      <w:r w:rsidRPr="002A7AE8">
        <w:rPr>
          <w:rFonts w:cstheme="minorHAnsi"/>
          <w:sz w:val="28"/>
          <w:szCs w:val="28"/>
        </w:rPr>
        <w:t>In India, Neighboring rights are protected under the Copyright Act, 1957, primarily through the provisions on performers' rights (Sections 38 to 38B) and broadcast reproduction rights (Section 37). Internationally, the key instruments are the Rome Convention for the Protection of Performers, Producers of Phonograms and Broadcasting Organizations, 1961; the TRIPS Agreement; and the WIPO Performances and Phonograms Treaty (WPPT), 1996.</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Meaning of neighboring rights</w:t>
      </w:r>
    </w:p>
    <w:p w:rsidR="002A7AE8" w:rsidRPr="002A7AE8" w:rsidRDefault="002A7AE8" w:rsidP="002A7AE8">
      <w:pPr>
        <w:rPr>
          <w:rFonts w:cstheme="minorHAnsi"/>
          <w:sz w:val="28"/>
          <w:szCs w:val="28"/>
        </w:rPr>
      </w:pPr>
      <w:r w:rsidRPr="002A7AE8">
        <w:rPr>
          <w:rFonts w:cstheme="minorHAnsi"/>
          <w:sz w:val="28"/>
          <w:szCs w:val="28"/>
        </w:rPr>
        <w:t>The term 'Neighboring rights' refers to rights granted to persons or entities whose activities are closely connected with — or 'Neighboring ' to — the protection enjoyed by copyright holders. They do not protect the creation of original works but protect the presentation, performance, recording, and transmission of those works. In practical terms, Neighboring rights are the legal rights given to performers, producers of sound recordings, and broadcasting organizations for their contribution in bringing creative works to the public.</w:t>
      </w:r>
    </w:p>
    <w:p w:rsidR="002A7AE8" w:rsidRPr="002A7AE8" w:rsidRDefault="002A7AE8" w:rsidP="002A7AE8">
      <w:pPr>
        <w:rPr>
          <w:rFonts w:cstheme="minorHAnsi"/>
          <w:sz w:val="28"/>
          <w:szCs w:val="28"/>
        </w:rPr>
      </w:pPr>
      <w:r w:rsidRPr="002A7AE8">
        <w:rPr>
          <w:rFonts w:cstheme="minorHAnsi"/>
          <w:sz w:val="28"/>
          <w:szCs w:val="28"/>
        </w:rPr>
        <w:lastRenderedPageBreak/>
        <w:t>3.</w:t>
      </w:r>
      <w:r w:rsidRPr="002A7AE8">
        <w:rPr>
          <w:rFonts w:cstheme="minorHAnsi"/>
          <w:sz w:val="28"/>
          <w:szCs w:val="28"/>
        </w:rPr>
        <w:tab/>
        <w:t>Nature and characteristics of Neighboring rights</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Related to, yet independent of, copyright</w:t>
      </w:r>
    </w:p>
    <w:p w:rsidR="002A7AE8" w:rsidRPr="002A7AE8" w:rsidRDefault="002A7AE8" w:rsidP="002A7AE8">
      <w:pPr>
        <w:rPr>
          <w:rFonts w:cstheme="minorHAnsi"/>
          <w:sz w:val="28"/>
          <w:szCs w:val="28"/>
        </w:rPr>
      </w:pPr>
      <w:r w:rsidRPr="002A7AE8">
        <w:rPr>
          <w:rFonts w:cstheme="minorHAnsi"/>
          <w:sz w:val="28"/>
          <w:szCs w:val="28"/>
        </w:rPr>
        <w:t>Neighboring rights depend upon and exist alongside copyright, but they are legally independent. A single song can simultaneously carry multiple distinct rights: the composer holds copyright in the composition; the singer holds a performer's right; and the recording company holds rights in the sound recording. These exist concurrently without one displacing the other.</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Economic rights</w:t>
      </w:r>
    </w:p>
    <w:p w:rsidR="002A7AE8" w:rsidRPr="002A7AE8" w:rsidRDefault="002A7AE8" w:rsidP="002A7AE8">
      <w:pPr>
        <w:rPr>
          <w:rFonts w:cstheme="minorHAnsi"/>
          <w:sz w:val="28"/>
          <w:szCs w:val="28"/>
        </w:rPr>
      </w:pPr>
      <w:r w:rsidRPr="002A7AE8">
        <w:rPr>
          <w:rFonts w:cstheme="minorHAnsi"/>
          <w:sz w:val="28"/>
          <w:szCs w:val="28"/>
        </w:rPr>
        <w:t>Neighboring rights provide financial benefits to rights holders, who may license their performances, receive royalties, and commercially exploit their contributions. These rights ensure that the economic value generated by the creative industries is shared fairly with those who make it possible.</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Limited duration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Protection is granted only for a specific statutory period. Under the Copyright Act, 1957, performers' rights subsist for fifty years and broadcast reproduction rights for twenty-five years from the relevant date. After expiry, the protected material passes into the public domain.</w:t>
      </w: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Exclusive rights</w:t>
      </w:r>
    </w:p>
    <w:p w:rsidR="002A7AE8" w:rsidRPr="002A7AE8" w:rsidRDefault="002A7AE8" w:rsidP="002A7AE8">
      <w:pPr>
        <w:rPr>
          <w:rFonts w:cstheme="minorHAnsi"/>
          <w:sz w:val="28"/>
          <w:szCs w:val="28"/>
        </w:rPr>
      </w:pPr>
      <w:r w:rsidRPr="002A7AE8">
        <w:rPr>
          <w:rFonts w:cstheme="minorHAnsi"/>
          <w:sz w:val="28"/>
          <w:szCs w:val="28"/>
        </w:rPr>
        <w:t>The holder of a Neighboring right has exclusive control over recording, reproduction, broadcasting, and distribution. Unauthorized use constitutes infringement.</w:t>
      </w:r>
    </w:p>
    <w:p w:rsidR="002A7AE8" w:rsidRPr="002A7AE8" w:rsidRDefault="002A7AE8" w:rsidP="002A7AE8">
      <w:pPr>
        <w:rPr>
          <w:rFonts w:cstheme="minorHAnsi"/>
          <w:sz w:val="28"/>
          <w:szCs w:val="28"/>
        </w:rPr>
      </w:pPr>
      <w:r w:rsidRPr="002A7AE8">
        <w:rPr>
          <w:rFonts w:cstheme="minorHAnsi"/>
          <w:sz w:val="28"/>
          <w:szCs w:val="28"/>
        </w:rPr>
        <w:t>e.</w:t>
      </w:r>
      <w:r w:rsidRPr="002A7AE8">
        <w:rPr>
          <w:rFonts w:cstheme="minorHAnsi"/>
          <w:sz w:val="28"/>
          <w:szCs w:val="28"/>
        </w:rPr>
        <w:tab/>
        <w:t>Recognition of skill and investment</w:t>
      </w:r>
    </w:p>
    <w:p w:rsidR="002A7AE8" w:rsidRPr="002A7AE8" w:rsidRDefault="002A7AE8" w:rsidP="002A7AE8">
      <w:pPr>
        <w:rPr>
          <w:rFonts w:cstheme="minorHAnsi"/>
          <w:sz w:val="28"/>
          <w:szCs w:val="28"/>
        </w:rPr>
      </w:pPr>
      <w:r w:rsidRPr="002A7AE8">
        <w:rPr>
          <w:rFonts w:cstheme="minorHAnsi"/>
          <w:sz w:val="28"/>
          <w:szCs w:val="28"/>
        </w:rPr>
        <w:t>Neighboring rights acknowledge three distinct forms of contribution: a performer's artistic creativity, a producer's financial and organizational investment, and a broadcaster's technical infrastructure and transmission effort.</w:t>
      </w:r>
    </w:p>
    <w:p w:rsidR="002A7AE8" w:rsidRPr="002A7AE8" w:rsidRDefault="002A7AE8" w:rsidP="002A7AE8">
      <w:pPr>
        <w:rPr>
          <w:rFonts w:cstheme="minorHAnsi"/>
          <w:sz w:val="28"/>
          <w:szCs w:val="28"/>
        </w:rPr>
      </w:pPr>
      <w:r w:rsidRPr="002A7AE8">
        <w:rPr>
          <w:rFonts w:cstheme="minorHAnsi"/>
          <w:sz w:val="28"/>
          <w:szCs w:val="28"/>
        </w:rPr>
        <w:t>f.</w:t>
      </w:r>
      <w:r w:rsidRPr="002A7AE8">
        <w:rPr>
          <w:rFonts w:cstheme="minorHAnsi"/>
          <w:sz w:val="28"/>
          <w:szCs w:val="28"/>
        </w:rPr>
        <w:tab/>
        <w:t>Territorial nature</w:t>
      </w:r>
    </w:p>
    <w:p w:rsidR="002A7AE8" w:rsidRPr="002A7AE8" w:rsidRDefault="002A7AE8" w:rsidP="002A7AE8">
      <w:pPr>
        <w:rPr>
          <w:rFonts w:cstheme="minorHAnsi"/>
          <w:sz w:val="28"/>
          <w:szCs w:val="28"/>
        </w:rPr>
      </w:pPr>
      <w:r w:rsidRPr="002A7AE8">
        <w:rPr>
          <w:rFonts w:cstheme="minorHAnsi"/>
          <w:sz w:val="28"/>
          <w:szCs w:val="28"/>
        </w:rPr>
        <w:t>Like copyright, Neighboring rights are generally territorial and governed by national law, though international treaties such as the Rome Convention and WPPT establish global minimum standards.</w:t>
      </w:r>
    </w:p>
    <w:p w:rsidR="002A7AE8" w:rsidRPr="002A7AE8" w:rsidRDefault="002A7AE8" w:rsidP="002A7AE8">
      <w:pPr>
        <w:rPr>
          <w:rFonts w:cstheme="minorHAnsi"/>
          <w:sz w:val="28"/>
          <w:szCs w:val="28"/>
        </w:rPr>
      </w:pPr>
      <w:r w:rsidRPr="002A7AE8">
        <w:rPr>
          <w:rFonts w:cstheme="minorHAnsi"/>
          <w:sz w:val="28"/>
          <w:szCs w:val="28"/>
        </w:rPr>
        <w:lastRenderedPageBreak/>
        <w:t>4.</w:t>
      </w:r>
      <w:r w:rsidRPr="002A7AE8">
        <w:rPr>
          <w:rFonts w:cstheme="minorHAnsi"/>
          <w:sz w:val="28"/>
          <w:szCs w:val="28"/>
        </w:rPr>
        <w:tab/>
        <w:t>Importance of Neighboring rights</w:t>
      </w:r>
    </w:p>
    <w:p w:rsidR="002A7AE8" w:rsidRPr="002A7AE8" w:rsidRDefault="002A7AE8" w:rsidP="002A7AE8">
      <w:pPr>
        <w:rPr>
          <w:rFonts w:cstheme="minorHAnsi"/>
          <w:sz w:val="28"/>
          <w:szCs w:val="28"/>
        </w:rPr>
      </w:pPr>
      <w:r w:rsidRPr="002A7AE8">
        <w:rPr>
          <w:rFonts w:cstheme="minorHAnsi"/>
          <w:sz w:val="28"/>
          <w:szCs w:val="28"/>
        </w:rPr>
        <w:t>Neighboring rights serve several essential functions. They ensure that performers receive recognition and economic benefit from their work, not merely the composers or authors whose works they interpret. They encourage investment in the music, film, and broadcasting industries by giving producers and broadcasters recoverable rights in their output. By preventing unauthorized copying, piracy, and illegal broadcasting, they protect the entire creative ecosystem. Without Neighboring rights, the financial model underpinning the recording and broadcasting industries would be unsustainable.</w:t>
      </w: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International protection of Neighboring rights</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Rome Convention, 1961</w:t>
      </w:r>
    </w:p>
    <w:p w:rsidR="002A7AE8" w:rsidRPr="002A7AE8" w:rsidRDefault="002A7AE8" w:rsidP="002A7AE8">
      <w:pPr>
        <w:rPr>
          <w:rFonts w:cstheme="minorHAnsi"/>
          <w:sz w:val="28"/>
          <w:szCs w:val="28"/>
        </w:rPr>
      </w:pPr>
      <w:r w:rsidRPr="002A7AE8">
        <w:rPr>
          <w:rFonts w:cstheme="minorHAnsi"/>
          <w:sz w:val="28"/>
          <w:szCs w:val="28"/>
        </w:rPr>
        <w:t>Adopted on 26 October 1961 and administered jointly by WIPO, the ILO, and UNESCO, the Rome Convention is the first major multilateral treaty providing comprehensive protection for Neighboring rights. It protects performers against unauthorized broadcasting, fixation, reproduction, and public communication of live performances; producers of phonograms against unauthorized reproduction and commercial exploitation of their recordings; and broadcasting organizations against unauthorized rebroadcasting, fixation, and reproduction of their broadcasts. The Convention is built on the principle of national treatment and establishes minimum standards for all three categories of beneficiaries.</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WIPO Performances and Phonograms Treaty (WPPT), 1996</w:t>
      </w:r>
    </w:p>
    <w:p w:rsidR="002A7AE8" w:rsidRPr="002A7AE8" w:rsidRDefault="002A7AE8" w:rsidP="002A7AE8">
      <w:pPr>
        <w:rPr>
          <w:rFonts w:cstheme="minorHAnsi"/>
          <w:sz w:val="28"/>
          <w:szCs w:val="28"/>
        </w:rPr>
      </w:pPr>
      <w:r w:rsidRPr="002A7AE8">
        <w:rPr>
          <w:rFonts w:cstheme="minorHAnsi"/>
          <w:sz w:val="28"/>
          <w:szCs w:val="28"/>
        </w:rPr>
        <w:t>Adopted in Geneva on 20 December 1996 and in force from 2002, the WPPT was designed to address the challenges of digital technology and internet-based exploitation of performances and phonograms — gaps the Rome Convention had not anticipated.</w:t>
      </w:r>
    </w:p>
    <w:p w:rsidR="002A7AE8" w:rsidRPr="002A7AE8" w:rsidRDefault="002A7AE8" w:rsidP="002A7AE8">
      <w:pPr>
        <w:rPr>
          <w:rFonts w:cstheme="minorHAnsi"/>
          <w:sz w:val="28"/>
          <w:szCs w:val="28"/>
        </w:rPr>
      </w:pPr>
      <w:r w:rsidRPr="002A7AE8">
        <w:rPr>
          <w:rFonts w:cstheme="minorHAnsi"/>
          <w:sz w:val="28"/>
          <w:szCs w:val="28"/>
        </w:rPr>
        <w:t>The Treaty grants performers and phonogram producers comprehensive economic rights including reproduction, distribution, rental, and the right of making available to</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the public through digital networks. It expressly grants performers moral rights of attribution and integrity. It also requires member states to provide legal remedies against circumvention of technological protection measures and </w:t>
      </w:r>
      <w:r w:rsidRPr="002A7AE8">
        <w:rPr>
          <w:rFonts w:cstheme="minorHAnsi"/>
          <w:sz w:val="28"/>
          <w:szCs w:val="28"/>
        </w:rPr>
        <w:lastRenderedPageBreak/>
        <w:t>against unauthorized removal or alteration of electronic rights management information. The WPPT represents the most significant modernization of Neighboring rights in the digital era.</w:t>
      </w: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Conclusion</w:t>
      </w:r>
    </w:p>
    <w:p w:rsidR="002A7AE8" w:rsidRPr="002A7AE8" w:rsidRDefault="002A7AE8" w:rsidP="002A7AE8">
      <w:pPr>
        <w:rPr>
          <w:rFonts w:cstheme="minorHAnsi"/>
          <w:sz w:val="28"/>
          <w:szCs w:val="28"/>
        </w:rPr>
      </w:pPr>
      <w:r w:rsidRPr="002A7AE8">
        <w:rPr>
          <w:rFonts w:cstheme="minorHAnsi"/>
          <w:sz w:val="28"/>
          <w:szCs w:val="28"/>
        </w:rPr>
        <w:t>Neighboring rights are the legal framework that acknowledges the contribution of performers, producers, and broadcasters in bringing creative works to audiences. While copyright rewards original authorship, Neighboring rights ensure that those who invest artistically, financially, and technically in the delivery of works receive proportionate protection. Rooted in Indian law and reinforced by international conventions, these rights are essential to the health of cultural and creative industries.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2</w:t>
      </w:r>
    </w:p>
    <w:p w:rsidR="002A7AE8" w:rsidRPr="002A7AE8" w:rsidRDefault="002A7AE8" w:rsidP="002A7AE8">
      <w:pPr>
        <w:rPr>
          <w:rFonts w:cstheme="minorHAnsi"/>
          <w:sz w:val="28"/>
          <w:szCs w:val="28"/>
        </w:rPr>
      </w:pPr>
      <w:r w:rsidRPr="002A7AE8">
        <w:rPr>
          <w:rFonts w:cstheme="minorHAnsi"/>
          <w:sz w:val="28"/>
          <w:szCs w:val="28"/>
        </w:rPr>
        <w:t>Chapter 3: Copyright and Neighboring rights – TRIPS Agreement</w:t>
      </w:r>
    </w:p>
    <w:p w:rsidR="002A7AE8" w:rsidRPr="002A7AE8" w:rsidRDefault="002A7AE8" w:rsidP="002A7AE8">
      <w:pPr>
        <w:rPr>
          <w:rFonts w:cstheme="minorHAnsi"/>
          <w:sz w:val="28"/>
          <w:szCs w:val="28"/>
        </w:rPr>
      </w:pPr>
      <w:r w:rsidRPr="002A7AE8">
        <w:rPr>
          <w:rFonts w:cstheme="minorHAnsi"/>
          <w:sz w:val="28"/>
          <w:szCs w:val="28"/>
        </w:rPr>
        <w:t>Introduction</w:t>
      </w:r>
    </w:p>
    <w:p w:rsidR="002A7AE8" w:rsidRPr="002A7AE8" w:rsidRDefault="002A7AE8" w:rsidP="002A7AE8">
      <w:pPr>
        <w:rPr>
          <w:rFonts w:cstheme="minorHAnsi"/>
          <w:sz w:val="28"/>
          <w:szCs w:val="28"/>
        </w:rPr>
      </w:pPr>
      <w:r w:rsidRPr="002A7AE8">
        <w:rPr>
          <w:rFonts w:cstheme="minorHAnsi"/>
          <w:sz w:val="28"/>
          <w:szCs w:val="28"/>
        </w:rPr>
        <w:t>The TRIPS Agreement (Trade-Related Aspects of Intellectual Property Rights), forming Annex 1C of the WTO Agreement, sets binding minimum standards for the protection of copyright and related rights among all WTO member states. It came into force on 1 January 1995. Articles 9 to 14 govern copyright and Neighboring rights. Before examining the TRIPS provisions, it is necessary to understand the international framework on Neighboring rights — particularly the Rome Convention and the WPPT — which form the foundation upon which TRIPS builds.</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Rome Convention for the Protection of Performers, Producers of Phonograms and Broadcasting Organisations, 1961</w:t>
      </w:r>
    </w:p>
    <w:p w:rsidR="002A7AE8" w:rsidRPr="002A7AE8" w:rsidRDefault="002A7AE8" w:rsidP="002A7AE8">
      <w:pPr>
        <w:rPr>
          <w:rFonts w:cstheme="minorHAnsi"/>
          <w:sz w:val="28"/>
          <w:szCs w:val="28"/>
        </w:rPr>
      </w:pPr>
      <w:r w:rsidRPr="002A7AE8">
        <w:rPr>
          <w:rFonts w:cstheme="minorHAnsi"/>
          <w:sz w:val="28"/>
          <w:szCs w:val="28"/>
        </w:rPr>
        <w:t>Adopted on 26 October 1961 and jointly administered by WIPO, the ILO, and UNESCO, the Rome Convention was the first comprehensive international treaty on Neighboring rights. It protects performers against unauthorized broadcasting, fixation, and reproduction of live performances; phonogram producers against unauthorized reproduction and commercial exploitation of their recordings; and broadcasting organisations against unauthorized re-broadcasting, fixation, and reproduction. The Convention operates on the principle of national treatment and establishes minimum protection standards for each category of beneficiary.</w:t>
      </w:r>
    </w:p>
    <w:p w:rsidR="002A7AE8" w:rsidRPr="002A7AE8" w:rsidRDefault="002A7AE8" w:rsidP="002A7AE8">
      <w:pPr>
        <w:rPr>
          <w:rFonts w:cstheme="minorHAnsi"/>
          <w:sz w:val="28"/>
          <w:szCs w:val="28"/>
        </w:rPr>
      </w:pPr>
      <w:r w:rsidRPr="002A7AE8">
        <w:rPr>
          <w:rFonts w:cstheme="minorHAnsi"/>
          <w:sz w:val="28"/>
          <w:szCs w:val="28"/>
        </w:rPr>
        <w:lastRenderedPageBreak/>
        <w:t>B.</w:t>
      </w:r>
      <w:r w:rsidRPr="002A7AE8">
        <w:rPr>
          <w:rFonts w:cstheme="minorHAnsi"/>
          <w:sz w:val="28"/>
          <w:szCs w:val="28"/>
        </w:rPr>
        <w:tab/>
        <w:t>WIPO Performances and Phonograms Treaty (WPPT), 1996</w:t>
      </w:r>
    </w:p>
    <w:p w:rsidR="002A7AE8" w:rsidRPr="002A7AE8" w:rsidRDefault="002A7AE8" w:rsidP="002A7AE8">
      <w:pPr>
        <w:rPr>
          <w:rFonts w:cstheme="minorHAnsi"/>
          <w:sz w:val="28"/>
          <w:szCs w:val="28"/>
        </w:rPr>
      </w:pPr>
      <w:r w:rsidRPr="002A7AE8">
        <w:rPr>
          <w:rFonts w:cstheme="minorHAnsi"/>
          <w:sz w:val="28"/>
          <w:szCs w:val="28"/>
        </w:rPr>
        <w:t>Adopted in Geneva on 20 December 1996 and in force from 2002, the WPPT fills the digital gaps left by the Rome Convention. It grants performers and phonogram producers comprehensive economic rights — including rights of reproduction, distribution, rental, and making available to the public through digital networks — as well as express moral rights of attribution and integrity for performers. Member states must provide legal remedies against circumvention of technological protection measures and against unauthorized removal or alteration of electronic rights management information.</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Copyright and Neighboring rights under the TRIPS Agreement — Articles 9–14 Article 9 — Relation to the Berne Convention</w:t>
      </w:r>
    </w:p>
    <w:p w:rsidR="002A7AE8" w:rsidRPr="002A7AE8" w:rsidRDefault="002A7AE8" w:rsidP="002A7AE8">
      <w:pPr>
        <w:rPr>
          <w:rFonts w:cstheme="minorHAnsi"/>
          <w:sz w:val="28"/>
          <w:szCs w:val="28"/>
        </w:rPr>
      </w:pPr>
      <w:r w:rsidRPr="002A7AE8">
        <w:rPr>
          <w:rFonts w:cstheme="minorHAnsi"/>
          <w:sz w:val="28"/>
          <w:szCs w:val="28"/>
        </w:rPr>
        <w:t>Bare act – Section Article 9(1), TRIPS Agreement</w:t>
      </w:r>
    </w:p>
    <w:p w:rsidR="002A7AE8" w:rsidRPr="002A7AE8" w:rsidRDefault="002A7AE8" w:rsidP="002A7AE8">
      <w:pPr>
        <w:rPr>
          <w:rFonts w:cstheme="minorHAnsi"/>
          <w:sz w:val="28"/>
          <w:szCs w:val="28"/>
        </w:rPr>
      </w:pPr>
      <w:r w:rsidRPr="002A7AE8">
        <w:rPr>
          <w:rFonts w:cstheme="minorHAnsi"/>
          <w:sz w:val="28"/>
          <w:szCs w:val="28"/>
        </w:rPr>
        <w:t>Members shall comply with Articles 1 through 21 of the Berne Convention (1971) and the Appendix thereto. However, Members shall not have rights or obligations under this Agreement in respect of the rights conferred under Article 6bis of that Convention or of the rights derived therefrom.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Article 9 incorporates the Berne Convention by reference, making compliance with its substantive provisions (Articles 1–21) a binding obligation for all WTO members.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sole exception is Article 6bis of the Berne Convention, which relates to moral rights —</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these are excluded from TRIPS obligations, reflecting the compromise between countries favouring strong moral rights and those (primarily common law jurisdictions) with weaker moral rights traditions. Copyright protection under this article is automatic and requires no formality such as registration.</w:t>
      </w:r>
    </w:p>
    <w:p w:rsidR="002A7AE8" w:rsidRPr="002A7AE8" w:rsidRDefault="002A7AE8" w:rsidP="002A7AE8">
      <w:pPr>
        <w:rPr>
          <w:rFonts w:cstheme="minorHAnsi"/>
          <w:sz w:val="28"/>
          <w:szCs w:val="28"/>
        </w:rPr>
      </w:pPr>
      <w:r w:rsidRPr="002A7AE8">
        <w:rPr>
          <w:rFonts w:cstheme="minorHAnsi"/>
          <w:sz w:val="28"/>
          <w:szCs w:val="28"/>
        </w:rPr>
        <w:t>Article 10 — Computer programs and databases Bare act – Section Article 10, TRIPS Agreement</w:t>
      </w:r>
    </w:p>
    <w:p w:rsidR="002A7AE8" w:rsidRPr="002A7AE8" w:rsidRDefault="002A7AE8" w:rsidP="002A7AE8">
      <w:pPr>
        <w:rPr>
          <w:rFonts w:cstheme="minorHAnsi"/>
          <w:sz w:val="28"/>
          <w:szCs w:val="28"/>
        </w:rPr>
      </w:pPr>
      <w:r w:rsidRPr="002A7AE8">
        <w:rPr>
          <w:rFonts w:cstheme="minorHAnsi"/>
          <w:sz w:val="28"/>
          <w:szCs w:val="28"/>
        </w:rPr>
        <w:t xml:space="preserve">(1) Computer programs, whether in source or object code, shall be protected as literary works under the Berne Convention (1971). (2) Compilations of data </w:t>
      </w:r>
      <w:r w:rsidRPr="002A7AE8">
        <w:rPr>
          <w:rFonts w:cstheme="minorHAnsi"/>
          <w:sz w:val="28"/>
          <w:szCs w:val="28"/>
        </w:rPr>
        <w:lastRenderedPageBreak/>
        <w:t>or other material, whether in machine readable or other form, which by reason of the selection or arrangement of their contents constitute intellectual creations shall be protected as such. Such protection, which shall not extend to the data or material itself, shall be without prejudice to any copyright subsisting in the data or material itself.</w:t>
      </w:r>
    </w:p>
    <w:p w:rsidR="002A7AE8" w:rsidRPr="002A7AE8" w:rsidRDefault="002A7AE8" w:rsidP="002A7AE8">
      <w:pPr>
        <w:rPr>
          <w:rFonts w:cstheme="minorHAnsi"/>
          <w:sz w:val="28"/>
          <w:szCs w:val="28"/>
        </w:rPr>
      </w:pPr>
      <w:r w:rsidRPr="002A7AE8">
        <w:rPr>
          <w:rFonts w:cstheme="minorHAnsi"/>
          <w:sz w:val="28"/>
          <w:szCs w:val="28"/>
        </w:rPr>
        <w:t>Article 10(1) brought computer software firmly within international copyright protection</w:t>
      </w:r>
    </w:p>
    <w:p w:rsidR="002A7AE8" w:rsidRPr="002A7AE8" w:rsidRDefault="002A7AE8" w:rsidP="002A7AE8">
      <w:pPr>
        <w:rPr>
          <w:rFonts w:cstheme="minorHAnsi"/>
          <w:sz w:val="28"/>
          <w:szCs w:val="28"/>
        </w:rPr>
      </w:pPr>
      <w:r w:rsidRPr="002A7AE8">
        <w:rPr>
          <w:rFonts w:cstheme="minorHAnsi"/>
          <w:sz w:val="28"/>
          <w:szCs w:val="28"/>
        </w:rPr>
        <w:t>— it must be treated as a literary work regardless of whether it is in source (human-readable) code or object (machine-readable) code. Article 10(2) extends protection to databases and compilations where intellectual creativity is involved in their selection or arrangement, but the underlying data remains unprotected. Examples include curated legal research databases, business directories, and organized scientific datasets.</w:t>
      </w:r>
    </w:p>
    <w:p w:rsidR="002A7AE8" w:rsidRPr="002A7AE8" w:rsidRDefault="002A7AE8" w:rsidP="002A7AE8">
      <w:pPr>
        <w:rPr>
          <w:rFonts w:cstheme="minorHAnsi"/>
          <w:sz w:val="28"/>
          <w:szCs w:val="28"/>
        </w:rPr>
      </w:pPr>
      <w:r w:rsidRPr="002A7AE8">
        <w:rPr>
          <w:rFonts w:cstheme="minorHAnsi"/>
          <w:sz w:val="28"/>
          <w:szCs w:val="28"/>
        </w:rPr>
        <w:t>Article 11 — Rental rights</w:t>
      </w:r>
    </w:p>
    <w:p w:rsidR="002A7AE8" w:rsidRPr="002A7AE8" w:rsidRDefault="002A7AE8" w:rsidP="002A7AE8">
      <w:pPr>
        <w:rPr>
          <w:rFonts w:cstheme="minorHAnsi"/>
          <w:sz w:val="28"/>
          <w:szCs w:val="28"/>
        </w:rPr>
      </w:pPr>
      <w:r w:rsidRPr="002A7AE8">
        <w:rPr>
          <w:rFonts w:cstheme="minorHAnsi"/>
          <w:sz w:val="28"/>
          <w:szCs w:val="28"/>
        </w:rPr>
        <w:t>Bare act – Section Article 11, TRIPS Agreement</w:t>
      </w:r>
    </w:p>
    <w:p w:rsidR="002A7AE8" w:rsidRPr="002A7AE8" w:rsidRDefault="002A7AE8" w:rsidP="002A7AE8">
      <w:pPr>
        <w:rPr>
          <w:rFonts w:cstheme="minorHAnsi"/>
          <w:sz w:val="28"/>
          <w:szCs w:val="28"/>
        </w:rPr>
      </w:pPr>
      <w:r w:rsidRPr="002A7AE8">
        <w:rPr>
          <w:rFonts w:cstheme="minorHAnsi"/>
          <w:sz w:val="28"/>
          <w:szCs w:val="28"/>
        </w:rPr>
        <w:t>In respect of at least computer programs and cinematographic works, a Member shall provide authors and their successors in title the right to authorize or to prohibit the commercial rental to the public of originals or copies of their copyright works.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Article 11 addresses the commercial rental market that had been undermining copyright owners' economic interests, particularly in the software and film industries. Copyright owners now have the exclusive right to permit or refuse rental, to license rental rights on terms of their choosing, and to receive royalties from authorized rentals. The article is limited to computer programs and cinematograph films — it does not extend to all works.</w:t>
      </w:r>
    </w:p>
    <w:p w:rsidR="002A7AE8" w:rsidRPr="002A7AE8" w:rsidRDefault="002A7AE8" w:rsidP="002A7AE8">
      <w:pPr>
        <w:rPr>
          <w:rFonts w:cstheme="minorHAnsi"/>
          <w:sz w:val="28"/>
          <w:szCs w:val="28"/>
        </w:rPr>
      </w:pPr>
      <w:r w:rsidRPr="002A7AE8">
        <w:rPr>
          <w:rFonts w:cstheme="minorHAnsi"/>
          <w:sz w:val="28"/>
          <w:szCs w:val="28"/>
        </w:rPr>
        <w:t>Article 12 — Term of protection</w:t>
      </w:r>
    </w:p>
    <w:p w:rsidR="002A7AE8" w:rsidRPr="002A7AE8" w:rsidRDefault="002A7AE8" w:rsidP="002A7AE8">
      <w:pPr>
        <w:rPr>
          <w:rFonts w:cstheme="minorHAnsi"/>
          <w:sz w:val="28"/>
          <w:szCs w:val="28"/>
        </w:rPr>
      </w:pPr>
      <w:r w:rsidRPr="002A7AE8">
        <w:rPr>
          <w:rFonts w:cstheme="minorHAnsi"/>
          <w:sz w:val="28"/>
          <w:szCs w:val="28"/>
        </w:rPr>
        <w:t>Bare act – Section Article 12, TRIPS Agreement</w:t>
      </w:r>
    </w:p>
    <w:p w:rsidR="002A7AE8" w:rsidRPr="002A7AE8" w:rsidRDefault="002A7AE8" w:rsidP="002A7AE8">
      <w:pPr>
        <w:rPr>
          <w:rFonts w:cstheme="minorHAnsi"/>
          <w:sz w:val="28"/>
          <w:szCs w:val="28"/>
        </w:rPr>
      </w:pPr>
      <w:r w:rsidRPr="002A7AE8">
        <w:rPr>
          <w:rFonts w:cstheme="minorHAnsi"/>
          <w:sz w:val="28"/>
          <w:szCs w:val="28"/>
        </w:rPr>
        <w:t xml:space="preserve">Whenever the term of protection of a work, other than a photographic work or a work of applied art, is calculated on a basis other than the life of a natural person, such term shall be no less than 50 years from the end of the calendar year of authorized publication, or, failing such authorized publication within 50 </w:t>
      </w:r>
      <w:r w:rsidRPr="002A7AE8">
        <w:rPr>
          <w:rFonts w:cstheme="minorHAnsi"/>
          <w:sz w:val="28"/>
          <w:szCs w:val="28"/>
        </w:rPr>
        <w:lastRenderedPageBreak/>
        <w:t>years from the making of the work, 50 years from the end of the calendar year of making.</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Article 12 sets a minimum international standard of fifty years for works whose term of protection is not calculated on the basis of a natural person's lifetime — principally cinematograph films, sound recordings, and anonymous works. This prevents member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states from setting excessively short terms for these categories. India's Copyright Act provides sixty years for such works, exceeding the TRIPS minimum.</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Article 13 — Limitations and exceptions (the three-step test) Bare act – Section Article 13, TRIPS Agreement</w:t>
      </w:r>
    </w:p>
    <w:p w:rsidR="002A7AE8" w:rsidRPr="002A7AE8" w:rsidRDefault="002A7AE8" w:rsidP="002A7AE8">
      <w:pPr>
        <w:rPr>
          <w:rFonts w:cstheme="minorHAnsi"/>
          <w:sz w:val="28"/>
          <w:szCs w:val="28"/>
        </w:rPr>
      </w:pPr>
      <w:r w:rsidRPr="002A7AE8">
        <w:rPr>
          <w:rFonts w:cstheme="minorHAnsi"/>
          <w:sz w:val="28"/>
          <w:szCs w:val="28"/>
        </w:rPr>
        <w:t>Members shall confine limitations or exceptions to exclusive rights to certain special cases which do not conflict with a normal exploitation of the work and do not unreasonably prejudice the legitimate interests of the right holder.</w:t>
      </w:r>
    </w:p>
    <w:p w:rsidR="002A7AE8" w:rsidRPr="002A7AE8" w:rsidRDefault="002A7AE8" w:rsidP="002A7AE8">
      <w:pPr>
        <w:rPr>
          <w:rFonts w:cstheme="minorHAnsi"/>
          <w:sz w:val="28"/>
          <w:szCs w:val="28"/>
        </w:rPr>
      </w:pPr>
      <w:r w:rsidRPr="002A7AE8">
        <w:rPr>
          <w:rFonts w:cstheme="minorHAnsi"/>
          <w:sz w:val="28"/>
          <w:szCs w:val="28"/>
        </w:rPr>
        <w:t>Article 13 establishes the internationally accepted "three-step test" that governs all permissible exceptions to copyright: (i) the exception must be confined to certain special cases; (ii) it must not conflict with the normal exploitation of the work; and (iii) it must not unreasonably prejudice the legitimate interests of the right holder. All three conditions must be satisfied simultaneously. This test provides the legal basis for domestic fair dealing provisions, educational exceptions, library use, and exceptions for persons with disabilities — including Section 52 of the Indian Copyright Act.</w:t>
      </w:r>
    </w:p>
    <w:p w:rsidR="002A7AE8" w:rsidRPr="002A7AE8" w:rsidRDefault="002A7AE8" w:rsidP="002A7AE8">
      <w:pPr>
        <w:rPr>
          <w:rFonts w:cstheme="minorHAnsi"/>
          <w:sz w:val="28"/>
          <w:szCs w:val="28"/>
        </w:rPr>
      </w:pPr>
      <w:r w:rsidRPr="002A7AE8">
        <w:rPr>
          <w:rFonts w:cstheme="minorHAnsi"/>
          <w:sz w:val="28"/>
          <w:szCs w:val="28"/>
        </w:rPr>
        <w:t>Article 14 — Protection of Neighboring rights Bare act – Section Article 14, TRIPS Agreement</w:t>
      </w:r>
    </w:p>
    <w:p w:rsidR="002A7AE8" w:rsidRPr="002A7AE8" w:rsidRDefault="002A7AE8" w:rsidP="002A7AE8">
      <w:pPr>
        <w:rPr>
          <w:rFonts w:cstheme="minorHAnsi"/>
          <w:sz w:val="28"/>
          <w:szCs w:val="28"/>
        </w:rPr>
      </w:pPr>
      <w:r w:rsidRPr="002A7AE8">
        <w:rPr>
          <w:rFonts w:cstheme="minorHAnsi"/>
          <w:sz w:val="28"/>
          <w:szCs w:val="28"/>
        </w:rPr>
        <w:t xml:space="preserve">(1) In respect of a fixation of their performance on a phonogram, performers shall have the possibility of preventing the following acts when undertaken without their authorisation: the fixation of their unfixed performance and the reproduction of such fixation. Performers shall also have the possibility of preventing the following acts when undertaken without their authorisation: the broadcasting by wireless means and the communication to the public of </w:t>
      </w:r>
      <w:r w:rsidRPr="002A7AE8">
        <w:rPr>
          <w:rFonts w:cstheme="minorHAnsi"/>
          <w:sz w:val="28"/>
          <w:szCs w:val="28"/>
        </w:rPr>
        <w:lastRenderedPageBreak/>
        <w:t>their live performance. (2) Producers of phonograms shall enjoy the right to authorise or prohibit the direct or indirect reproduction of their phonograms. (3) [Rental rights for phonogram producers]. (4) Broadcasting organisations shall have the right to prohibit the unauthorized fixation, the reproduction of fixations, and the rebroadcasting by wireless means of broadcasts, as well as the communication to the public of television broadcasts of the same. (5) The term of protection shall last at least until the end of a period of 50 years computed from the end of the calendar year in which the fixation was made or the performance took place; for broadcasting organisations, 20 years.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Article 14 is the TRIPS provision on Neighboring rights. Article 14(1) protects performers by allowing them to prevent unauthorized fixation, reproduction, broadcasting, and public communication of live performances — covering singers, actors, musicians, and dancers. Article 14(2) gives phonogram producers the right to prevent direct or indirect reproduction of their recordings, protecting the music recording industry from piracy. Article 14(4) protects broadcasting organisations against unauthorized fixation, reproduction, re-broadcasting, and public communication. The minimum duration is fifty years for performers and producers, twenty years for broadcasters — though India's Act provides longer periods.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Summary table: Articles 9–14 of TRIPS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Article</w:t>
      </w:r>
      <w:r w:rsidRPr="002A7AE8">
        <w:rPr>
          <w:rFonts w:cstheme="minorHAnsi"/>
          <w:sz w:val="28"/>
          <w:szCs w:val="28"/>
        </w:rPr>
        <w:tab/>
        <w:t>Subject matter</w:t>
      </w:r>
      <w:r w:rsidRPr="002A7AE8">
        <w:rPr>
          <w:rFonts w:cstheme="minorHAnsi"/>
          <w:sz w:val="28"/>
          <w:szCs w:val="28"/>
        </w:rPr>
        <w:tab/>
        <w:t>Key protection</w:t>
      </w:r>
    </w:p>
    <w:p w:rsidR="002A7AE8" w:rsidRPr="002A7AE8" w:rsidRDefault="002A7AE8" w:rsidP="002A7AE8">
      <w:pPr>
        <w:rPr>
          <w:rFonts w:cstheme="minorHAnsi"/>
          <w:sz w:val="28"/>
          <w:szCs w:val="28"/>
        </w:rPr>
      </w:pPr>
      <w:r w:rsidRPr="002A7AE8">
        <w:rPr>
          <w:rFonts w:cstheme="minorHAnsi"/>
          <w:sz w:val="28"/>
          <w:szCs w:val="28"/>
        </w:rPr>
        <w:t>Art. 9</w:t>
      </w:r>
      <w:r w:rsidRPr="002A7AE8">
        <w:rPr>
          <w:rFonts w:cstheme="minorHAnsi"/>
          <w:sz w:val="28"/>
          <w:szCs w:val="28"/>
        </w:rPr>
        <w:tab/>
        <w:t>Berne Convention obligations</w:t>
      </w:r>
      <w:r w:rsidRPr="002A7AE8">
        <w:rPr>
          <w:rFonts w:cstheme="minorHAnsi"/>
          <w:sz w:val="28"/>
          <w:szCs w:val="28"/>
        </w:rPr>
        <w:tab/>
        <w:t>Automatic copyright; incorporates Berne</w:t>
      </w:r>
    </w:p>
    <w:p w:rsidR="002A7AE8" w:rsidRPr="002A7AE8" w:rsidRDefault="002A7AE8" w:rsidP="002A7AE8">
      <w:pPr>
        <w:rPr>
          <w:rFonts w:cstheme="minorHAnsi"/>
          <w:sz w:val="28"/>
          <w:szCs w:val="28"/>
        </w:rPr>
      </w:pPr>
      <w:r w:rsidRPr="002A7AE8">
        <w:rPr>
          <w:rFonts w:cstheme="minorHAnsi"/>
          <w:sz w:val="28"/>
          <w:szCs w:val="28"/>
        </w:rPr>
        <w:tab/>
      </w:r>
      <w:r w:rsidRPr="002A7AE8">
        <w:rPr>
          <w:rFonts w:cstheme="minorHAnsi"/>
          <w:sz w:val="28"/>
          <w:szCs w:val="28"/>
        </w:rPr>
        <w:tab/>
        <w:t>Articles 1–21</w:t>
      </w:r>
    </w:p>
    <w:p w:rsidR="002A7AE8" w:rsidRPr="002A7AE8" w:rsidRDefault="002A7AE8" w:rsidP="002A7AE8">
      <w:pPr>
        <w:rPr>
          <w:rFonts w:cstheme="minorHAnsi"/>
          <w:sz w:val="28"/>
          <w:szCs w:val="28"/>
        </w:rPr>
      </w:pPr>
      <w:r w:rsidRPr="002A7AE8">
        <w:rPr>
          <w:rFonts w:cstheme="minorHAnsi"/>
          <w:sz w:val="28"/>
          <w:szCs w:val="28"/>
        </w:rPr>
        <w:t>Art. 10</w:t>
      </w:r>
      <w:r w:rsidRPr="002A7AE8">
        <w:rPr>
          <w:rFonts w:cstheme="minorHAnsi"/>
          <w:sz w:val="28"/>
          <w:szCs w:val="28"/>
        </w:rPr>
        <w:tab/>
        <w:t>Computer programs and databases</w:t>
      </w:r>
      <w:r w:rsidRPr="002A7AE8">
        <w:rPr>
          <w:rFonts w:cstheme="minorHAnsi"/>
          <w:sz w:val="28"/>
          <w:szCs w:val="28"/>
        </w:rPr>
        <w:tab/>
        <w:t>Protected as literary works; databases protected if original selection/arrangement</w:t>
      </w:r>
    </w:p>
    <w:p w:rsidR="002A7AE8" w:rsidRPr="002A7AE8" w:rsidRDefault="002A7AE8" w:rsidP="002A7AE8">
      <w:pPr>
        <w:rPr>
          <w:rFonts w:cstheme="minorHAnsi"/>
          <w:sz w:val="28"/>
          <w:szCs w:val="28"/>
        </w:rPr>
      </w:pPr>
      <w:r w:rsidRPr="002A7AE8">
        <w:rPr>
          <w:rFonts w:cstheme="minorHAnsi"/>
          <w:sz w:val="28"/>
          <w:szCs w:val="28"/>
        </w:rPr>
        <w:t>Art. 11</w:t>
      </w:r>
      <w:r w:rsidRPr="002A7AE8">
        <w:rPr>
          <w:rFonts w:cstheme="minorHAnsi"/>
          <w:sz w:val="28"/>
          <w:szCs w:val="28"/>
        </w:rPr>
        <w:tab/>
        <w:t>Rental rights</w:t>
      </w:r>
      <w:r w:rsidRPr="002A7AE8">
        <w:rPr>
          <w:rFonts w:cstheme="minorHAnsi"/>
          <w:sz w:val="28"/>
          <w:szCs w:val="28"/>
        </w:rPr>
        <w:tab/>
        <w:t>Authors may authorize/prohibit commercial rental of software and films</w:t>
      </w:r>
    </w:p>
    <w:p w:rsidR="002A7AE8" w:rsidRPr="002A7AE8" w:rsidRDefault="002A7AE8" w:rsidP="002A7AE8">
      <w:pPr>
        <w:rPr>
          <w:rFonts w:cstheme="minorHAnsi"/>
          <w:sz w:val="28"/>
          <w:szCs w:val="28"/>
        </w:rPr>
      </w:pPr>
      <w:r w:rsidRPr="002A7AE8">
        <w:rPr>
          <w:rFonts w:cstheme="minorHAnsi"/>
          <w:sz w:val="28"/>
          <w:szCs w:val="28"/>
        </w:rPr>
        <w:lastRenderedPageBreak/>
        <w:t>Art. 12</w:t>
      </w:r>
      <w:r w:rsidRPr="002A7AE8">
        <w:rPr>
          <w:rFonts w:cstheme="minorHAnsi"/>
          <w:sz w:val="28"/>
          <w:szCs w:val="28"/>
        </w:rPr>
        <w:tab/>
        <w:t>Duration of protection</w:t>
      </w:r>
      <w:r w:rsidRPr="002A7AE8">
        <w:rPr>
          <w:rFonts w:cstheme="minorHAnsi"/>
          <w:sz w:val="28"/>
          <w:szCs w:val="28"/>
        </w:rPr>
        <w:tab/>
        <w:t>Minimum 50 years for non-life-based terms</w:t>
      </w:r>
    </w:p>
    <w:p w:rsidR="002A7AE8" w:rsidRPr="002A7AE8" w:rsidRDefault="002A7AE8" w:rsidP="002A7AE8">
      <w:pPr>
        <w:rPr>
          <w:rFonts w:cstheme="minorHAnsi"/>
          <w:sz w:val="28"/>
          <w:szCs w:val="28"/>
        </w:rPr>
      </w:pPr>
      <w:r w:rsidRPr="002A7AE8">
        <w:rPr>
          <w:rFonts w:cstheme="minorHAnsi"/>
          <w:sz w:val="28"/>
          <w:szCs w:val="28"/>
        </w:rPr>
        <w:t>Art. 13</w:t>
      </w:r>
      <w:r w:rsidRPr="002A7AE8">
        <w:rPr>
          <w:rFonts w:cstheme="minorHAnsi"/>
          <w:sz w:val="28"/>
          <w:szCs w:val="28"/>
        </w:rPr>
        <w:tab/>
        <w:t>Limitations and exceptions</w:t>
      </w:r>
      <w:r w:rsidRPr="002A7AE8">
        <w:rPr>
          <w:rFonts w:cstheme="minorHAnsi"/>
          <w:sz w:val="28"/>
          <w:szCs w:val="28"/>
        </w:rPr>
        <w:tab/>
        <w:t>Three-step test governs all exceptions</w:t>
      </w:r>
    </w:p>
    <w:p w:rsidR="002A7AE8" w:rsidRPr="002A7AE8" w:rsidRDefault="002A7AE8" w:rsidP="002A7AE8">
      <w:pPr>
        <w:rPr>
          <w:rFonts w:cstheme="minorHAnsi"/>
          <w:sz w:val="28"/>
          <w:szCs w:val="28"/>
        </w:rPr>
      </w:pPr>
      <w:r w:rsidRPr="002A7AE8">
        <w:rPr>
          <w:rFonts w:cstheme="minorHAnsi"/>
          <w:sz w:val="28"/>
          <w:szCs w:val="28"/>
        </w:rPr>
        <w:t>Art. 14</w:t>
      </w:r>
      <w:r w:rsidRPr="002A7AE8">
        <w:rPr>
          <w:rFonts w:cstheme="minorHAnsi"/>
          <w:sz w:val="28"/>
          <w:szCs w:val="28"/>
        </w:rPr>
        <w:tab/>
        <w:t>Neighboring rights</w:t>
      </w:r>
      <w:r w:rsidRPr="002A7AE8">
        <w:rPr>
          <w:rFonts w:cstheme="minorHAnsi"/>
          <w:sz w:val="28"/>
          <w:szCs w:val="28"/>
        </w:rPr>
        <w:tab/>
        <w:t>Performers, phonogram producers, broadcasters</w:t>
      </w:r>
    </w:p>
    <w:p w:rsidR="002A7AE8" w:rsidRPr="002A7AE8" w:rsidRDefault="002A7AE8" w:rsidP="002A7AE8">
      <w:pPr>
        <w:rPr>
          <w:rFonts w:cstheme="minorHAnsi"/>
          <w:sz w:val="28"/>
          <w:szCs w:val="28"/>
        </w:rPr>
      </w:pPr>
      <w:r w:rsidRPr="002A7AE8">
        <w:rPr>
          <w:rFonts w:cstheme="minorHAnsi"/>
          <w:sz w:val="28"/>
          <w:szCs w:val="28"/>
        </w:rPr>
        <w:t>— min. 50/20 years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Relevant Case Laws on Copyright &amp; Neighbouring Rights under the TRIPS Agreement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United States – Section 110(5) of the US Copyright Act Citation: WT/DS160/R (15 June 2000)</w:t>
      </w:r>
    </w:p>
    <w:p w:rsidR="002A7AE8" w:rsidRPr="002A7AE8" w:rsidRDefault="002A7AE8" w:rsidP="002A7AE8">
      <w:pPr>
        <w:rPr>
          <w:rFonts w:cstheme="minorHAnsi"/>
          <w:sz w:val="28"/>
          <w:szCs w:val="28"/>
        </w:rPr>
      </w:pPr>
      <w:r w:rsidRPr="002A7AE8">
        <w:rPr>
          <w:rFonts w:cstheme="minorHAnsi"/>
          <w:sz w:val="28"/>
          <w:szCs w:val="28"/>
        </w:rPr>
        <w:t>Parties: European Communities v. United States 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dispute concerned Section 110(5) of the United States Copyright Act, which permitted certain restaurants, bars, and commercial establishments to play radio and television music without obtaining permission from copyright holders or paying royalties.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European Communities argued that this exemption affected the rights of authors, composers, and copyright owners.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was claimed that the provision violated the obligations relating to copyright protection under the TRIPS Agreement, especially Article 13.</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the copyright exceptions provided under US law were inconsistent with the TRIPS Agreement.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the exemption violated the exclusive rights of copyright owners.</w:t>
      </w:r>
    </w:p>
    <w:p w:rsidR="002A7AE8" w:rsidRPr="002A7AE8" w:rsidRDefault="002A7AE8" w:rsidP="002A7AE8">
      <w:pPr>
        <w:rPr>
          <w:rFonts w:cstheme="minorHAnsi"/>
          <w:sz w:val="28"/>
          <w:szCs w:val="28"/>
        </w:rPr>
      </w:pPr>
      <w:r w:rsidRPr="002A7AE8">
        <w:rPr>
          <w:rFonts w:cstheme="minorHAnsi"/>
          <w:sz w:val="28"/>
          <w:szCs w:val="28"/>
        </w:rPr>
        <w:lastRenderedPageBreak/>
        <w:t>3.</w:t>
      </w:r>
      <w:r w:rsidRPr="002A7AE8">
        <w:rPr>
          <w:rFonts w:cstheme="minorHAnsi"/>
          <w:sz w:val="28"/>
          <w:szCs w:val="28"/>
        </w:rPr>
        <w:tab/>
        <w:t>Whether the exception satisfied the “three-step test” under Article 13 of TRIPS.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WTO Panel held that certain parts of Section 110(5) were inconsistent with TRIPS obligations.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Panel observed that limitations on copyright must satisfy the three-step test:</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Exceptions must be limited to special cases.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They must not conflict with normal exploitation of the work.</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They must not unreasonably prejudice the legitimate interests of copyright holders.</w:t>
      </w:r>
    </w:p>
    <w:p w:rsidR="002A7AE8" w:rsidRPr="002A7AE8" w:rsidRDefault="002A7AE8" w:rsidP="002A7AE8">
      <w:pPr>
        <w:rPr>
          <w:rFonts w:cstheme="minorHAnsi"/>
          <w:sz w:val="28"/>
          <w:szCs w:val="28"/>
        </w:rPr>
      </w:pPr>
      <w:r w:rsidRPr="002A7AE8">
        <w:rPr>
          <w:rFonts w:cstheme="minorHAnsi"/>
          <w:sz w:val="28"/>
          <w:szCs w:val="28"/>
        </w:rPr>
        <w:t>Principle Laid Down:</w:t>
      </w:r>
    </w:p>
    <w:p w:rsidR="002A7AE8" w:rsidRPr="002A7AE8" w:rsidRDefault="002A7AE8" w:rsidP="002A7AE8">
      <w:pPr>
        <w:rPr>
          <w:rFonts w:cstheme="minorHAnsi"/>
          <w:sz w:val="28"/>
          <w:szCs w:val="28"/>
        </w:rPr>
      </w:pPr>
      <w:r w:rsidRPr="002A7AE8">
        <w:rPr>
          <w:rFonts w:cstheme="minorHAnsi"/>
          <w:sz w:val="28"/>
          <w:szCs w:val="28"/>
        </w:rPr>
        <w:t>Copyright exceptions must be narrowly interpreted and must comply with the TRIPS three-step test.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China – Measures Affecting the Protection and Enforcement of Intellectual Property Rights</w:t>
      </w:r>
    </w:p>
    <w:p w:rsidR="002A7AE8" w:rsidRPr="002A7AE8" w:rsidRDefault="002A7AE8" w:rsidP="002A7AE8">
      <w:pPr>
        <w:rPr>
          <w:rFonts w:cstheme="minorHAnsi"/>
          <w:sz w:val="28"/>
          <w:szCs w:val="28"/>
        </w:rPr>
      </w:pPr>
      <w:r w:rsidRPr="002A7AE8">
        <w:rPr>
          <w:rFonts w:cstheme="minorHAnsi"/>
          <w:sz w:val="28"/>
          <w:szCs w:val="28"/>
        </w:rPr>
        <w:t>Citation: WT/DS362/R (2009) Parties: United States v. China 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United States challenged several aspects of China's intellectual property enforcement system.</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dispute involved copyright protection, disposal of infringing goods, and denial of copyright protection to certain works.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US argued that China failed to provide effective enforcement required by the TRIPS Agreement.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China failed to provide adequate copyright protection under TRIPS.</w:t>
      </w:r>
    </w:p>
    <w:p w:rsidR="002A7AE8" w:rsidRPr="002A7AE8" w:rsidRDefault="002A7AE8" w:rsidP="002A7AE8">
      <w:pPr>
        <w:rPr>
          <w:rFonts w:cstheme="minorHAnsi"/>
          <w:sz w:val="28"/>
          <w:szCs w:val="28"/>
        </w:rPr>
      </w:pPr>
      <w:r w:rsidRPr="002A7AE8">
        <w:rPr>
          <w:rFonts w:cstheme="minorHAnsi"/>
          <w:sz w:val="28"/>
          <w:szCs w:val="28"/>
        </w:rPr>
        <w:lastRenderedPageBreak/>
        <w:t>2.</w:t>
      </w:r>
      <w:r w:rsidRPr="002A7AE8">
        <w:rPr>
          <w:rFonts w:cstheme="minorHAnsi"/>
          <w:sz w:val="28"/>
          <w:szCs w:val="28"/>
        </w:rPr>
        <w:tab/>
        <w:t>Whether denial of protection to certain works violated international copyright obligations.</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Whether China’s enforcement procedures complied with TRIPS requirements.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WTO Panel held that China’s denial of copyright protection to certain works was inconsistent with TRIPS obligations.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WTO members must protect copyright works even when there are restrictions on publication or distribution.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However, some enforcement claims of the United States were rejected. Principle Laid Down: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TRIPS requires member countries to provide effective copyright protection and enforcement mechanisms.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India – Patent Protection for Pharmaceutical and Agricultural Chemical Products Citation: WT/DS50/R (1997)</w:t>
      </w:r>
    </w:p>
    <w:p w:rsidR="002A7AE8" w:rsidRPr="002A7AE8" w:rsidRDefault="002A7AE8" w:rsidP="002A7AE8">
      <w:pPr>
        <w:rPr>
          <w:rFonts w:cstheme="minorHAnsi"/>
          <w:sz w:val="28"/>
          <w:szCs w:val="28"/>
        </w:rPr>
      </w:pPr>
      <w:r w:rsidRPr="002A7AE8">
        <w:rPr>
          <w:rFonts w:cstheme="minorHAnsi"/>
          <w:sz w:val="28"/>
          <w:szCs w:val="28"/>
        </w:rPr>
        <w:t>(Though primarily related to patents, it explains TRIPS interpretation principles applicable to all IP rights including copyright.)</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United States challenged India's implementation of TRIPS obligations.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dispute involved whether domestic laws complied with minimum international IP standards.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How TRIPS obligations should be interpreted by member countries.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national laws must conform to minimum TRIPS standards.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WTO held that member countries must implement their domestic IP laws consistently with TRIPS obligations.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International obligations cannot be avoided through conflicting national provisions. Principle Laid Down:</w:t>
      </w:r>
    </w:p>
    <w:p w:rsidR="002A7AE8" w:rsidRPr="002A7AE8" w:rsidRDefault="002A7AE8" w:rsidP="002A7AE8">
      <w:pPr>
        <w:rPr>
          <w:rFonts w:cstheme="minorHAnsi"/>
          <w:sz w:val="28"/>
          <w:szCs w:val="28"/>
        </w:rPr>
      </w:pPr>
      <w:r w:rsidRPr="002A7AE8">
        <w:rPr>
          <w:rFonts w:cstheme="minorHAnsi"/>
          <w:sz w:val="28"/>
          <w:szCs w:val="28"/>
        </w:rPr>
        <w:t>TRIPS establishes binding minimum standards for intellectual property protection.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Entertainment Network (India) Ltd. v. Super Cassette Industries Ltd. Citation: (2008) 13 SCC 30</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Entertainment Network (Radio Mirchi) sought a compulsory licence to broadcast songs owned by Super Cassette Industries.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dispute concerned broadcasting rights and copyright protection in musical works.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case involved balancing copyright owners’ interests with public access.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compulsory licensing of copyrighted works could be permitted.</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How the rights of copyright owners should be balanced with public interest.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recognized that copyright owners have exclusive rights over their works.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However, copyright law must maintain a balance between private monopoly and public interest.</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Compulsory licensing provisions must be interpreted carefully.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Principle Laid Down:</w:t>
      </w:r>
    </w:p>
    <w:p w:rsidR="002A7AE8" w:rsidRPr="002A7AE8" w:rsidRDefault="002A7AE8" w:rsidP="002A7AE8">
      <w:pPr>
        <w:rPr>
          <w:rFonts w:cstheme="minorHAnsi"/>
          <w:sz w:val="28"/>
          <w:szCs w:val="28"/>
        </w:rPr>
      </w:pPr>
      <w:r w:rsidRPr="002A7AE8">
        <w:rPr>
          <w:rFonts w:cstheme="minorHAnsi"/>
          <w:sz w:val="28"/>
          <w:szCs w:val="28"/>
        </w:rPr>
        <w:t>Copyright protection should balance creators' rights and public accessibility, consistent with TRIPS principles.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Eastern Book Company v. D.B. Modak Citation: (2008) 1 SCC 1</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Eastern Book Company published edited versions of Supreme Court judgments.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defendants copied portions of these reports.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dispute concerned originality required for copyright protection.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What level of originality is required for copyright protection?</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editorial additions to judgments could receive copyright protection.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rejected the “sweat of the brow” test.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adopted the standard of “modicum of creativity.”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Mere labour is insufficient; some creativity is necessary. Principle Laid Down:</w:t>
      </w:r>
    </w:p>
    <w:p w:rsidR="002A7AE8" w:rsidRPr="002A7AE8" w:rsidRDefault="002A7AE8" w:rsidP="002A7AE8">
      <w:pPr>
        <w:rPr>
          <w:rFonts w:cstheme="minorHAnsi"/>
          <w:sz w:val="28"/>
          <w:szCs w:val="28"/>
        </w:rPr>
      </w:pPr>
      <w:r w:rsidRPr="002A7AE8">
        <w:rPr>
          <w:rFonts w:cstheme="minorHAnsi"/>
          <w:sz w:val="28"/>
          <w:szCs w:val="28"/>
        </w:rPr>
        <w:t>Copyright protects original creative expression and not mere effort, consistent with international copyright standards.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R.G. Anand v. Deluxe Films Citation: (1978) 4 SCC 118 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plaintiff wrote a play titled “Hum Hindustani.”</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He alleged that the defendant’s film copied his play.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Defendant denied copyright infringement.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copying of ideas amounts to copyright infringement.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What test should be applied to determine substantial copying.</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held that copyright protects expression, not ideas.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Similarity of general themes does not amount to infringement.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Infringement occurs when substantial expression is copied. Principle Laid Down:</w:t>
      </w:r>
    </w:p>
    <w:p w:rsidR="002A7AE8" w:rsidRPr="002A7AE8" w:rsidRDefault="002A7AE8" w:rsidP="002A7AE8">
      <w:pPr>
        <w:rPr>
          <w:rFonts w:cstheme="minorHAnsi"/>
          <w:sz w:val="28"/>
          <w:szCs w:val="28"/>
        </w:rPr>
      </w:pPr>
      <w:r w:rsidRPr="002A7AE8">
        <w:rPr>
          <w:rFonts w:cstheme="minorHAnsi"/>
          <w:sz w:val="28"/>
          <w:szCs w:val="28"/>
        </w:rPr>
        <w:t>Idea-expression distinction is fundamental to copyright protection.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Summary Table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Case</w:t>
      </w:r>
      <w:r w:rsidRPr="002A7AE8">
        <w:rPr>
          <w:rFonts w:cstheme="minorHAnsi"/>
          <w:sz w:val="28"/>
          <w:szCs w:val="28"/>
        </w:rPr>
        <w:tab/>
        <w:t>Citation</w:t>
      </w:r>
      <w:r w:rsidRPr="002A7AE8">
        <w:rPr>
          <w:rFonts w:cstheme="minorHAnsi"/>
          <w:sz w:val="28"/>
          <w:szCs w:val="28"/>
        </w:rPr>
        <w:tab/>
        <w:t>Principle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US – Section 110(5) Copyright Act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WT/DS160/R (2000)</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TRIPS three-step test for exceptions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China – IP Enforcement</w:t>
      </w:r>
      <w:r w:rsidRPr="002A7AE8">
        <w:rPr>
          <w:rFonts w:cstheme="minorHAnsi"/>
          <w:sz w:val="28"/>
          <w:szCs w:val="28"/>
        </w:rPr>
        <w:tab/>
        <w:t>WT/DS362/R (2009)</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Effective copyright protection required</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Entertainment Network v. Super Cassette</w:t>
      </w:r>
    </w:p>
    <w:p w:rsidR="002A7AE8" w:rsidRPr="002A7AE8" w:rsidRDefault="002A7AE8" w:rsidP="002A7AE8">
      <w:pPr>
        <w:rPr>
          <w:rFonts w:cstheme="minorHAnsi"/>
          <w:sz w:val="28"/>
          <w:szCs w:val="28"/>
        </w:rPr>
      </w:pPr>
      <w:r w:rsidRPr="002A7AE8">
        <w:rPr>
          <w:rFonts w:cstheme="minorHAnsi"/>
          <w:sz w:val="28"/>
          <w:szCs w:val="28"/>
        </w:rPr>
        <w:t>Eastern Book Company v. D.B. Modak</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(2008) 13 SCC 30</w:t>
      </w:r>
      <w:r w:rsidRPr="002A7AE8">
        <w:rPr>
          <w:rFonts w:cstheme="minorHAnsi"/>
          <w:sz w:val="28"/>
          <w:szCs w:val="28"/>
        </w:rPr>
        <w:tab/>
        <w:t>Balance between copyright and public interest</w:t>
      </w:r>
    </w:p>
    <w:p w:rsidR="002A7AE8" w:rsidRPr="002A7AE8" w:rsidRDefault="002A7AE8" w:rsidP="002A7AE8">
      <w:pPr>
        <w:rPr>
          <w:rFonts w:cstheme="minorHAnsi"/>
          <w:sz w:val="28"/>
          <w:szCs w:val="28"/>
        </w:rPr>
      </w:pPr>
      <w:r w:rsidRPr="002A7AE8">
        <w:rPr>
          <w:rFonts w:cstheme="minorHAnsi"/>
          <w:sz w:val="28"/>
          <w:szCs w:val="28"/>
        </w:rPr>
        <w:t>(2008) 1 SCC 1</w:t>
      </w:r>
      <w:r w:rsidRPr="002A7AE8">
        <w:rPr>
          <w:rFonts w:cstheme="minorHAnsi"/>
          <w:sz w:val="28"/>
          <w:szCs w:val="28"/>
        </w:rPr>
        <w:tab/>
        <w:t>Originality requirement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R.G. Anand v. Deluxe Films</w:t>
      </w:r>
      <w:r w:rsidRPr="002A7AE8">
        <w:rPr>
          <w:rFonts w:cstheme="minorHAnsi"/>
          <w:sz w:val="28"/>
          <w:szCs w:val="28"/>
        </w:rPr>
        <w:tab/>
        <w:t>(1978) 4 SCC 118</w:t>
      </w:r>
      <w:r w:rsidRPr="002A7AE8">
        <w:rPr>
          <w:rFonts w:cstheme="minorHAnsi"/>
          <w:sz w:val="28"/>
          <w:szCs w:val="28"/>
        </w:rPr>
        <w:tab/>
        <w:t>Copyright protects expression, not</w:t>
      </w:r>
    </w:p>
    <w:p w:rsidR="002A7AE8" w:rsidRPr="002A7AE8" w:rsidRDefault="002A7AE8" w:rsidP="002A7AE8">
      <w:pPr>
        <w:rPr>
          <w:rFonts w:cstheme="minorHAnsi"/>
          <w:sz w:val="28"/>
          <w:szCs w:val="28"/>
        </w:rPr>
      </w:pPr>
      <w:r w:rsidRPr="002A7AE8">
        <w:rPr>
          <w:rFonts w:cstheme="minorHAnsi"/>
          <w:sz w:val="28"/>
          <w:szCs w:val="28"/>
        </w:rPr>
        <w:t>ideas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These cases explain the major principles underlying Copyright and Neighbouring Rights under TRIPS, including protection of authors, performers, broadcasting rights, originality, limitations, exceptions, and enforcement obligations.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TRIPS Articles 9 to 14 form the binding international copyright framework for all WTO members. They incorporate the Berne Convention's substantive standards, extend protection to computer programmes and databases, introduce rental rights, set minimum duration standards, confine exceptions to the three-step test, and establish minimum protection for performers, phonogram producers, and broadcasting organisations. India, as a founding WTO member, has aligned its Copyright Act with these obligations while providing higher standards of protection in several areas.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2</w:t>
      </w:r>
    </w:p>
    <w:p w:rsidR="002A7AE8" w:rsidRPr="002A7AE8" w:rsidRDefault="002A7AE8" w:rsidP="002A7AE8">
      <w:pPr>
        <w:rPr>
          <w:rFonts w:cstheme="minorHAnsi"/>
          <w:sz w:val="28"/>
          <w:szCs w:val="28"/>
        </w:rPr>
      </w:pPr>
      <w:r w:rsidRPr="002A7AE8">
        <w:rPr>
          <w:rFonts w:cstheme="minorHAnsi"/>
          <w:sz w:val="28"/>
          <w:szCs w:val="28"/>
        </w:rPr>
        <w:t>Chapter 4: Copyright – definition and subject matter</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lastRenderedPageBreak/>
        <w:t>Copyright is the branch of Intellectual Property Rights that grants creators exclusive legal protection over original expressions of the human mind. It covers literary, artistic, musical, dramatic, and other creative works, giving creators the authority to control reproduction, publication, distribution, performance, communication, translation, and adaptation of their work. The dual purpose of copyright is to reward creators by securing economic benefits for them and to protect their personal connection to the work through moral rights.</w:t>
      </w:r>
    </w:p>
    <w:p w:rsidR="002A7AE8" w:rsidRPr="002A7AE8" w:rsidRDefault="002A7AE8" w:rsidP="002A7AE8">
      <w:pPr>
        <w:rPr>
          <w:rFonts w:cstheme="minorHAnsi"/>
          <w:sz w:val="28"/>
          <w:szCs w:val="28"/>
        </w:rPr>
      </w:pPr>
      <w:r w:rsidRPr="002A7AE8">
        <w:rPr>
          <w:rFonts w:cstheme="minorHAnsi"/>
          <w:sz w:val="28"/>
          <w:szCs w:val="28"/>
        </w:rPr>
        <w:t>In India, copyright is governed by the Copyright Act, 1957. Internationally, protection flows through the Berne Convention and the TRIPS Agreement.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Definition of copyright</w:t>
      </w:r>
    </w:p>
    <w:p w:rsidR="002A7AE8" w:rsidRPr="002A7AE8" w:rsidRDefault="002A7AE8" w:rsidP="002A7AE8">
      <w:pPr>
        <w:rPr>
          <w:rFonts w:cstheme="minorHAnsi"/>
          <w:sz w:val="28"/>
          <w:szCs w:val="28"/>
        </w:rPr>
      </w:pPr>
      <w:r w:rsidRPr="002A7AE8">
        <w:rPr>
          <w:rFonts w:cstheme="minorHAnsi"/>
          <w:sz w:val="28"/>
          <w:szCs w:val="28"/>
        </w:rPr>
        <w:t>Copyright can be defined as the exclusive legal right granted to the creator or owner of an original work to reproduce, publish, distribute, perform, communicate, translate, adapt, and authorise others to use that work. The owner may control how the work is used and prevent unauthorized exploitation.</w:t>
      </w:r>
    </w:p>
    <w:p w:rsidR="002A7AE8" w:rsidRPr="002A7AE8" w:rsidRDefault="002A7AE8" w:rsidP="002A7AE8">
      <w:pPr>
        <w:rPr>
          <w:rFonts w:cstheme="minorHAnsi"/>
          <w:sz w:val="28"/>
          <w:szCs w:val="28"/>
        </w:rPr>
      </w:pPr>
      <w:r w:rsidRPr="002A7AE8">
        <w:rPr>
          <w:rFonts w:cstheme="minorHAnsi"/>
          <w:sz w:val="28"/>
          <w:szCs w:val="28"/>
        </w:rPr>
        <w:t>Bare act – Section 14, Copyright Act, 1957</w:t>
      </w:r>
    </w:p>
    <w:p w:rsidR="002A7AE8" w:rsidRPr="002A7AE8" w:rsidRDefault="002A7AE8" w:rsidP="002A7AE8">
      <w:pPr>
        <w:rPr>
          <w:rFonts w:cstheme="minorHAnsi"/>
          <w:sz w:val="28"/>
          <w:szCs w:val="28"/>
        </w:rPr>
      </w:pPr>
      <w:r w:rsidRPr="002A7AE8">
        <w:rPr>
          <w:rFonts w:cstheme="minorHAnsi"/>
          <w:sz w:val="28"/>
          <w:szCs w:val="28"/>
        </w:rPr>
        <w:t>"Copyright" means the exclusive right subject to the provisions of this Act, to do or authorise the doing of any of the following acts in respect of a work or any substantial part thereof — (a) in the case of a literary, dramatic or musical work: to reproduce the work in any material form including storing in any medium by electronic means; to issue copies to the public; to perform or communicate it to the public; to make any cinematograph film or sound recording; to make any translation or adaptation; (b) in case of a computer programme: the above acts plus the right to sell or give on commercial rental any copy; (c) in the case of an artistic work: to reproduce the work in any material form including storing in any medium; (d) in the case of a cinematograph film: to make a copy, sell, give on commercial rental, or communicate it to the public; (e) in the case of a sound recording: to make any other sound recording embodying it, sell or give on commercial rental, or communicate it to the public.</w:t>
      </w:r>
    </w:p>
    <w:p w:rsidR="002A7AE8" w:rsidRPr="002A7AE8" w:rsidRDefault="002A7AE8" w:rsidP="002A7AE8">
      <w:pPr>
        <w:rPr>
          <w:rFonts w:cstheme="minorHAnsi"/>
          <w:sz w:val="28"/>
          <w:szCs w:val="28"/>
        </w:rPr>
      </w:pPr>
      <w:r w:rsidRPr="002A7AE8">
        <w:rPr>
          <w:rFonts w:cstheme="minorHAnsi"/>
          <w:sz w:val="28"/>
          <w:szCs w:val="28"/>
        </w:rPr>
        <w:t xml:space="preserve">Section 14 is the operative definition of copyright in Indian law. It enumerates specific rights rather than providing a generic definition, ensuring clarity about what is and is not protected. "Exclusive" means only the owner may exercise these rights or authorise others to do so. "Any substantial part" means </w:t>
      </w:r>
      <w:r w:rsidRPr="002A7AE8">
        <w:rPr>
          <w:rFonts w:cstheme="minorHAnsi"/>
          <w:sz w:val="28"/>
          <w:szCs w:val="28"/>
        </w:rPr>
        <w:lastRenderedPageBreak/>
        <w:t>infringement need not involve copying the entire work. The section recognises five categories of works, each with a distinct basket of rights tailored to the nature of that category.</w:t>
      </w:r>
    </w:p>
    <w:p w:rsidR="002A7AE8" w:rsidRPr="002A7AE8" w:rsidRDefault="002A7AE8" w:rsidP="002A7AE8">
      <w:pPr>
        <w:rPr>
          <w:rFonts w:cstheme="minorHAnsi"/>
          <w:sz w:val="28"/>
          <w:szCs w:val="28"/>
        </w:rPr>
      </w:pPr>
      <w:r w:rsidRPr="002A7AE8">
        <w:rPr>
          <w:rFonts w:cstheme="minorHAnsi"/>
          <w:sz w:val="28"/>
          <w:szCs w:val="28"/>
        </w:rPr>
        <w:t>Essential elements for copyright protection</w:t>
      </w:r>
    </w:p>
    <w:p w:rsidR="002A7AE8" w:rsidRPr="002A7AE8" w:rsidRDefault="002A7AE8" w:rsidP="002A7AE8">
      <w:pPr>
        <w:rPr>
          <w:rFonts w:cstheme="minorHAnsi"/>
          <w:sz w:val="28"/>
          <w:szCs w:val="28"/>
        </w:rPr>
      </w:pPr>
      <w:r w:rsidRPr="002A7AE8">
        <w:rPr>
          <w:rFonts w:cstheme="minorHAnsi"/>
          <w:sz w:val="28"/>
          <w:szCs w:val="28"/>
        </w:rPr>
        <w:t>For copyright to subsist in a work, four conditions must be met. First, the work must be original — it must originate from the creator and involve some degree of skill, labour, and judgment, though it need not be entirely novel. Second, copyright protects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expression of an idea and not the idea itself. Third, the work must generally be fixed in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some tangible or identifiable form — a written manuscript, a recorded performance, or a digital file. Fourth, the work must involve intellectual effort or creative input; purely mechanical or automated outputs without human creativity may not qualify.</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Subject matter of copyright — Section 13 Bare act – Section 13, Copyright Act, 1957</w:t>
      </w:r>
    </w:p>
    <w:p w:rsidR="002A7AE8" w:rsidRPr="002A7AE8" w:rsidRDefault="002A7AE8" w:rsidP="002A7AE8">
      <w:pPr>
        <w:rPr>
          <w:rFonts w:cstheme="minorHAnsi"/>
          <w:sz w:val="28"/>
          <w:szCs w:val="28"/>
        </w:rPr>
      </w:pPr>
      <w:r w:rsidRPr="002A7AE8">
        <w:rPr>
          <w:rFonts w:cstheme="minorHAnsi"/>
          <w:sz w:val="28"/>
          <w:szCs w:val="28"/>
        </w:rPr>
        <w:t>Subject to the provisions of this section and the other provisions of this Act, copyright shall subsist throughout India in the following classes of works: (a) original literary, dramatic, musical and artistic works; (b) cinematograph films; and (c) sound recordings. Copyright shall not subsist unless — in the case of a published work, the work is first published in India, or the author is at the date of publication a citizen of India; in the case of an unpublished work other than a work of architecture, the author is at the date of making the work a citizen of India or domiciled in India; in the case of a work of architecture, the work is located in India.</w:t>
      </w:r>
    </w:p>
    <w:p w:rsidR="002A7AE8" w:rsidRPr="002A7AE8" w:rsidRDefault="002A7AE8" w:rsidP="002A7AE8">
      <w:pPr>
        <w:rPr>
          <w:rFonts w:cstheme="minorHAnsi"/>
          <w:sz w:val="28"/>
          <w:szCs w:val="28"/>
        </w:rPr>
      </w:pPr>
      <w:r w:rsidRPr="002A7AE8">
        <w:rPr>
          <w:rFonts w:cstheme="minorHAnsi"/>
          <w:sz w:val="28"/>
          <w:szCs w:val="28"/>
        </w:rPr>
        <w:t>Section 13 defines what works are eligible for copyright protection. The word "original" is central — it excludes works that are merely copied. Copyright does not subsist in a cinematograph film if a substantial part of the film infringes another work, nor in a sound recording made in contravention of copyright. For works of architecture, copyright extends only to artistic character and design, not to construction methods or processes.</w:t>
      </w:r>
    </w:p>
    <w:p w:rsidR="002A7AE8" w:rsidRPr="002A7AE8" w:rsidRDefault="002A7AE8" w:rsidP="002A7AE8">
      <w:pPr>
        <w:rPr>
          <w:rFonts w:cstheme="minorHAnsi"/>
          <w:sz w:val="28"/>
          <w:szCs w:val="28"/>
        </w:rPr>
      </w:pPr>
      <w:r w:rsidRPr="002A7AE8">
        <w:rPr>
          <w:rFonts w:cstheme="minorHAnsi"/>
          <w:sz w:val="28"/>
          <w:szCs w:val="28"/>
        </w:rPr>
        <w:lastRenderedPageBreak/>
        <w:t>A.</w:t>
      </w:r>
      <w:r w:rsidRPr="002A7AE8">
        <w:rPr>
          <w:rFonts w:cstheme="minorHAnsi"/>
          <w:sz w:val="28"/>
          <w:szCs w:val="28"/>
        </w:rPr>
        <w:tab/>
        <w:t>Literary works</w:t>
      </w:r>
    </w:p>
    <w:p w:rsidR="002A7AE8" w:rsidRPr="002A7AE8" w:rsidRDefault="002A7AE8" w:rsidP="002A7AE8">
      <w:pPr>
        <w:rPr>
          <w:rFonts w:cstheme="minorHAnsi"/>
          <w:sz w:val="28"/>
          <w:szCs w:val="28"/>
        </w:rPr>
      </w:pPr>
      <w:r w:rsidRPr="002A7AE8">
        <w:rPr>
          <w:rFonts w:cstheme="minorHAnsi"/>
          <w:sz w:val="28"/>
          <w:szCs w:val="28"/>
        </w:rPr>
        <w:t>Literary works are the broadest category of copyright subject matter. They include books, novels, short stories, poems, articles, newspapers, journals, research papers, reports, manuals, computer programmes, software codes, and databases. Literary merit is not required — the sole criterion is originality. Computer programmes are expressly protected as literary works, whether in source code or object code form.</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Dramatic works</w:t>
      </w:r>
    </w:p>
    <w:p w:rsidR="002A7AE8" w:rsidRPr="002A7AE8" w:rsidRDefault="002A7AE8" w:rsidP="002A7AE8">
      <w:pPr>
        <w:rPr>
          <w:rFonts w:cstheme="minorHAnsi"/>
          <w:sz w:val="28"/>
          <w:szCs w:val="28"/>
        </w:rPr>
      </w:pPr>
      <w:r w:rsidRPr="002A7AE8">
        <w:rPr>
          <w:rFonts w:cstheme="minorHAnsi"/>
          <w:sz w:val="28"/>
          <w:szCs w:val="28"/>
        </w:rPr>
        <w:t>A dramatic work is a work intended for performance before an audience. The category includes scripts, plays, dance choreography, screenplays, and stage arrangements.</w:t>
      </w:r>
    </w:p>
    <w:p w:rsidR="002A7AE8" w:rsidRPr="002A7AE8" w:rsidRDefault="002A7AE8" w:rsidP="002A7AE8">
      <w:pPr>
        <w:rPr>
          <w:rFonts w:cstheme="minorHAnsi"/>
          <w:sz w:val="28"/>
          <w:szCs w:val="28"/>
        </w:rPr>
      </w:pPr>
      <w:r w:rsidRPr="002A7AE8">
        <w:rPr>
          <w:rFonts w:cstheme="minorHAnsi"/>
          <w:sz w:val="28"/>
          <w:szCs w:val="28"/>
        </w:rPr>
        <w:t>Copyright protects the written or fixed structure of the dramatic work. Cinematograph films are expressly excluded from the definition of dramatic works under Section 2(h) and are protected separately.</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Musical works</w:t>
      </w:r>
    </w:p>
    <w:p w:rsidR="002A7AE8" w:rsidRPr="002A7AE8" w:rsidRDefault="002A7AE8" w:rsidP="002A7AE8">
      <w:pPr>
        <w:rPr>
          <w:rFonts w:cstheme="minorHAnsi"/>
          <w:sz w:val="28"/>
          <w:szCs w:val="28"/>
        </w:rPr>
      </w:pPr>
      <w:r w:rsidRPr="002A7AE8">
        <w:rPr>
          <w:rFonts w:cstheme="minorHAnsi"/>
          <w:sz w:val="28"/>
          <w:szCs w:val="28"/>
        </w:rPr>
        <w:t>A musical work means a work consisting of music, including graphical notation, but does not include words or actions intended to be sung or performed with the music. Musical compositions, instrumental music, and background scores are protected. Lyrics carry separate literary copyright; sound recordings of the music carry a further separate copyright.</w:t>
      </w: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Artistic works</w:t>
      </w:r>
    </w:p>
    <w:p w:rsidR="002A7AE8" w:rsidRPr="002A7AE8" w:rsidRDefault="002A7AE8" w:rsidP="002A7AE8">
      <w:pPr>
        <w:rPr>
          <w:rFonts w:cstheme="minorHAnsi"/>
          <w:sz w:val="28"/>
          <w:szCs w:val="28"/>
        </w:rPr>
      </w:pPr>
      <w:r w:rsidRPr="002A7AE8">
        <w:rPr>
          <w:rFonts w:cstheme="minorHAnsi"/>
          <w:sz w:val="28"/>
          <w:szCs w:val="28"/>
        </w:rPr>
        <w:t>Artistic works under Section 2(c) include paintings, sculptures, drawings (including diagrams, maps, charts, and plans), engravings, photographs, works of architecture, and works of artistic craftsmanship. Artistic quality is not a requirement; a basic technical</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diagram qualifies equally with a masterpiece painting. Works of architecture are protected in their artistic character and design only.</w:t>
      </w:r>
    </w:p>
    <w:p w:rsidR="002A7AE8" w:rsidRPr="002A7AE8" w:rsidRDefault="002A7AE8" w:rsidP="002A7AE8">
      <w:pPr>
        <w:rPr>
          <w:rFonts w:cstheme="minorHAnsi"/>
          <w:sz w:val="28"/>
          <w:szCs w:val="28"/>
        </w:rPr>
      </w:pPr>
      <w:r w:rsidRPr="002A7AE8">
        <w:rPr>
          <w:rFonts w:cstheme="minorHAnsi"/>
          <w:sz w:val="28"/>
          <w:szCs w:val="28"/>
        </w:rPr>
        <w:t>E.</w:t>
      </w:r>
      <w:r w:rsidRPr="002A7AE8">
        <w:rPr>
          <w:rFonts w:cstheme="minorHAnsi"/>
          <w:sz w:val="28"/>
          <w:szCs w:val="28"/>
        </w:rPr>
        <w:tab/>
        <w:t>Cinematograph films</w:t>
      </w:r>
    </w:p>
    <w:p w:rsidR="002A7AE8" w:rsidRPr="002A7AE8" w:rsidRDefault="002A7AE8" w:rsidP="002A7AE8">
      <w:pPr>
        <w:rPr>
          <w:rFonts w:cstheme="minorHAnsi"/>
          <w:sz w:val="28"/>
          <w:szCs w:val="28"/>
        </w:rPr>
      </w:pPr>
      <w:r w:rsidRPr="002A7AE8">
        <w:rPr>
          <w:rFonts w:cstheme="minorHAnsi"/>
          <w:sz w:val="28"/>
          <w:szCs w:val="28"/>
        </w:rPr>
        <w:t xml:space="preserve">A cinematograph film is any work of visual recording, including video films produced by any process analogous to cinematography. The category includes mainstream films, documentaries, and television content. Copyright in a </w:t>
      </w:r>
      <w:r w:rsidRPr="002A7AE8">
        <w:rPr>
          <w:rFonts w:cstheme="minorHAnsi"/>
          <w:sz w:val="28"/>
          <w:szCs w:val="28"/>
        </w:rPr>
        <w:lastRenderedPageBreak/>
        <w:t>cinematograph film runs for sixty years from the beginning of the calendar year following publication.</w:t>
      </w:r>
    </w:p>
    <w:p w:rsidR="002A7AE8" w:rsidRPr="002A7AE8" w:rsidRDefault="002A7AE8" w:rsidP="002A7AE8">
      <w:pPr>
        <w:rPr>
          <w:rFonts w:cstheme="minorHAnsi"/>
          <w:sz w:val="28"/>
          <w:szCs w:val="28"/>
        </w:rPr>
      </w:pPr>
      <w:r w:rsidRPr="002A7AE8">
        <w:rPr>
          <w:rFonts w:cstheme="minorHAnsi"/>
          <w:sz w:val="28"/>
          <w:szCs w:val="28"/>
        </w:rPr>
        <w:t>F.</w:t>
      </w:r>
      <w:r w:rsidRPr="002A7AE8">
        <w:rPr>
          <w:rFonts w:cstheme="minorHAnsi"/>
          <w:sz w:val="28"/>
          <w:szCs w:val="28"/>
        </w:rPr>
        <w:tab/>
        <w:t>Sound recordings</w:t>
      </w:r>
    </w:p>
    <w:p w:rsidR="002A7AE8" w:rsidRPr="002A7AE8" w:rsidRDefault="002A7AE8" w:rsidP="002A7AE8">
      <w:pPr>
        <w:rPr>
          <w:rFonts w:cstheme="minorHAnsi"/>
          <w:sz w:val="28"/>
          <w:szCs w:val="28"/>
        </w:rPr>
      </w:pPr>
      <w:r w:rsidRPr="002A7AE8">
        <w:rPr>
          <w:rFonts w:cstheme="minorHAnsi"/>
          <w:sz w:val="28"/>
          <w:szCs w:val="28"/>
        </w:rPr>
        <w:t>A sound recording under Section 2(xx) is a recording of sounds from which those sounds may be produced, regardless of the medium or method. Music albums, recorded songs, audiobooks, and podcasts all qualify. The producer — the person who takes initiative and responsibility for making the recording — is the author of the sound recording.</w:t>
      </w:r>
    </w:p>
    <w:p w:rsidR="002A7AE8" w:rsidRPr="002A7AE8" w:rsidRDefault="002A7AE8" w:rsidP="002A7AE8">
      <w:pPr>
        <w:rPr>
          <w:rFonts w:cstheme="minorHAnsi"/>
          <w:sz w:val="28"/>
          <w:szCs w:val="28"/>
        </w:rPr>
      </w:pPr>
      <w:r w:rsidRPr="002A7AE8">
        <w:rPr>
          <w:rFonts w:cstheme="minorHAnsi"/>
          <w:sz w:val="28"/>
          <w:szCs w:val="28"/>
        </w:rPr>
        <w:t>Protection runs for sixty years from the beginning of the calendar year following publication.</w:t>
      </w: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Conclusion</w:t>
      </w:r>
    </w:p>
    <w:p w:rsidR="002A7AE8" w:rsidRPr="002A7AE8" w:rsidRDefault="002A7AE8" w:rsidP="002A7AE8">
      <w:pPr>
        <w:rPr>
          <w:rFonts w:cstheme="minorHAnsi"/>
          <w:sz w:val="28"/>
          <w:szCs w:val="28"/>
        </w:rPr>
      </w:pPr>
      <w:r w:rsidRPr="002A7AE8">
        <w:rPr>
          <w:rFonts w:cstheme="minorHAnsi"/>
          <w:sz w:val="28"/>
          <w:szCs w:val="28"/>
        </w:rPr>
        <w:t>The definition and subject matter of copyright together form the architecture of the Copyright Act, 1957. Section 14 provides the operative definition of copyright as a bundle of exclusive rights tailored to different categories of works. Section 13 determines which works qualify for protection and the conditions that must be met. Together, these provisions ensure that copyright protects the entire range of human creative expression — from a poem to a film to a computer programme — while maintaining clear boundaries that prevent monopolisation of ideas, facts, and methods.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2</w:t>
      </w:r>
    </w:p>
    <w:p w:rsidR="002A7AE8" w:rsidRPr="002A7AE8" w:rsidRDefault="002A7AE8" w:rsidP="002A7AE8">
      <w:pPr>
        <w:rPr>
          <w:rFonts w:cstheme="minorHAnsi"/>
          <w:sz w:val="28"/>
          <w:szCs w:val="28"/>
        </w:rPr>
      </w:pPr>
      <w:r w:rsidRPr="002A7AE8">
        <w:rPr>
          <w:rFonts w:cstheme="minorHAnsi"/>
          <w:sz w:val="28"/>
          <w:szCs w:val="28"/>
        </w:rPr>
        <w:t>Chapter 5: Author and ownership of copyright</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For copyright law to function effectively, it is essential to identify who the author of a work is and who holds the copyright. Although the author and owner are frequently the same person, they can be different — particularly in employment contexts, commissioned works, and film production. The author is the person who brings the work into being through creative effort; the owner is the person who holds the exclusive legal rights and may commercially exploit them. In India, these questions are addressed primarily by Sections 2(d), 17, 18, and 19 of the Copyright Act, 1957.</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Meaning and definition of 'author'</w:t>
      </w:r>
    </w:p>
    <w:p w:rsidR="002A7AE8" w:rsidRPr="002A7AE8" w:rsidRDefault="002A7AE8" w:rsidP="002A7AE8">
      <w:pPr>
        <w:rPr>
          <w:rFonts w:cstheme="minorHAnsi"/>
          <w:sz w:val="28"/>
          <w:szCs w:val="28"/>
        </w:rPr>
      </w:pPr>
      <w:r w:rsidRPr="002A7AE8">
        <w:rPr>
          <w:rFonts w:cstheme="minorHAnsi"/>
          <w:sz w:val="28"/>
          <w:szCs w:val="28"/>
        </w:rPr>
        <w:lastRenderedPageBreak/>
        <w:t>An author is the person who creates a copyrightable work through skill, judgment, and intellectual effort. The mere conception of an idea does not make one an author — the idea must be expressed in tangible form.</w:t>
      </w:r>
    </w:p>
    <w:p w:rsidR="002A7AE8" w:rsidRPr="002A7AE8" w:rsidRDefault="002A7AE8" w:rsidP="002A7AE8">
      <w:pPr>
        <w:rPr>
          <w:rFonts w:cstheme="minorHAnsi"/>
          <w:sz w:val="28"/>
          <w:szCs w:val="28"/>
        </w:rPr>
      </w:pPr>
      <w:r w:rsidRPr="002A7AE8">
        <w:rPr>
          <w:rFonts w:cstheme="minorHAnsi"/>
          <w:sz w:val="28"/>
          <w:szCs w:val="28"/>
        </w:rPr>
        <w:t>Bare act – Section 2(d), Copyright Act, 1957</w:t>
      </w:r>
    </w:p>
    <w:p w:rsidR="002A7AE8" w:rsidRPr="002A7AE8" w:rsidRDefault="002A7AE8" w:rsidP="002A7AE8">
      <w:pPr>
        <w:rPr>
          <w:rFonts w:cstheme="minorHAnsi"/>
          <w:sz w:val="28"/>
          <w:szCs w:val="28"/>
        </w:rPr>
      </w:pPr>
      <w:r w:rsidRPr="002A7AE8">
        <w:rPr>
          <w:rFonts w:cstheme="minorHAnsi"/>
          <w:sz w:val="28"/>
          <w:szCs w:val="28"/>
        </w:rPr>
        <w:t>"Author" means — (i) in relation to a literary or dramatic work, the author of the work;</w:t>
      </w:r>
    </w:p>
    <w:p w:rsidR="002A7AE8" w:rsidRPr="002A7AE8" w:rsidRDefault="002A7AE8" w:rsidP="002A7AE8">
      <w:pPr>
        <w:rPr>
          <w:rFonts w:cstheme="minorHAnsi"/>
          <w:sz w:val="28"/>
          <w:szCs w:val="28"/>
        </w:rPr>
      </w:pPr>
      <w:r w:rsidRPr="002A7AE8">
        <w:rPr>
          <w:rFonts w:cstheme="minorHAnsi"/>
          <w:sz w:val="28"/>
          <w:szCs w:val="28"/>
        </w:rPr>
        <w:t>(ii) in relation to a musical work, the composer; (iii) in relation to an artistic work other than a photograph, the artist; (iv) in relation to a photograph, the person taking the photograph; (v) in relation to a cinematograph film or sound recording, the producer; and (vi) in relation to any literary, dramatic, musical or artistic work which is computer-generated, the person who causes the work to be created.</w:t>
      </w:r>
    </w:p>
    <w:p w:rsidR="002A7AE8" w:rsidRPr="002A7AE8" w:rsidRDefault="002A7AE8" w:rsidP="002A7AE8">
      <w:pPr>
        <w:rPr>
          <w:rFonts w:cstheme="minorHAnsi"/>
          <w:sz w:val="28"/>
          <w:szCs w:val="28"/>
        </w:rPr>
      </w:pPr>
      <w:r w:rsidRPr="002A7AE8">
        <w:rPr>
          <w:rFonts w:cstheme="minorHAnsi"/>
          <w:sz w:val="28"/>
          <w:szCs w:val="28"/>
        </w:rPr>
        <w:t>Section 2(d) provides a category-specific definition of "author" rather than a single universal definition. This reflects the practical reality that different types of works involve different types of creative contribution. For films and sound recordings, the producer is the author — recognising that the coordinating, organizational, and financial role of the producer is the primary creative act in those categories. For computer-generated works, the person who causes the work to be created (typically through programming or directing the algorithm) is the author.</w:t>
      </w:r>
    </w:p>
    <w:p w:rsidR="002A7AE8" w:rsidRPr="002A7AE8" w:rsidRDefault="002A7AE8" w:rsidP="002A7AE8">
      <w:pPr>
        <w:rPr>
          <w:rFonts w:cstheme="minorHAnsi"/>
          <w:sz w:val="28"/>
          <w:szCs w:val="28"/>
        </w:rPr>
      </w:pPr>
      <w:r w:rsidRPr="002A7AE8">
        <w:rPr>
          <w:rFonts w:cstheme="minorHAnsi"/>
          <w:sz w:val="28"/>
          <w:szCs w:val="28"/>
        </w:rPr>
        <w:t>Rights of an author</w:t>
      </w:r>
    </w:p>
    <w:p w:rsidR="002A7AE8" w:rsidRPr="002A7AE8" w:rsidRDefault="002A7AE8" w:rsidP="002A7AE8">
      <w:pPr>
        <w:rPr>
          <w:rFonts w:cstheme="minorHAnsi"/>
          <w:sz w:val="28"/>
          <w:szCs w:val="28"/>
        </w:rPr>
      </w:pPr>
      <w:r w:rsidRPr="002A7AE8">
        <w:rPr>
          <w:rFonts w:cstheme="minorHAnsi"/>
          <w:sz w:val="28"/>
          <w:szCs w:val="28"/>
        </w:rPr>
        <w:t>Authors enjoy two major categories of rights. Economic rights allow commercial benefit through reproduction, publication, distribution, communication to the public, adaptation, and translation. Moral rights, recognised under Section 57, protect the personal relationship between author and work — specifically the right of attribution (to be identified as author) and the right of integrity (to object to distortions or modifications that damage reputation). Moral rights persist even after economic rights have been assigned.</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First ownership of copyright — Section 17 Bare act – Section 17, Copyright Act, 1957</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Subject to the provisions of this Act, the author of a work shall be the first owner of the copyright therein: Provided that — (a) in the case of a literary, </w:t>
      </w:r>
      <w:r w:rsidRPr="002A7AE8">
        <w:rPr>
          <w:rFonts w:cstheme="minorHAnsi"/>
          <w:sz w:val="28"/>
          <w:szCs w:val="28"/>
        </w:rPr>
        <w:lastRenderedPageBreak/>
        <w:t>dramatic or artistic work made by the author in the course of employment by the proprietor of a newspaper, magazine or similar periodical under a contract of service or apprenticeship, for the purpose of publication therein, the proprietor shall, in the absence of any agreement to the contrary, be the first owner of the copyright in so far as the copyright relates to publication in such periodical; (b) in the case of a photograph taken, or a painting, portrait, or engraving made, or a cinematograph film made, for valuable consideration at the instance of any person, such person shall, in the absence of any agreement to the contrary, be the first owner of the copyright; (c) in the case of a work made in the course of employment under a contract of service or apprenticeship, to which clauses (a) or (b) do not apply, the employer shall, in the absence of any agreement to the contrary, be the first owner; (d) in the case of a Government work, the Government shall be the first owner; (dd) in the case of a work made by or under the direction of a public undertaking, such undertaking shall be the first owner; (e) in the case of a work of an international organisation to which Section 41 applies, that organisation shall be the first owner.</w:t>
      </w:r>
    </w:p>
    <w:p w:rsidR="002A7AE8" w:rsidRPr="002A7AE8" w:rsidRDefault="002A7AE8" w:rsidP="002A7AE8">
      <w:pPr>
        <w:rPr>
          <w:rFonts w:cstheme="minorHAnsi"/>
          <w:sz w:val="28"/>
          <w:szCs w:val="28"/>
        </w:rPr>
      </w:pPr>
      <w:r w:rsidRPr="002A7AE8">
        <w:rPr>
          <w:rFonts w:cstheme="minorHAnsi"/>
          <w:sz w:val="28"/>
          <w:szCs w:val="28"/>
        </w:rPr>
        <w:t>Section 17 establishes the general rule that the author is the first copyright owner, subject to four principal exceptions. The employment exception (clauses (a) and (c)) reflects the principle that where work is created as part of an employment relationship, the employer — who bears the cost and risk — should own the resulting copyright, unless parties agree otherwise. The commission exception (clause (b)) protects the person who finances and requests a work. The Government and public undertaking exceptions recognise that publicly funded or directed works should vest in public bodies.</w:t>
      </w:r>
    </w:p>
    <w:p w:rsidR="002A7AE8" w:rsidRPr="002A7AE8" w:rsidRDefault="002A7AE8" w:rsidP="002A7AE8">
      <w:pPr>
        <w:rPr>
          <w:rFonts w:cstheme="minorHAnsi"/>
          <w:sz w:val="28"/>
          <w:szCs w:val="28"/>
        </w:rPr>
      </w:pPr>
      <w:r w:rsidRPr="002A7AE8">
        <w:rPr>
          <w:rFonts w:cstheme="minorHAnsi"/>
          <w:sz w:val="28"/>
          <w:szCs w:val="28"/>
        </w:rPr>
        <w:t>Comparative table: Author vs. owner of copyright</w:t>
      </w:r>
    </w:p>
    <w:p w:rsidR="002A7AE8" w:rsidRPr="002A7AE8" w:rsidRDefault="002A7AE8" w:rsidP="002A7AE8">
      <w:pPr>
        <w:rPr>
          <w:rFonts w:cstheme="minorHAnsi"/>
          <w:sz w:val="28"/>
          <w:szCs w:val="28"/>
        </w:rPr>
      </w:pPr>
      <w:r w:rsidRPr="002A7AE8">
        <w:rPr>
          <w:rFonts w:cstheme="minorHAnsi"/>
          <w:sz w:val="28"/>
          <w:szCs w:val="28"/>
        </w:rPr>
        <w:t>Basis</w:t>
      </w:r>
      <w:r w:rsidRPr="002A7AE8">
        <w:rPr>
          <w:rFonts w:cstheme="minorHAnsi"/>
          <w:sz w:val="28"/>
          <w:szCs w:val="28"/>
        </w:rPr>
        <w:tab/>
        <w:t>Author</w:t>
      </w:r>
      <w:r w:rsidRPr="002A7AE8">
        <w:rPr>
          <w:rFonts w:cstheme="minorHAnsi"/>
          <w:sz w:val="28"/>
          <w:szCs w:val="28"/>
        </w:rPr>
        <w:tab/>
        <w:t>Owner</w:t>
      </w:r>
    </w:p>
    <w:p w:rsidR="002A7AE8" w:rsidRPr="002A7AE8" w:rsidRDefault="002A7AE8" w:rsidP="002A7AE8">
      <w:pPr>
        <w:rPr>
          <w:rFonts w:cstheme="minorHAnsi"/>
          <w:sz w:val="28"/>
          <w:szCs w:val="28"/>
        </w:rPr>
      </w:pPr>
      <w:r w:rsidRPr="002A7AE8">
        <w:rPr>
          <w:rFonts w:cstheme="minorHAnsi"/>
          <w:sz w:val="28"/>
          <w:szCs w:val="28"/>
        </w:rPr>
        <w:t>Definition</w:t>
      </w:r>
      <w:r w:rsidRPr="002A7AE8">
        <w:rPr>
          <w:rFonts w:cstheme="minorHAnsi"/>
          <w:sz w:val="28"/>
          <w:szCs w:val="28"/>
        </w:rPr>
        <w:tab/>
        <w:t>Creator of the work</w:t>
      </w:r>
      <w:r w:rsidRPr="002A7AE8">
        <w:rPr>
          <w:rFonts w:cstheme="minorHAnsi"/>
          <w:sz w:val="28"/>
          <w:szCs w:val="28"/>
        </w:rPr>
        <w:tab/>
        <w:t>Holder of legal copyright rights</w:t>
      </w:r>
    </w:p>
    <w:p w:rsidR="002A7AE8" w:rsidRPr="002A7AE8" w:rsidRDefault="002A7AE8" w:rsidP="002A7AE8">
      <w:pPr>
        <w:rPr>
          <w:rFonts w:cstheme="minorHAnsi"/>
          <w:sz w:val="28"/>
          <w:szCs w:val="28"/>
        </w:rPr>
      </w:pPr>
      <w:r w:rsidRPr="002A7AE8">
        <w:rPr>
          <w:rFonts w:cstheme="minorHAnsi"/>
          <w:sz w:val="28"/>
          <w:szCs w:val="28"/>
        </w:rPr>
        <w:t>Connection</w:t>
      </w:r>
      <w:r w:rsidRPr="002A7AE8">
        <w:rPr>
          <w:rFonts w:cstheme="minorHAnsi"/>
          <w:sz w:val="28"/>
          <w:szCs w:val="28"/>
        </w:rPr>
        <w:tab/>
        <w:t>Connected with the act of creation</w:t>
      </w:r>
      <w:r w:rsidRPr="002A7AE8">
        <w:rPr>
          <w:rFonts w:cstheme="minorHAnsi"/>
          <w:sz w:val="28"/>
          <w:szCs w:val="28"/>
        </w:rPr>
        <w:tab/>
        <w:t>Connected with exploitation of rights</w:t>
      </w:r>
    </w:p>
    <w:p w:rsidR="002A7AE8" w:rsidRPr="002A7AE8" w:rsidRDefault="002A7AE8" w:rsidP="002A7AE8">
      <w:pPr>
        <w:rPr>
          <w:rFonts w:cstheme="minorHAnsi"/>
          <w:sz w:val="28"/>
          <w:szCs w:val="28"/>
        </w:rPr>
      </w:pPr>
      <w:r w:rsidRPr="002A7AE8">
        <w:rPr>
          <w:rFonts w:cstheme="minorHAnsi"/>
          <w:sz w:val="28"/>
          <w:szCs w:val="28"/>
        </w:rPr>
        <w:t>Who can be</w:t>
      </w:r>
      <w:r w:rsidRPr="002A7AE8">
        <w:rPr>
          <w:rFonts w:cstheme="minorHAnsi"/>
          <w:sz w:val="28"/>
          <w:szCs w:val="28"/>
        </w:rPr>
        <w:tab/>
        <w:t>Generally a natural person</w:t>
      </w:r>
      <w:r w:rsidRPr="002A7AE8">
        <w:rPr>
          <w:rFonts w:cstheme="minorHAnsi"/>
          <w:sz w:val="28"/>
          <w:szCs w:val="28"/>
        </w:rPr>
        <w:tab/>
        <w:t>Can be an individual, company, or institution</w:t>
      </w:r>
    </w:p>
    <w:p w:rsidR="002A7AE8" w:rsidRPr="002A7AE8" w:rsidRDefault="002A7AE8" w:rsidP="002A7AE8">
      <w:pPr>
        <w:rPr>
          <w:rFonts w:cstheme="minorHAnsi"/>
          <w:sz w:val="28"/>
          <w:szCs w:val="28"/>
        </w:rPr>
      </w:pPr>
      <w:r w:rsidRPr="002A7AE8">
        <w:rPr>
          <w:rFonts w:cstheme="minorHAnsi"/>
          <w:sz w:val="28"/>
          <w:szCs w:val="28"/>
        </w:rPr>
        <w:t>Rights held</w:t>
      </w:r>
      <w:r w:rsidRPr="002A7AE8">
        <w:rPr>
          <w:rFonts w:cstheme="minorHAnsi"/>
          <w:sz w:val="28"/>
          <w:szCs w:val="28"/>
        </w:rPr>
        <w:tab/>
        <w:t>Moral rights (non-transferable)</w:t>
      </w:r>
      <w:r w:rsidRPr="002A7AE8">
        <w:rPr>
          <w:rFonts w:cstheme="minorHAnsi"/>
          <w:sz w:val="28"/>
          <w:szCs w:val="28"/>
        </w:rPr>
        <w:tab/>
        <w:t>Economic rights (can be transferred)</w:t>
      </w:r>
    </w:p>
    <w:p w:rsidR="002A7AE8" w:rsidRPr="002A7AE8" w:rsidRDefault="002A7AE8" w:rsidP="002A7AE8">
      <w:pPr>
        <w:rPr>
          <w:rFonts w:cstheme="minorHAnsi"/>
          <w:sz w:val="28"/>
          <w:szCs w:val="28"/>
        </w:rPr>
      </w:pPr>
      <w:r w:rsidRPr="002A7AE8">
        <w:rPr>
          <w:rFonts w:cstheme="minorHAnsi"/>
          <w:sz w:val="28"/>
          <w:szCs w:val="28"/>
        </w:rPr>
        <w:lastRenderedPageBreak/>
        <w:t>Transfer</w:t>
      </w:r>
      <w:r w:rsidRPr="002A7AE8">
        <w:rPr>
          <w:rFonts w:cstheme="minorHAnsi"/>
          <w:sz w:val="28"/>
          <w:szCs w:val="28"/>
        </w:rPr>
        <w:tab/>
        <w:t>Authorship cannot be transferred</w:t>
      </w:r>
      <w:r w:rsidRPr="002A7AE8">
        <w:rPr>
          <w:rFonts w:cstheme="minorHAnsi"/>
          <w:sz w:val="28"/>
          <w:szCs w:val="28"/>
        </w:rPr>
        <w:tab/>
        <w:t>Ownership can be assigned or licensed</w:t>
      </w:r>
    </w:p>
    <w:p w:rsidR="002A7AE8" w:rsidRPr="002A7AE8" w:rsidRDefault="002A7AE8" w:rsidP="002A7AE8">
      <w:pPr>
        <w:rPr>
          <w:rFonts w:cstheme="minorHAnsi"/>
          <w:sz w:val="28"/>
          <w:szCs w:val="28"/>
        </w:rPr>
      </w:pPr>
      <w:r w:rsidRPr="002A7AE8">
        <w:rPr>
          <w:rFonts w:cstheme="minorHAnsi"/>
          <w:sz w:val="28"/>
          <w:szCs w:val="28"/>
        </w:rPr>
        <w:t>Example</w:t>
      </w:r>
      <w:r w:rsidRPr="002A7AE8">
        <w:rPr>
          <w:rFonts w:cstheme="minorHAnsi"/>
          <w:sz w:val="28"/>
          <w:szCs w:val="28"/>
        </w:rPr>
        <w:tab/>
        <w:t>Programmer who writes the code</w:t>
      </w:r>
      <w:r w:rsidRPr="002A7AE8">
        <w:rPr>
          <w:rFonts w:cstheme="minorHAnsi"/>
          <w:sz w:val="28"/>
          <w:szCs w:val="28"/>
        </w:rPr>
        <w:tab/>
        <w:t>Company that employs the programmer</w:t>
      </w: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Assignment of copyright — Section 18</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Bare act – Section 18(1), Copyright Act, 1957</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owner of the copyright in an existing work or the prospective owner of the copyright in a future work may assign to any person the copyright either wholly or partially and either generally or subject to limitations and either for the whole term of the copyright or any part thereof: Provided that in the case of the assignment of copyright in any future work, the assignment shall take effect only when the work comes into existence.</w:t>
      </w:r>
    </w:p>
    <w:p w:rsidR="002A7AE8" w:rsidRPr="002A7AE8" w:rsidRDefault="002A7AE8" w:rsidP="002A7AE8">
      <w:pPr>
        <w:rPr>
          <w:rFonts w:cstheme="minorHAnsi"/>
          <w:sz w:val="28"/>
          <w:szCs w:val="28"/>
        </w:rPr>
      </w:pPr>
      <w:r w:rsidRPr="002A7AE8">
        <w:rPr>
          <w:rFonts w:cstheme="minorHAnsi"/>
          <w:sz w:val="28"/>
          <w:szCs w:val="28"/>
        </w:rPr>
        <w:t>Section 18 provides the right to assign copyright. Assignment can be total (all rights transferred) or partial (only specified rights transferred). It can be limited by territory, duration, or type of use. Assignment of a future work — one not yet created — is also permissible, but takes effect only upon the work coming into existence. The 2012 Amendment added important protections for authors of literary and musical works included in films and sound recordings, preventing them from waiving their right to receive royalties except in favour of legal heirs or copyright societies.</w:t>
      </w: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Mode of assignment — Section 19</w:t>
      </w:r>
    </w:p>
    <w:p w:rsidR="002A7AE8" w:rsidRPr="002A7AE8" w:rsidRDefault="002A7AE8" w:rsidP="002A7AE8">
      <w:pPr>
        <w:rPr>
          <w:rFonts w:cstheme="minorHAnsi"/>
          <w:sz w:val="28"/>
          <w:szCs w:val="28"/>
        </w:rPr>
      </w:pPr>
      <w:r w:rsidRPr="002A7AE8">
        <w:rPr>
          <w:rFonts w:cstheme="minorHAnsi"/>
          <w:sz w:val="28"/>
          <w:szCs w:val="28"/>
        </w:rPr>
        <w:t>Bare act – Section 19(1), Copyright Act, 1957</w:t>
      </w:r>
    </w:p>
    <w:p w:rsidR="002A7AE8" w:rsidRPr="002A7AE8" w:rsidRDefault="002A7AE8" w:rsidP="002A7AE8">
      <w:pPr>
        <w:rPr>
          <w:rFonts w:cstheme="minorHAnsi"/>
          <w:sz w:val="28"/>
          <w:szCs w:val="28"/>
        </w:rPr>
      </w:pPr>
      <w:r w:rsidRPr="002A7AE8">
        <w:rPr>
          <w:rFonts w:cstheme="minorHAnsi"/>
          <w:sz w:val="28"/>
          <w:szCs w:val="28"/>
        </w:rPr>
        <w:t>No assignment of the copyright in any work shall be valid unless it is in writing signed by the assignor or by his duly authorised agent.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 xml:space="preserve">Section 19 prescribes the formal requirements for a valid copyright assignment. The assignment must be in writing — oral agreements are invalid. It must be signed by the assignor (or their authorised agent). The document must identify the work, specify the rights being assigned, state the duration and territorial extent of the assignment, and specify the royalty or </w:t>
      </w:r>
      <w:r w:rsidRPr="002A7AE8">
        <w:rPr>
          <w:rFonts w:cstheme="minorHAnsi"/>
          <w:sz w:val="28"/>
          <w:szCs w:val="28"/>
        </w:rPr>
        <w:lastRenderedPageBreak/>
        <w:t>consideration payable. If the period is not stated, it is deemed to be five years. If territory is not stated, it is presumed to be India-wide. These requirements protect authors from inadvertently surrendering rights through informal arrangements.</w:t>
      </w: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Disputes regarding assignment — Section 19A Bare act – Section 19A, Copyright Act, 1957</w:t>
      </w:r>
    </w:p>
    <w:p w:rsidR="002A7AE8" w:rsidRPr="002A7AE8" w:rsidRDefault="002A7AE8" w:rsidP="002A7AE8">
      <w:pPr>
        <w:rPr>
          <w:rFonts w:cstheme="minorHAnsi"/>
          <w:sz w:val="28"/>
          <w:szCs w:val="28"/>
        </w:rPr>
      </w:pPr>
      <w:r w:rsidRPr="002A7AE8">
        <w:rPr>
          <w:rFonts w:cstheme="minorHAnsi"/>
          <w:sz w:val="28"/>
          <w:szCs w:val="28"/>
        </w:rPr>
        <w:t>If an assignee fails to make sufficient exercise of the rights assigned to him, and such failure is not attributable to any act or omission of the assignor, then, the Appellate Board may, on receipt of a complaint from the assignor and after holding such inquiry as it may deem necessary, revoke such assignment. If any dispute arises with respect to the assignment of any copyright, the Appellate Board may, on receipt of a complaint from the aggrieved party and after holding such inquiry as it considers necessary, pass such order as it may deem fit including an order for the recovery of any royalty payable.</w:t>
      </w:r>
    </w:p>
    <w:p w:rsidR="002A7AE8" w:rsidRPr="002A7AE8" w:rsidRDefault="002A7AE8" w:rsidP="002A7AE8">
      <w:pPr>
        <w:rPr>
          <w:rFonts w:cstheme="minorHAnsi"/>
          <w:sz w:val="28"/>
          <w:szCs w:val="28"/>
        </w:rPr>
      </w:pPr>
      <w:r w:rsidRPr="002A7AE8">
        <w:rPr>
          <w:rFonts w:cstheme="minorHAnsi"/>
          <w:sz w:val="28"/>
          <w:szCs w:val="28"/>
        </w:rPr>
        <w:t>Section 19A is a creator-protective provision. It allows an author to approach the Appellate Board if the assignee acquires copyright but fails to actually use or exploit it, leaving the work commercially dormant to the author's detriment. The Board may revoke the assignment in such cases, provided the failure is not the author's fault. This prevents copyright hoarding — acquiring rights without any intention to use them — which would deprive both the author and the public. No revocation can be made within five years of the assignment.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Relinquishment of copyright — Section 21</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Bare act – Section 21(1), Copyright Act, 1957</w:t>
      </w:r>
    </w:p>
    <w:p w:rsidR="002A7AE8" w:rsidRPr="002A7AE8" w:rsidRDefault="002A7AE8" w:rsidP="002A7AE8">
      <w:pPr>
        <w:rPr>
          <w:rFonts w:cstheme="minorHAnsi"/>
          <w:sz w:val="28"/>
          <w:szCs w:val="28"/>
        </w:rPr>
      </w:pPr>
      <w:r w:rsidRPr="002A7AE8">
        <w:rPr>
          <w:rFonts w:cstheme="minorHAnsi"/>
          <w:sz w:val="28"/>
          <w:szCs w:val="28"/>
        </w:rPr>
        <w:t>The author of a work may relinquish all or any of the rights comprised in the copyright in the work by giving notice in the prescribed form to the Registrar of Copyrights or by way of public notice and thereupon such rights shall, subject to the provisions of sub-section (3), cease to exist from the date of the notice.</w:t>
      </w:r>
    </w:p>
    <w:p w:rsidR="002A7AE8" w:rsidRPr="002A7AE8" w:rsidRDefault="002A7AE8" w:rsidP="002A7AE8">
      <w:pPr>
        <w:rPr>
          <w:rFonts w:cstheme="minorHAnsi"/>
          <w:sz w:val="28"/>
          <w:szCs w:val="28"/>
        </w:rPr>
      </w:pPr>
      <w:r w:rsidRPr="002A7AE8">
        <w:rPr>
          <w:rFonts w:cstheme="minorHAnsi"/>
          <w:sz w:val="28"/>
          <w:szCs w:val="28"/>
        </w:rPr>
        <w:t>Section 21 allows an author to voluntarily release copyright — either entirely or partially</w:t>
      </w:r>
    </w:p>
    <w:p w:rsidR="002A7AE8" w:rsidRPr="002A7AE8" w:rsidRDefault="002A7AE8" w:rsidP="002A7AE8">
      <w:pPr>
        <w:rPr>
          <w:rFonts w:cstheme="minorHAnsi"/>
          <w:sz w:val="28"/>
          <w:szCs w:val="28"/>
        </w:rPr>
      </w:pPr>
      <w:r w:rsidRPr="002A7AE8">
        <w:rPr>
          <w:rFonts w:cstheme="minorHAnsi"/>
          <w:sz w:val="28"/>
          <w:szCs w:val="28"/>
        </w:rPr>
        <w:t xml:space="preserve">— by giving notice to the Registrar of Copyrights. On the date of notice, those rights cease to exist. However, existing third-party rights subsisting on the date </w:t>
      </w:r>
      <w:r w:rsidRPr="002A7AE8">
        <w:rPr>
          <w:rFonts w:cstheme="minorHAnsi"/>
          <w:sz w:val="28"/>
          <w:szCs w:val="28"/>
        </w:rPr>
        <w:lastRenderedPageBreak/>
        <w:t>of notice are not affected. The Registrar must publish the notice in the Official Gazette and on the Copyright Office website. This provision ensures that creators who wish to place their works in the public domain may do so through a formal and transparent process.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Relevant Case Laws on Author and Ownership of Copyright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Eastern Book Company v. D.B. Modak Citation: (2008) 1 SCC 1; 2008 (36) PTC 1 (SC)</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Eastern Book Company (EBC) published law reports containing edited versions of Supreme Court judgments.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EBC added headnotes, paragraph numbers, formatting, cross-references and editorial inputs.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defendants reproduced portions of EBC’s publications in electronic databases.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EBC claimed copyright ownership over the edited material.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EBC could claim copyright ownership over edited versions of court judgments.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skill, labour and effort alone were sufficient to create copyright ownership.</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What degree of originality is required for a person to be treated as an author entitled to copyright.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held that copyright protection requires originality involving a minimum level of creativity.</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Mere labour or investment is not sufficient.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Editorial contributions involving skill and judgment may receive copyright protection.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author must contribute original expression, not merely reproduce existing material.</w:t>
      </w:r>
    </w:p>
    <w:p w:rsidR="002A7AE8" w:rsidRPr="002A7AE8" w:rsidRDefault="002A7AE8" w:rsidP="002A7AE8">
      <w:pPr>
        <w:rPr>
          <w:rFonts w:cstheme="minorHAnsi"/>
          <w:sz w:val="28"/>
          <w:szCs w:val="28"/>
        </w:rPr>
      </w:pPr>
      <w:r w:rsidRPr="002A7AE8">
        <w:rPr>
          <w:rFonts w:cstheme="minorHAnsi"/>
          <w:sz w:val="28"/>
          <w:szCs w:val="28"/>
        </w:rPr>
        <w:t>Principle: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author of a work obtains copyright only when the work contains original intellectual creation.</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R.G. Anand v. Deluxe Films Citation: (1978) 4 SCC 118 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R.G. Anand wrote a play titled “Hum Hindustani.”</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defendants produced a film alleged to be based on the same story.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plaintiff claimed ownership of copyright and alleged infringement.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copyright protects the author’s idea or only the expression of that idea.</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similarity between two works amounts to infringement of the author’s rights.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held that copyright does not protect ideas, themes or concepts.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Protection extends only to the author’s expression of ideas.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If the same idea is developed differently, there is no infringement.</w:t>
      </w:r>
    </w:p>
    <w:p w:rsidR="002A7AE8" w:rsidRPr="002A7AE8" w:rsidRDefault="002A7AE8" w:rsidP="002A7AE8">
      <w:pPr>
        <w:rPr>
          <w:rFonts w:cstheme="minorHAnsi"/>
          <w:sz w:val="28"/>
          <w:szCs w:val="28"/>
        </w:rPr>
      </w:pPr>
      <w:r w:rsidRPr="002A7AE8">
        <w:rPr>
          <w:rFonts w:cstheme="minorHAnsi"/>
          <w:sz w:val="28"/>
          <w:szCs w:val="28"/>
        </w:rPr>
        <w:t>Principle:</w:t>
      </w:r>
    </w:p>
    <w:p w:rsidR="002A7AE8" w:rsidRPr="002A7AE8" w:rsidRDefault="002A7AE8" w:rsidP="002A7AE8">
      <w:pPr>
        <w:rPr>
          <w:rFonts w:cstheme="minorHAnsi"/>
          <w:sz w:val="28"/>
          <w:szCs w:val="28"/>
        </w:rPr>
      </w:pPr>
      <w:r w:rsidRPr="002A7AE8">
        <w:rPr>
          <w:rFonts w:cstheme="minorHAnsi"/>
          <w:sz w:val="28"/>
          <w:szCs w:val="28"/>
        </w:rPr>
        <w:t>Copyright belongs to the author’s original expression and not the underlying idea.</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Indian Performing Right Society Ltd. v. Eastern Indian Motion Pictures Association Citation: (1977) 2 SCC 820</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Music composers and lyricists claimed copyright ownership over songs created for cinematograph films.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Film producers claimed ownership because the works were created under contracts for films.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Who is the owner of copyright in works created for cinematograph films?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authors retain rights after assigning works to producers.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held that although composers and lyricists are authors of their works, copyright ownership may vest in producers where works are created under a contract.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Ownership depends upon statutory provisions and contractual arrangements.</w:t>
      </w:r>
    </w:p>
    <w:p w:rsidR="002A7AE8" w:rsidRPr="002A7AE8" w:rsidRDefault="002A7AE8" w:rsidP="002A7AE8">
      <w:pPr>
        <w:rPr>
          <w:rFonts w:cstheme="minorHAnsi"/>
          <w:sz w:val="28"/>
          <w:szCs w:val="28"/>
        </w:rPr>
      </w:pPr>
      <w:r w:rsidRPr="002A7AE8">
        <w:rPr>
          <w:rFonts w:cstheme="minorHAnsi"/>
          <w:sz w:val="28"/>
          <w:szCs w:val="28"/>
        </w:rPr>
        <w:t>Principle:</w:t>
      </w:r>
    </w:p>
    <w:p w:rsidR="002A7AE8" w:rsidRPr="002A7AE8" w:rsidRDefault="002A7AE8" w:rsidP="002A7AE8">
      <w:pPr>
        <w:rPr>
          <w:rFonts w:cstheme="minorHAnsi"/>
          <w:sz w:val="28"/>
          <w:szCs w:val="28"/>
        </w:rPr>
      </w:pPr>
      <w:r w:rsidRPr="002A7AE8">
        <w:rPr>
          <w:rFonts w:cstheme="minorHAnsi"/>
          <w:sz w:val="28"/>
          <w:szCs w:val="28"/>
        </w:rPr>
        <w:t>The author and first owner may differ where the Copyright Act provides exceptions or where rights are assigned.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Civic Chandran v. Ammini Amma Citation: 1996 PTC (16) 329 (Ker) 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plaintiff authored a dramatic work.</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defendant created another work based on similar subject matter.</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Plaintiff alleged violation of his copyright as author.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the author could claim monopoly over ideas contained in the work.</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the defendant copied protected expression.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held that copyright protects the author’s expression and creative form.</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General ideas and themes cannot be owned.</w:t>
      </w:r>
    </w:p>
    <w:p w:rsidR="002A7AE8" w:rsidRPr="002A7AE8" w:rsidRDefault="002A7AE8" w:rsidP="002A7AE8">
      <w:pPr>
        <w:rPr>
          <w:rFonts w:cstheme="minorHAnsi"/>
          <w:sz w:val="28"/>
          <w:szCs w:val="28"/>
        </w:rPr>
      </w:pPr>
      <w:r w:rsidRPr="002A7AE8">
        <w:rPr>
          <w:rFonts w:cstheme="minorHAnsi"/>
          <w:sz w:val="28"/>
          <w:szCs w:val="28"/>
        </w:rPr>
        <w:t>Principle:</w:t>
      </w:r>
    </w:p>
    <w:p w:rsidR="002A7AE8" w:rsidRPr="002A7AE8" w:rsidRDefault="002A7AE8" w:rsidP="002A7AE8">
      <w:pPr>
        <w:rPr>
          <w:rFonts w:cstheme="minorHAnsi"/>
          <w:sz w:val="28"/>
          <w:szCs w:val="28"/>
        </w:rPr>
      </w:pPr>
      <w:r w:rsidRPr="002A7AE8">
        <w:rPr>
          <w:rFonts w:cstheme="minorHAnsi"/>
          <w:sz w:val="28"/>
          <w:szCs w:val="28"/>
        </w:rPr>
        <w:t>Ownership of copyright does not mean ownership over ideas; it protects only original expression.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Najma Heptulla v. Orient Longman Ltd. Citation: AIR 1989 Del 63</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dispute concerned copyright ownership in a book based on conversations and contributions involving Maulana Abul Kalam Azad.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Conflict arose regarding who should be considered the author and copyright owner.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Who qualifies as the author of a literary work?</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a person contributing ideas becomes the owner of copyright.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held that the person who gives a work its final literary form and expression may be treated as the author.</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Mere supply of information or ideas does not create authorship.</w:t>
      </w:r>
    </w:p>
    <w:p w:rsidR="002A7AE8" w:rsidRPr="002A7AE8" w:rsidRDefault="002A7AE8" w:rsidP="002A7AE8">
      <w:pPr>
        <w:rPr>
          <w:rFonts w:cstheme="minorHAnsi"/>
          <w:sz w:val="28"/>
          <w:szCs w:val="28"/>
        </w:rPr>
      </w:pPr>
      <w:r w:rsidRPr="002A7AE8">
        <w:rPr>
          <w:rFonts w:cstheme="minorHAnsi"/>
          <w:sz w:val="28"/>
          <w:szCs w:val="28"/>
        </w:rPr>
        <w:lastRenderedPageBreak/>
        <w:t>Principle:</w:t>
      </w:r>
    </w:p>
    <w:p w:rsidR="002A7AE8" w:rsidRPr="002A7AE8" w:rsidRDefault="002A7AE8" w:rsidP="002A7AE8">
      <w:pPr>
        <w:rPr>
          <w:rFonts w:cstheme="minorHAnsi"/>
          <w:sz w:val="28"/>
          <w:szCs w:val="28"/>
        </w:rPr>
      </w:pPr>
      <w:r w:rsidRPr="002A7AE8">
        <w:rPr>
          <w:rFonts w:cstheme="minorHAnsi"/>
          <w:sz w:val="28"/>
          <w:szCs w:val="28"/>
        </w:rPr>
        <w:t>Copyright ownership belongs to the creator of the protected expression, not merely the provider of ideas.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Pine Labs Pvt. Ltd. v. Gemalto Terminals India Pvt. Ltd. Citation: 2011 (48) PTC 336 (Del)</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A dispute arose regarding ownership of copyright in computer software.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software was developed during a commercial relationship.</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Parties disagreed over ownership rights.</w:t>
      </w: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the developer or commissioning party owned copyright.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How ownership of software copyright should be determined.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held that authorship and ownership depend on statutory provisions and contractual terms.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Copyright may belong to the creator unless validly transferred.</w:t>
      </w:r>
    </w:p>
    <w:p w:rsidR="002A7AE8" w:rsidRPr="002A7AE8" w:rsidRDefault="002A7AE8" w:rsidP="002A7AE8">
      <w:pPr>
        <w:rPr>
          <w:rFonts w:cstheme="minorHAnsi"/>
          <w:sz w:val="28"/>
          <w:szCs w:val="28"/>
        </w:rPr>
      </w:pPr>
      <w:r w:rsidRPr="002A7AE8">
        <w:rPr>
          <w:rFonts w:cstheme="minorHAnsi"/>
          <w:sz w:val="28"/>
          <w:szCs w:val="28"/>
        </w:rPr>
        <w:t>Principle:</w:t>
      </w:r>
    </w:p>
    <w:p w:rsidR="002A7AE8" w:rsidRPr="002A7AE8" w:rsidRDefault="002A7AE8" w:rsidP="002A7AE8">
      <w:pPr>
        <w:rPr>
          <w:rFonts w:cstheme="minorHAnsi"/>
          <w:sz w:val="28"/>
          <w:szCs w:val="28"/>
        </w:rPr>
      </w:pPr>
      <w:r w:rsidRPr="002A7AE8">
        <w:rPr>
          <w:rFonts w:cstheme="minorHAnsi"/>
          <w:sz w:val="28"/>
          <w:szCs w:val="28"/>
        </w:rPr>
        <w:t>Initial ownership may vest with the author, but copyright can be transferred through agreement.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Summary Table</w:t>
      </w:r>
    </w:p>
    <w:p w:rsidR="002A7AE8" w:rsidRPr="002A7AE8" w:rsidRDefault="002A7AE8" w:rsidP="002A7AE8">
      <w:pPr>
        <w:rPr>
          <w:rFonts w:cstheme="minorHAnsi"/>
          <w:sz w:val="28"/>
          <w:szCs w:val="28"/>
        </w:rPr>
      </w:pPr>
      <w:r w:rsidRPr="002A7AE8">
        <w:rPr>
          <w:rFonts w:cstheme="minorHAnsi"/>
          <w:sz w:val="28"/>
          <w:szCs w:val="28"/>
        </w:rPr>
        <w:t>Case</w:t>
      </w:r>
      <w:r w:rsidRPr="002A7AE8">
        <w:rPr>
          <w:rFonts w:cstheme="minorHAnsi"/>
          <w:sz w:val="28"/>
          <w:szCs w:val="28"/>
        </w:rPr>
        <w:tab/>
        <w:t>Citation</w:t>
      </w:r>
      <w:r w:rsidRPr="002A7AE8">
        <w:rPr>
          <w:rFonts w:cstheme="minorHAnsi"/>
          <w:sz w:val="28"/>
          <w:szCs w:val="28"/>
        </w:rPr>
        <w:tab/>
        <w:t>Principle</w:t>
      </w:r>
    </w:p>
    <w:p w:rsidR="002A7AE8" w:rsidRPr="002A7AE8" w:rsidRDefault="002A7AE8" w:rsidP="002A7AE8">
      <w:pPr>
        <w:rPr>
          <w:rFonts w:cstheme="minorHAnsi"/>
          <w:sz w:val="28"/>
          <w:szCs w:val="28"/>
        </w:rPr>
      </w:pPr>
      <w:r w:rsidRPr="002A7AE8">
        <w:rPr>
          <w:rFonts w:cstheme="minorHAnsi"/>
          <w:sz w:val="28"/>
          <w:szCs w:val="28"/>
        </w:rPr>
        <w:t>Eastern Book Company v. D.B. Modak</w:t>
      </w:r>
      <w:r w:rsidRPr="002A7AE8">
        <w:rPr>
          <w:rFonts w:cstheme="minorHAnsi"/>
          <w:sz w:val="28"/>
          <w:szCs w:val="28"/>
        </w:rPr>
        <w:tab/>
        <w:t>(2008) 1 SCC 1</w:t>
      </w:r>
      <w:r w:rsidRPr="002A7AE8">
        <w:rPr>
          <w:rFonts w:cstheme="minorHAnsi"/>
          <w:sz w:val="28"/>
          <w:szCs w:val="28"/>
        </w:rPr>
        <w:tab/>
        <w:t>Original creativity required for</w:t>
      </w:r>
    </w:p>
    <w:p w:rsidR="002A7AE8" w:rsidRPr="002A7AE8" w:rsidRDefault="002A7AE8" w:rsidP="002A7AE8">
      <w:pPr>
        <w:rPr>
          <w:rFonts w:cstheme="minorHAnsi"/>
          <w:sz w:val="28"/>
          <w:szCs w:val="28"/>
        </w:rPr>
      </w:pPr>
      <w:r w:rsidRPr="002A7AE8">
        <w:rPr>
          <w:rFonts w:cstheme="minorHAnsi"/>
          <w:sz w:val="28"/>
          <w:szCs w:val="28"/>
        </w:rPr>
        <w:t>authorship</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R.G. Anand v. Deluxe Films</w:t>
      </w:r>
      <w:r w:rsidRPr="002A7AE8">
        <w:rPr>
          <w:rFonts w:cstheme="minorHAnsi"/>
          <w:sz w:val="28"/>
          <w:szCs w:val="28"/>
        </w:rPr>
        <w:tab/>
        <w:t>(1978) 4 SCC 118</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Copyright protects expression, not ideas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IPRS v. Eastern Indian Motion Pictures Association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(1977) 2 SCC</w:t>
      </w:r>
    </w:p>
    <w:p w:rsidR="002A7AE8" w:rsidRPr="002A7AE8" w:rsidRDefault="002A7AE8" w:rsidP="002A7AE8">
      <w:pPr>
        <w:rPr>
          <w:rFonts w:cstheme="minorHAnsi"/>
          <w:sz w:val="28"/>
          <w:szCs w:val="28"/>
        </w:rPr>
      </w:pPr>
      <w:r w:rsidRPr="002A7AE8">
        <w:rPr>
          <w:rFonts w:cstheme="minorHAnsi"/>
          <w:sz w:val="28"/>
          <w:szCs w:val="28"/>
        </w:rPr>
        <w:t>820</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Author and owner may be different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Najma Heptulla v. Orient Longman</w:t>
      </w:r>
      <w:r w:rsidRPr="002A7AE8">
        <w:rPr>
          <w:rFonts w:cstheme="minorHAnsi"/>
          <w:sz w:val="28"/>
          <w:szCs w:val="28"/>
        </w:rPr>
        <w:tab/>
        <w:t>AIR 1989 Del</w:t>
      </w:r>
    </w:p>
    <w:p w:rsidR="002A7AE8" w:rsidRPr="002A7AE8" w:rsidRDefault="002A7AE8" w:rsidP="002A7AE8">
      <w:pPr>
        <w:rPr>
          <w:rFonts w:cstheme="minorHAnsi"/>
          <w:sz w:val="28"/>
          <w:szCs w:val="28"/>
        </w:rPr>
      </w:pPr>
      <w:r w:rsidRPr="002A7AE8">
        <w:rPr>
          <w:rFonts w:cstheme="minorHAnsi"/>
          <w:sz w:val="28"/>
          <w:szCs w:val="28"/>
        </w:rPr>
        <w:t>63</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Creator of expression is author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Civic Chandran v. Ammini Amma</w:t>
      </w:r>
      <w:r w:rsidRPr="002A7AE8">
        <w:rPr>
          <w:rFonts w:cstheme="minorHAnsi"/>
          <w:sz w:val="28"/>
          <w:szCs w:val="28"/>
        </w:rPr>
        <w:tab/>
        <w:t>1996 PTC 329</w:t>
      </w:r>
      <w:r w:rsidRPr="002A7AE8">
        <w:rPr>
          <w:rFonts w:cstheme="minorHAnsi"/>
          <w:sz w:val="28"/>
          <w:szCs w:val="28"/>
        </w:rPr>
        <w:tab/>
        <w:t>No copyright in ideas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Pine Labs v. Gemalto</w:t>
      </w:r>
      <w:r w:rsidRPr="002A7AE8">
        <w:rPr>
          <w:rFonts w:cstheme="minorHAnsi"/>
          <w:sz w:val="28"/>
          <w:szCs w:val="28"/>
        </w:rPr>
        <w:tab/>
        <w:t>2011 (48) PTC 336</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Ownership depends on law and contract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These cases explain the principles relating to authorship, first ownership, originality, commissioned works, assignment, and the distinction between creator and copyright owner under copyright law.</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8. Conclusion</w:t>
      </w:r>
    </w:p>
    <w:p w:rsidR="002A7AE8" w:rsidRPr="002A7AE8" w:rsidRDefault="002A7AE8" w:rsidP="002A7AE8">
      <w:pPr>
        <w:rPr>
          <w:rFonts w:cstheme="minorHAnsi"/>
          <w:sz w:val="28"/>
          <w:szCs w:val="28"/>
        </w:rPr>
      </w:pPr>
      <w:r w:rsidRPr="002A7AE8">
        <w:rPr>
          <w:rFonts w:cstheme="minorHAnsi"/>
          <w:sz w:val="28"/>
          <w:szCs w:val="28"/>
        </w:rPr>
        <w:t>The law of authorship and ownership of copyright under the Copyright Act, 1957 reflects a nuanced framework that generally rewards the creative individual while accommodating the legitimate interests of employers, commissioning parties, and public bodies. The distinction between author and owner — and the ability to assign, license, dispute, or relinquish copyright — ensures that rights can be organised to suit commercial reality while preserving fundamental protections for original creators.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2</w:t>
      </w:r>
    </w:p>
    <w:p w:rsidR="002A7AE8" w:rsidRPr="002A7AE8" w:rsidRDefault="002A7AE8" w:rsidP="002A7AE8">
      <w:pPr>
        <w:rPr>
          <w:rFonts w:cstheme="minorHAnsi"/>
          <w:sz w:val="28"/>
          <w:szCs w:val="28"/>
        </w:rPr>
      </w:pPr>
      <w:r w:rsidRPr="002A7AE8">
        <w:rPr>
          <w:rFonts w:cstheme="minorHAnsi"/>
          <w:sz w:val="28"/>
          <w:szCs w:val="28"/>
        </w:rPr>
        <w:t>Chapter 6: Registration of copyright – Sections 44–50A</w:t>
      </w:r>
    </w:p>
    <w:p w:rsidR="002A7AE8" w:rsidRPr="002A7AE8" w:rsidRDefault="002A7AE8" w:rsidP="002A7AE8">
      <w:pPr>
        <w:rPr>
          <w:rFonts w:cstheme="minorHAnsi"/>
          <w:sz w:val="28"/>
          <w:szCs w:val="28"/>
        </w:rPr>
      </w:pPr>
      <w:r w:rsidRPr="002A7AE8">
        <w:rPr>
          <w:rFonts w:cstheme="minorHAnsi"/>
          <w:sz w:val="28"/>
          <w:szCs w:val="28"/>
        </w:rPr>
        <w:t>Introduction</w:t>
      </w:r>
    </w:p>
    <w:p w:rsidR="002A7AE8" w:rsidRPr="002A7AE8" w:rsidRDefault="002A7AE8" w:rsidP="002A7AE8">
      <w:pPr>
        <w:rPr>
          <w:rFonts w:cstheme="minorHAnsi"/>
          <w:sz w:val="28"/>
          <w:szCs w:val="28"/>
        </w:rPr>
      </w:pPr>
      <w:r w:rsidRPr="002A7AE8">
        <w:rPr>
          <w:rFonts w:cstheme="minorHAnsi"/>
          <w:sz w:val="28"/>
          <w:szCs w:val="28"/>
        </w:rPr>
        <w:t>Registration of copyright under the Copyright Act, 1957 is not a mandatory requirement for the subsistence or enforcement of copyright. Copyright arises automatically upon the creation of an original work; no formality is required. However, registration is a powerful procedural tool. It creates a public record of ownership, provides prima facie evidence of the registered particulars in any legal dispute, and significantly strengthens the copyright owner's position. Sections 44 to 50A of the Act govern the registration framework.</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Register of copyrights — Section 44 Bare act – Section 44, Copyright Act, 1957</w:t>
      </w:r>
    </w:p>
    <w:p w:rsidR="002A7AE8" w:rsidRPr="002A7AE8" w:rsidRDefault="002A7AE8" w:rsidP="002A7AE8">
      <w:pPr>
        <w:rPr>
          <w:rFonts w:cstheme="minorHAnsi"/>
          <w:sz w:val="28"/>
          <w:szCs w:val="28"/>
        </w:rPr>
      </w:pPr>
      <w:r w:rsidRPr="002A7AE8">
        <w:rPr>
          <w:rFonts w:cstheme="minorHAnsi"/>
          <w:sz w:val="28"/>
          <w:szCs w:val="28"/>
        </w:rPr>
        <w:t>There shall be kept at the Copyright Office a register in the prescribed form to be called the Register of Copyrights in which may be entered the names or titles of works and the names and addresses of authors, publishers and owners of copyright and such other particulars as may be prescribed.</w:t>
      </w:r>
    </w:p>
    <w:p w:rsidR="002A7AE8" w:rsidRPr="002A7AE8" w:rsidRDefault="002A7AE8" w:rsidP="002A7AE8">
      <w:pPr>
        <w:rPr>
          <w:rFonts w:cstheme="minorHAnsi"/>
          <w:sz w:val="28"/>
          <w:szCs w:val="28"/>
        </w:rPr>
      </w:pPr>
      <w:r w:rsidRPr="002A7AE8">
        <w:rPr>
          <w:rFonts w:cstheme="minorHAnsi"/>
          <w:sz w:val="28"/>
          <w:szCs w:val="28"/>
        </w:rPr>
        <w:t>Section 44 establishes the Register of Copyrights as the official record of copyright ownership in India, maintained at the Copyright Office under the control of the Registrar of Copyrights. The Register is a public document containing the title of the work, names and addresses of the author, publisher, and copyright owner, and other prescribed particulars. It is the foundation of the registration system and the principal reference point for establishing ownership of registered works.</w:t>
      </w:r>
    </w:p>
    <w:p w:rsidR="002A7AE8" w:rsidRPr="002A7AE8" w:rsidRDefault="002A7AE8" w:rsidP="002A7AE8">
      <w:pPr>
        <w:rPr>
          <w:rFonts w:cstheme="minorHAnsi"/>
          <w:sz w:val="28"/>
          <w:szCs w:val="28"/>
        </w:rPr>
      </w:pPr>
      <w:r w:rsidRPr="002A7AE8">
        <w:rPr>
          <w:rFonts w:cstheme="minorHAnsi"/>
          <w:sz w:val="28"/>
          <w:szCs w:val="28"/>
        </w:rPr>
        <w:lastRenderedPageBreak/>
        <w:t>B.</w:t>
      </w:r>
      <w:r w:rsidRPr="002A7AE8">
        <w:rPr>
          <w:rFonts w:cstheme="minorHAnsi"/>
          <w:sz w:val="28"/>
          <w:szCs w:val="28"/>
        </w:rPr>
        <w:tab/>
        <w:t>Entries in the register — Section 45 Bare act – Section 45, Copyright Act, 1957</w:t>
      </w:r>
    </w:p>
    <w:p w:rsidR="002A7AE8" w:rsidRPr="002A7AE8" w:rsidRDefault="002A7AE8" w:rsidP="002A7AE8">
      <w:pPr>
        <w:rPr>
          <w:rFonts w:cstheme="minorHAnsi"/>
          <w:sz w:val="28"/>
          <w:szCs w:val="28"/>
        </w:rPr>
      </w:pPr>
      <w:r w:rsidRPr="002A7AE8">
        <w:rPr>
          <w:rFonts w:cstheme="minorHAnsi"/>
          <w:sz w:val="28"/>
          <w:szCs w:val="28"/>
        </w:rPr>
        <w:t>The author or publisher of, or the owner of or other person interested in the copyright in, any work may make an application in the prescribed form accompanied by the prescribed fee to the Registrar of Copyrights for entering particulars of the work in the Register of Copyrights: Provided that in respect of an artistic work which is used or is capable of being used in relation to any goods or services, the application shall include a statement to that effect and shall be accompanied by a certificate from the Registrar of Trade Marks to the effect that no trade mark identical with or deceptively similar to such artistic work has been registered.</w:t>
      </w:r>
    </w:p>
    <w:p w:rsidR="002A7AE8" w:rsidRPr="002A7AE8" w:rsidRDefault="002A7AE8" w:rsidP="002A7AE8">
      <w:pPr>
        <w:rPr>
          <w:rFonts w:cstheme="minorHAnsi"/>
          <w:sz w:val="28"/>
          <w:szCs w:val="28"/>
        </w:rPr>
      </w:pPr>
      <w:r w:rsidRPr="002A7AE8">
        <w:rPr>
          <w:rFonts w:cstheme="minorHAnsi"/>
          <w:sz w:val="28"/>
          <w:szCs w:val="28"/>
        </w:rPr>
        <w:t>Section 45 allows any person with a legitimate interest in copyright — the author, publisher, owner, or any other interested party — to apply for registration. The application must be in the prescribed form (Form XIV under the Copyright Rules, 2013) with the prescribed fee. The special proviso for artistic works used on goods or services prevents situations where the same artistic work could simultaneously serve as both a registered copyright and a trade mark, which could create conflicting intellectual property rights.</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Registration procedure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registration process under the Copyright Rules, 2013 involves the following stages: filing the application in Form XIV with the prescribed fee; receipt of a diary number confirming the application; a mandatory waiting period of thirty days to invite objections from third parties; examination of the application and any objections received; and, upon satisfactory completion, issuance of a Certificate of Registration by the Registrar of Copyrights. Objections must be resolved before registration is finalised.</w:t>
      </w: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Indexes — Section 46</w:t>
      </w:r>
    </w:p>
    <w:p w:rsidR="002A7AE8" w:rsidRPr="002A7AE8" w:rsidRDefault="002A7AE8" w:rsidP="002A7AE8">
      <w:pPr>
        <w:rPr>
          <w:rFonts w:cstheme="minorHAnsi"/>
          <w:sz w:val="28"/>
          <w:szCs w:val="28"/>
        </w:rPr>
      </w:pPr>
      <w:r w:rsidRPr="002A7AE8">
        <w:rPr>
          <w:rFonts w:cstheme="minorHAnsi"/>
          <w:sz w:val="28"/>
          <w:szCs w:val="28"/>
        </w:rPr>
        <w:t>Bare act – Section 46, Copyright Act, 1957</w:t>
      </w:r>
    </w:p>
    <w:p w:rsidR="002A7AE8" w:rsidRPr="002A7AE8" w:rsidRDefault="002A7AE8" w:rsidP="002A7AE8">
      <w:pPr>
        <w:rPr>
          <w:rFonts w:cstheme="minorHAnsi"/>
          <w:sz w:val="28"/>
          <w:szCs w:val="28"/>
        </w:rPr>
      </w:pPr>
      <w:r w:rsidRPr="002A7AE8">
        <w:rPr>
          <w:rFonts w:cstheme="minorHAnsi"/>
          <w:sz w:val="28"/>
          <w:szCs w:val="28"/>
        </w:rPr>
        <w:t>There shall be also kept at the Copyright Office such indexes of the Register of Copyrights as may be prescribed.</w:t>
      </w:r>
    </w:p>
    <w:p w:rsidR="002A7AE8" w:rsidRPr="002A7AE8" w:rsidRDefault="002A7AE8" w:rsidP="002A7AE8">
      <w:pPr>
        <w:rPr>
          <w:rFonts w:cstheme="minorHAnsi"/>
          <w:sz w:val="28"/>
          <w:szCs w:val="28"/>
        </w:rPr>
      </w:pPr>
      <w:r w:rsidRPr="002A7AE8">
        <w:rPr>
          <w:rFonts w:cstheme="minorHAnsi"/>
          <w:sz w:val="28"/>
          <w:szCs w:val="28"/>
        </w:rPr>
        <w:t xml:space="preserve">Section 46 requires indexes of the Register of Copyrights to be maintained at the Copyright Office in such form as may be prescribed. These indexes facilitate efficient public access to registered works, enabling third parties to </w:t>
      </w:r>
      <w:r w:rsidRPr="002A7AE8">
        <w:rPr>
          <w:rFonts w:cstheme="minorHAnsi"/>
          <w:sz w:val="28"/>
          <w:szCs w:val="28"/>
        </w:rPr>
        <w:lastRenderedPageBreak/>
        <w:t>search for and identify the ownership status of specific works without having to search through the entire register. They are particularly useful in disputes about ownership and in due diligence exercises before commercial licensing.</w:t>
      </w:r>
    </w:p>
    <w:p w:rsidR="002A7AE8" w:rsidRPr="002A7AE8" w:rsidRDefault="002A7AE8" w:rsidP="002A7AE8">
      <w:pPr>
        <w:rPr>
          <w:rFonts w:cstheme="minorHAnsi"/>
          <w:sz w:val="28"/>
          <w:szCs w:val="28"/>
        </w:rPr>
      </w:pPr>
      <w:r w:rsidRPr="002A7AE8">
        <w:rPr>
          <w:rFonts w:cstheme="minorHAnsi"/>
          <w:sz w:val="28"/>
          <w:szCs w:val="28"/>
        </w:rPr>
        <w:t>E.</w:t>
      </w:r>
      <w:r w:rsidRPr="002A7AE8">
        <w:rPr>
          <w:rFonts w:cstheme="minorHAnsi"/>
          <w:sz w:val="28"/>
          <w:szCs w:val="28"/>
        </w:rPr>
        <w:tab/>
        <w:t>Inspection of register — Section 47 Bare act – Section 47, Copyright Act, 1957</w:t>
      </w:r>
    </w:p>
    <w:p w:rsidR="002A7AE8" w:rsidRPr="002A7AE8" w:rsidRDefault="002A7AE8" w:rsidP="002A7AE8">
      <w:pPr>
        <w:rPr>
          <w:rFonts w:cstheme="minorHAnsi"/>
          <w:sz w:val="28"/>
          <w:szCs w:val="28"/>
        </w:rPr>
      </w:pPr>
      <w:r w:rsidRPr="002A7AE8">
        <w:rPr>
          <w:rFonts w:cstheme="minorHAnsi"/>
          <w:sz w:val="28"/>
          <w:szCs w:val="28"/>
        </w:rPr>
        <w:t>The Register of Copyrights and indexes thereof kept under this Act shall at all reasonable times be open to inspection, and any person shall be entitled to take copies of, or make extracts from, such register or indexes on payment of such fee and subject to such conditions as may be prescribed.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Section 47 makes the Register of Copyrights a publicly accessible document. Any person may inspect it at all reasonable times and may obtain certified copies or extracts upon paying the prescribed fee. This public accessibility is essential to the functioning of the registration system: third parties — publishers, broadcasters, licensees — need to be able to verify ownership before entering commercial arrangements. The ability to take copies or extracts ensures that ownership evidence is readily obtainable.</w:t>
      </w:r>
    </w:p>
    <w:p w:rsidR="002A7AE8" w:rsidRPr="002A7AE8" w:rsidRDefault="002A7AE8" w:rsidP="002A7AE8">
      <w:pPr>
        <w:rPr>
          <w:rFonts w:cstheme="minorHAnsi"/>
          <w:sz w:val="28"/>
          <w:szCs w:val="28"/>
        </w:rPr>
      </w:pPr>
      <w:r w:rsidRPr="002A7AE8">
        <w:rPr>
          <w:rFonts w:cstheme="minorHAnsi"/>
          <w:sz w:val="28"/>
          <w:szCs w:val="28"/>
        </w:rPr>
        <w:t>F.</w:t>
      </w:r>
      <w:r w:rsidRPr="002A7AE8">
        <w:rPr>
          <w:rFonts w:cstheme="minorHAnsi"/>
          <w:sz w:val="28"/>
          <w:szCs w:val="28"/>
        </w:rPr>
        <w:tab/>
        <w:t>Evidentiary value — Section 48</w:t>
      </w:r>
    </w:p>
    <w:p w:rsidR="002A7AE8" w:rsidRPr="002A7AE8" w:rsidRDefault="002A7AE8" w:rsidP="002A7AE8">
      <w:pPr>
        <w:rPr>
          <w:rFonts w:cstheme="minorHAnsi"/>
          <w:sz w:val="28"/>
          <w:szCs w:val="28"/>
        </w:rPr>
      </w:pPr>
      <w:r w:rsidRPr="002A7AE8">
        <w:rPr>
          <w:rFonts w:cstheme="minorHAnsi"/>
          <w:sz w:val="28"/>
          <w:szCs w:val="28"/>
        </w:rPr>
        <w:t>Bare act – Section 48, Copyright Act, 1957</w:t>
      </w:r>
    </w:p>
    <w:p w:rsidR="002A7AE8" w:rsidRPr="002A7AE8" w:rsidRDefault="002A7AE8" w:rsidP="002A7AE8">
      <w:pPr>
        <w:rPr>
          <w:rFonts w:cstheme="minorHAnsi"/>
          <w:sz w:val="28"/>
          <w:szCs w:val="28"/>
        </w:rPr>
      </w:pPr>
      <w:r w:rsidRPr="002A7AE8">
        <w:rPr>
          <w:rFonts w:cstheme="minorHAnsi"/>
          <w:sz w:val="28"/>
          <w:szCs w:val="28"/>
        </w:rPr>
        <w:t>The Register of Copyrights shall be prima facie evidence of the particulars entered therein and documents purporting to be copies of any entries therein, or extracts therefrom, certified by the Registrar of Copyrights and sealed with the seal of the Copyright Office shall be admissible in evidence in all courts without further proof or production of the original.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Section 48 is the most important practical consequence of registration. "Prima facie evidence" means that the court will presume the registered particulars to be correct unless the contrary is proved — the burden shifts to the party challenging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registration. Certified copies of Register entries are admissible in court without further proof, making it straightforward to establish ownership in infringement proceedings.</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This procedural advantage is the principal reason copyright owners choose to register their works.</w:t>
      </w:r>
    </w:p>
    <w:p w:rsidR="002A7AE8" w:rsidRPr="002A7AE8" w:rsidRDefault="002A7AE8" w:rsidP="002A7AE8">
      <w:pPr>
        <w:rPr>
          <w:rFonts w:cstheme="minorHAnsi"/>
          <w:sz w:val="28"/>
          <w:szCs w:val="28"/>
        </w:rPr>
      </w:pPr>
      <w:r w:rsidRPr="002A7AE8">
        <w:rPr>
          <w:rFonts w:cstheme="minorHAnsi"/>
          <w:sz w:val="28"/>
          <w:szCs w:val="28"/>
        </w:rPr>
        <w:t>G.</w:t>
      </w:r>
      <w:r w:rsidRPr="002A7AE8">
        <w:rPr>
          <w:rFonts w:cstheme="minorHAnsi"/>
          <w:sz w:val="28"/>
          <w:szCs w:val="28"/>
        </w:rPr>
        <w:tab/>
        <w:t>Correction and rectification — Sections 49 and 50 Bare act – Section 49, Copyright Act, 1957</w:t>
      </w:r>
    </w:p>
    <w:p w:rsidR="002A7AE8" w:rsidRPr="002A7AE8" w:rsidRDefault="002A7AE8" w:rsidP="002A7AE8">
      <w:pPr>
        <w:rPr>
          <w:rFonts w:cstheme="minorHAnsi"/>
          <w:sz w:val="28"/>
          <w:szCs w:val="28"/>
        </w:rPr>
      </w:pPr>
      <w:r w:rsidRPr="002A7AE8">
        <w:rPr>
          <w:rFonts w:cstheme="minorHAnsi"/>
          <w:sz w:val="28"/>
          <w:szCs w:val="28"/>
        </w:rPr>
        <w:t>The Registrar of Copyrights may, in the prescribed cases and subject to the prescribed conditions, amend or alter the Register of Copyrights by — (a) correcting any error in any name, address or particulars; or (b) correcting any other error which may have arisen therein by accidental slip or omission.</w:t>
      </w:r>
    </w:p>
    <w:p w:rsidR="002A7AE8" w:rsidRPr="002A7AE8" w:rsidRDefault="002A7AE8" w:rsidP="002A7AE8">
      <w:pPr>
        <w:rPr>
          <w:rFonts w:cstheme="minorHAnsi"/>
          <w:sz w:val="28"/>
          <w:szCs w:val="28"/>
        </w:rPr>
      </w:pPr>
      <w:r w:rsidRPr="002A7AE8">
        <w:rPr>
          <w:rFonts w:cstheme="minorHAnsi"/>
          <w:sz w:val="28"/>
          <w:szCs w:val="28"/>
        </w:rPr>
        <w:t>Section 49 provides an administrative mechanism for correcting minor errors in the Register — such as typographical mistakes in names or addresses, or particulars omitted by accidental slip. This power is exercised by the Registrar of Copyrights on an administrative basis, without requiring recourse to the Appellate Board. It ensures that the Register remains accurate and up to date.</w:t>
      </w:r>
    </w:p>
    <w:p w:rsidR="002A7AE8" w:rsidRPr="002A7AE8" w:rsidRDefault="002A7AE8" w:rsidP="002A7AE8">
      <w:pPr>
        <w:rPr>
          <w:rFonts w:cstheme="minorHAnsi"/>
          <w:sz w:val="28"/>
          <w:szCs w:val="28"/>
        </w:rPr>
      </w:pPr>
      <w:r w:rsidRPr="002A7AE8">
        <w:rPr>
          <w:rFonts w:cstheme="minorHAnsi"/>
          <w:sz w:val="28"/>
          <w:szCs w:val="28"/>
        </w:rPr>
        <w:t>Bare act – Section 50, Copyright Act, 1957</w:t>
      </w:r>
    </w:p>
    <w:p w:rsidR="002A7AE8" w:rsidRPr="002A7AE8" w:rsidRDefault="002A7AE8" w:rsidP="002A7AE8">
      <w:pPr>
        <w:rPr>
          <w:rFonts w:cstheme="minorHAnsi"/>
          <w:sz w:val="28"/>
          <w:szCs w:val="28"/>
        </w:rPr>
      </w:pPr>
      <w:r w:rsidRPr="002A7AE8">
        <w:rPr>
          <w:rFonts w:cstheme="minorHAnsi"/>
          <w:sz w:val="28"/>
          <w:szCs w:val="28"/>
        </w:rPr>
        <w:t>The Appellate Board, on application of the Registrar of Copyrights or of any person aggrieved, shall order the rectification of the Register of Copyrights by — (a) the making of any entry wrongly omitted to be made in the register, or (b) the expunging of any entry wrongly made in, or remaining on, the register, or (c) the correction of any error or defect in the register.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Section 50 provides a judicial mechanism for rectification of the Register, exercisable by the Appellate Board on application by the Registrar or any aggrieved person. Unlike Section 49, which covers administrative corrections, Section 50 addresses wrongly omitted entries, entries that should never have been made, and substantive errors. The Appellate Board's rectification order carries judicial authority and is a more powerful remedy for fundamental errors in ownership records.</w:t>
      </w:r>
    </w:p>
    <w:p w:rsidR="002A7AE8" w:rsidRPr="002A7AE8" w:rsidRDefault="002A7AE8" w:rsidP="002A7AE8">
      <w:pPr>
        <w:rPr>
          <w:rFonts w:cstheme="minorHAnsi"/>
          <w:sz w:val="28"/>
          <w:szCs w:val="28"/>
        </w:rPr>
      </w:pPr>
      <w:r w:rsidRPr="002A7AE8">
        <w:rPr>
          <w:rFonts w:cstheme="minorHAnsi"/>
          <w:sz w:val="28"/>
          <w:szCs w:val="28"/>
        </w:rPr>
        <w:t>H.</w:t>
      </w:r>
      <w:r w:rsidRPr="002A7AE8">
        <w:rPr>
          <w:rFonts w:cstheme="minorHAnsi"/>
          <w:sz w:val="28"/>
          <w:szCs w:val="28"/>
        </w:rPr>
        <w:tab/>
        <w:t>Publication of entries — Section 50A Bare act – Section 50A, Copyright Act, 1957</w:t>
      </w:r>
    </w:p>
    <w:p w:rsidR="002A7AE8" w:rsidRPr="002A7AE8" w:rsidRDefault="002A7AE8" w:rsidP="002A7AE8">
      <w:pPr>
        <w:rPr>
          <w:rFonts w:cstheme="minorHAnsi"/>
          <w:sz w:val="28"/>
          <w:szCs w:val="28"/>
        </w:rPr>
      </w:pPr>
      <w:r w:rsidRPr="002A7AE8">
        <w:rPr>
          <w:rFonts w:cstheme="minorHAnsi"/>
          <w:sz w:val="28"/>
          <w:szCs w:val="28"/>
        </w:rPr>
        <w:t xml:space="preserve">Every entry made in the Register of Copyrights or the particulars of any work entered under section 45, the correction of every entry made in such register under section 49, and every rectification ordered under section 50, shall be </w:t>
      </w:r>
      <w:r w:rsidRPr="002A7AE8">
        <w:rPr>
          <w:rFonts w:cstheme="minorHAnsi"/>
          <w:sz w:val="28"/>
          <w:szCs w:val="28"/>
        </w:rPr>
        <w:lastRenderedPageBreak/>
        <w:t>published by the Registrar of Copyrights in the Official Gazette or in such other manner as he may deem fit.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Section 50A ensures transparency and public notice by requiring all entries, corrections, and rectifications to be published in the Official Gazette (or in such other manner as the Registrar deems appropriate). Publication gives constructive notice to the world of copyright ownership and changes thereto, reducing disputes arising from lack of knowledge of registration status. This provision aligns the copyright registration system with the general principle of public notice that underlies intellectual property registration.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CASE LAWS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Nav Sahitya Prakash v. Anand Kumar Citation: AIR 1981 All 200</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plaintiff claimed copyright protection over a literary work.</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defendant argued that the plaintiff could not claim copyright because the work was not registered under the Copyright Act.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question arose regarding whether copyright registration was necessary for enforcing copyright rights.</w:t>
      </w: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registration of copyright is compulsory for acquiring copyright protection.</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a copyright owner can file a suit for infringement without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held that registration of copyright is not mandatory for the existence of copyright.</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Copyright comes into existence automatically when an original work is created.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Registration only provides evidence of ownership and assists in legal proceedings.</w:t>
      </w:r>
    </w:p>
    <w:p w:rsidR="002A7AE8" w:rsidRPr="002A7AE8" w:rsidRDefault="002A7AE8" w:rsidP="002A7AE8">
      <w:pPr>
        <w:rPr>
          <w:rFonts w:cstheme="minorHAnsi"/>
          <w:sz w:val="28"/>
          <w:szCs w:val="28"/>
        </w:rPr>
      </w:pPr>
      <w:r w:rsidRPr="002A7AE8">
        <w:rPr>
          <w:rFonts w:cstheme="minorHAnsi"/>
          <w:sz w:val="28"/>
          <w:szCs w:val="28"/>
        </w:rPr>
        <w:t>Principle Laid Down:</w:t>
      </w:r>
    </w:p>
    <w:p w:rsidR="002A7AE8" w:rsidRPr="002A7AE8" w:rsidRDefault="002A7AE8" w:rsidP="002A7AE8">
      <w:pPr>
        <w:rPr>
          <w:rFonts w:cstheme="minorHAnsi"/>
          <w:sz w:val="28"/>
          <w:szCs w:val="28"/>
        </w:rPr>
      </w:pPr>
      <w:r w:rsidRPr="002A7AE8">
        <w:rPr>
          <w:rFonts w:cstheme="minorHAnsi"/>
          <w:sz w:val="28"/>
          <w:szCs w:val="28"/>
        </w:rPr>
        <w:t>Registration of copyright is optional and not a condition precedent for copyright protection.</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Satsang v. Kiron Chandra Mukhopadhyay Citation: AIR 1972 Cal 533</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plaintiff claimed copyright ownership over certain literary works.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defendant challenged the claim on the ground that the copyright was not registered.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dispute concerned the evidentiary value of copyright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registration is necessary before claiming copyright.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absence of registration destroys copyright ownership.</w:t>
      </w: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held that copyright exists independently of registration.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Registration is only a record of particulars maintained by the Copyright Office.</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author can enforce copyright even without registration.</w:t>
      </w:r>
    </w:p>
    <w:p w:rsidR="002A7AE8" w:rsidRPr="002A7AE8" w:rsidRDefault="002A7AE8" w:rsidP="002A7AE8">
      <w:pPr>
        <w:rPr>
          <w:rFonts w:cstheme="minorHAnsi"/>
          <w:sz w:val="28"/>
          <w:szCs w:val="28"/>
        </w:rPr>
      </w:pPr>
      <w:r w:rsidRPr="002A7AE8">
        <w:rPr>
          <w:rFonts w:cstheme="minorHAnsi"/>
          <w:sz w:val="28"/>
          <w:szCs w:val="28"/>
        </w:rPr>
        <w:t>Principle Laid Down:</w:t>
      </w:r>
    </w:p>
    <w:p w:rsidR="002A7AE8" w:rsidRPr="002A7AE8" w:rsidRDefault="002A7AE8" w:rsidP="002A7AE8">
      <w:pPr>
        <w:rPr>
          <w:rFonts w:cstheme="minorHAnsi"/>
          <w:sz w:val="28"/>
          <w:szCs w:val="28"/>
        </w:rPr>
      </w:pPr>
      <w:r w:rsidRPr="002A7AE8">
        <w:rPr>
          <w:rFonts w:cstheme="minorHAnsi"/>
          <w:sz w:val="28"/>
          <w:szCs w:val="28"/>
        </w:rPr>
        <w:t>Copyright registration is merely evidentiary and does not create copyright. Conclusion</w:t>
      </w:r>
    </w:p>
    <w:p w:rsidR="002A7AE8" w:rsidRPr="002A7AE8" w:rsidRDefault="002A7AE8" w:rsidP="002A7AE8">
      <w:pPr>
        <w:rPr>
          <w:rFonts w:cstheme="minorHAnsi"/>
          <w:sz w:val="28"/>
          <w:szCs w:val="28"/>
        </w:rPr>
      </w:pPr>
      <w:r w:rsidRPr="002A7AE8">
        <w:rPr>
          <w:rFonts w:cstheme="minorHAnsi"/>
          <w:sz w:val="28"/>
          <w:szCs w:val="28"/>
        </w:rPr>
        <w:lastRenderedPageBreak/>
        <w:t>The registration framework under Sections 44 to 50A creates a publicly accessible, administratively correctable, and judicially rectifiable system of copyright records. While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registration is not a precondition for copyright to exist or to be enforced, it provides significant procedural advantages — particularly the creation of prima facie evidence of ownership — that make it highly advantageous for copyright owners to register their works. The transparency provisions under Sections 47 and 50A ensure that the system serves not just rights holders but also users and the broader public.</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2</w:t>
      </w:r>
    </w:p>
    <w:p w:rsidR="002A7AE8" w:rsidRPr="002A7AE8" w:rsidRDefault="002A7AE8" w:rsidP="002A7AE8">
      <w:pPr>
        <w:rPr>
          <w:rFonts w:cstheme="minorHAnsi"/>
          <w:sz w:val="28"/>
          <w:szCs w:val="28"/>
        </w:rPr>
      </w:pPr>
      <w:r w:rsidRPr="002A7AE8">
        <w:rPr>
          <w:rFonts w:cstheme="minorHAnsi"/>
          <w:sz w:val="28"/>
          <w:szCs w:val="28"/>
        </w:rPr>
        <w:t>Chapter 7: Term of copyright under the Copyright Act, 1957</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Copyright protection is not perpetual. It subsists for a defined period prescribed by law, after which the protected work enters the public domain and becomes freely available for use without permission or payment. This limited duration reflects the fundamental balance that copyright law seeks to maintain: rewarding creators and their successors with exclusive rights for a reasonable period, while ensuring that society ultimately gains free access to creative works. The term of copyright in India is governed by Chapter V (Sections 22–29) of the Copyright Act, 1957. The general principle is that literary, dramatic, musical, and artistic works are protected for the lifetime of the author plus sixty years.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Section 22 — Term in published literary, dramatic, musical and artistic works Bare act – Section 22, Copyright Act, 1957</w:t>
      </w:r>
    </w:p>
    <w:p w:rsidR="002A7AE8" w:rsidRPr="002A7AE8" w:rsidRDefault="002A7AE8" w:rsidP="002A7AE8">
      <w:pPr>
        <w:rPr>
          <w:rFonts w:cstheme="minorHAnsi"/>
          <w:sz w:val="28"/>
          <w:szCs w:val="28"/>
        </w:rPr>
      </w:pPr>
      <w:r w:rsidRPr="002A7AE8">
        <w:rPr>
          <w:rFonts w:cstheme="minorHAnsi"/>
          <w:sz w:val="28"/>
          <w:szCs w:val="28"/>
        </w:rPr>
        <w:t>Except as otherwise hereinafter provided, copyright shall subsist in any literary, dramatic, musical or artistic work published within the lifetime of the author until sixty years from the beginning of the calendar year next following the year in which the author dies.</w:t>
      </w:r>
    </w:p>
    <w:p w:rsidR="002A7AE8" w:rsidRPr="002A7AE8" w:rsidRDefault="002A7AE8" w:rsidP="002A7AE8">
      <w:pPr>
        <w:rPr>
          <w:rFonts w:cstheme="minorHAnsi"/>
          <w:sz w:val="28"/>
          <w:szCs w:val="28"/>
        </w:rPr>
      </w:pPr>
      <w:r w:rsidRPr="002A7AE8">
        <w:rPr>
          <w:rFonts w:cstheme="minorHAnsi"/>
          <w:sz w:val="28"/>
          <w:szCs w:val="28"/>
        </w:rPr>
        <w:t xml:space="preserve">Section 22 is the primary term provision. It applies to the broadest category of works — books, poems, plays, musical compositions, paintings, photographs, sculptures, and drawings. The term is calculated from the beginning of the </w:t>
      </w:r>
      <w:r w:rsidRPr="002A7AE8">
        <w:rPr>
          <w:rFonts w:cstheme="minorHAnsi"/>
          <w:sz w:val="28"/>
          <w:szCs w:val="28"/>
        </w:rPr>
        <w:lastRenderedPageBreak/>
        <w:t>calendar year following the author's death, meaning the year of death is excluded and time starts running from 1 January of the following year. This method simplifies calculation by using fixed calendar years rather than precise dates. In a joint work, the term runs from the death of the last surviving author.</w:t>
      </w:r>
    </w:p>
    <w:p w:rsidR="002A7AE8" w:rsidRPr="002A7AE8" w:rsidRDefault="002A7AE8" w:rsidP="002A7AE8">
      <w:pPr>
        <w:rPr>
          <w:rFonts w:cstheme="minorHAnsi"/>
          <w:sz w:val="28"/>
          <w:szCs w:val="28"/>
        </w:rPr>
      </w:pPr>
      <w:r w:rsidRPr="002A7AE8">
        <w:rPr>
          <w:rFonts w:cstheme="minorHAnsi"/>
          <w:sz w:val="28"/>
          <w:szCs w:val="28"/>
        </w:rPr>
        <w:t>Example: An author dies on 15 July 2025. The sixty-year period begins on 1 January 2026 and expires at the end of 2085.</w:t>
      </w:r>
    </w:p>
    <w:p w:rsidR="002A7AE8" w:rsidRPr="002A7AE8" w:rsidRDefault="002A7AE8" w:rsidP="002A7AE8">
      <w:pPr>
        <w:rPr>
          <w:rFonts w:cstheme="minorHAnsi"/>
          <w:sz w:val="28"/>
          <w:szCs w:val="28"/>
        </w:rPr>
      </w:pPr>
      <w:r w:rsidRPr="002A7AE8">
        <w:rPr>
          <w:rFonts w:cstheme="minorHAnsi"/>
          <w:sz w:val="28"/>
          <w:szCs w:val="28"/>
        </w:rPr>
        <w:t>In the case of joint authorship, if Author A dies in 2020 and Author B dies in 2030, the sixty years run from 1 January 2031, expiring at the end of 2090.</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Section 23 — Term in anonymous and pseudonymous works Bare act – Section 23, Copyright Act, 1957</w:t>
      </w:r>
    </w:p>
    <w:p w:rsidR="002A7AE8" w:rsidRPr="002A7AE8" w:rsidRDefault="002A7AE8" w:rsidP="002A7AE8">
      <w:pPr>
        <w:rPr>
          <w:rFonts w:cstheme="minorHAnsi"/>
          <w:sz w:val="28"/>
          <w:szCs w:val="28"/>
        </w:rPr>
      </w:pPr>
      <w:r w:rsidRPr="002A7AE8">
        <w:rPr>
          <w:rFonts w:cstheme="minorHAnsi"/>
          <w:sz w:val="28"/>
          <w:szCs w:val="28"/>
        </w:rPr>
        <w:t>In the case of literary, dramatic, musical or artistic work (other than a photograph), which is published anonymously or pseudonymously, copyright shall subsist until sixty years from the beginning of the calendar year next following the year in which the work is first published: Provided that where the identity of the author is disclosed before the expiry of the said period, copyright shall subsist until sixty years from the beginning of the calendar year next following the year in which the author dies.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Section 23 addresses works where the author's identity is concealed — either entirely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(anonymous works) or through a pen name or pseudonym. Since the life of the author is unknown, the term is calculated from the date of first publication rather than death. If</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author subsequently reveals their identity before the term expires, the general rule of Section 22 (life plus sixty years) replaces the publication-based term. This prevents strategic use of anonymity to extend protection beyond what the author would have received under Section 22.</w:t>
      </w:r>
    </w:p>
    <w:p w:rsidR="002A7AE8" w:rsidRPr="002A7AE8" w:rsidRDefault="002A7AE8" w:rsidP="002A7AE8">
      <w:pPr>
        <w:rPr>
          <w:rFonts w:cstheme="minorHAnsi"/>
          <w:sz w:val="28"/>
          <w:szCs w:val="28"/>
        </w:rPr>
      </w:pPr>
      <w:r w:rsidRPr="002A7AE8">
        <w:rPr>
          <w:rFonts w:cstheme="minorHAnsi"/>
          <w:sz w:val="28"/>
          <w:szCs w:val="28"/>
        </w:rPr>
        <w:t>Example: A novel published anonymously in 2020 is protected until the end of 2080. If the author reveals their identity in 2030 and later dies in 2055, copyright continues until the end of 2115 (sixty years from 1 January 2056).</w:t>
      </w:r>
    </w:p>
    <w:p w:rsidR="002A7AE8" w:rsidRPr="002A7AE8" w:rsidRDefault="002A7AE8" w:rsidP="002A7AE8">
      <w:pPr>
        <w:rPr>
          <w:rFonts w:cstheme="minorHAnsi"/>
          <w:sz w:val="28"/>
          <w:szCs w:val="28"/>
        </w:rPr>
      </w:pPr>
      <w:r w:rsidRPr="002A7AE8">
        <w:rPr>
          <w:rFonts w:cstheme="minorHAnsi"/>
          <w:sz w:val="28"/>
          <w:szCs w:val="28"/>
        </w:rPr>
        <w:lastRenderedPageBreak/>
        <w:t>4.</w:t>
      </w:r>
      <w:r w:rsidRPr="002A7AE8">
        <w:rPr>
          <w:rFonts w:cstheme="minorHAnsi"/>
          <w:sz w:val="28"/>
          <w:szCs w:val="28"/>
        </w:rPr>
        <w:tab/>
        <w:t>Section 24 — Term in posthumous works Bare act – Section 24, Copyright Act, 1957</w:t>
      </w:r>
    </w:p>
    <w:p w:rsidR="002A7AE8" w:rsidRPr="002A7AE8" w:rsidRDefault="002A7AE8" w:rsidP="002A7AE8">
      <w:pPr>
        <w:rPr>
          <w:rFonts w:cstheme="minorHAnsi"/>
          <w:sz w:val="28"/>
          <w:szCs w:val="28"/>
        </w:rPr>
      </w:pPr>
      <w:r w:rsidRPr="002A7AE8">
        <w:rPr>
          <w:rFonts w:cstheme="minorHAnsi"/>
          <w:sz w:val="28"/>
          <w:szCs w:val="28"/>
        </w:rPr>
        <w:t>In the case of a literary, dramatic or musical work or an engraving, in which copyright subsists at the date of the death of the author — but which has not been published before that date — copyright shall subsist until sixty years from the beginning of the calendar year next following the year in which the work is first published.</w:t>
      </w:r>
    </w:p>
    <w:p w:rsidR="002A7AE8" w:rsidRPr="002A7AE8" w:rsidRDefault="002A7AE8" w:rsidP="002A7AE8">
      <w:pPr>
        <w:rPr>
          <w:rFonts w:cstheme="minorHAnsi"/>
          <w:sz w:val="28"/>
          <w:szCs w:val="28"/>
        </w:rPr>
      </w:pPr>
      <w:r w:rsidRPr="002A7AE8">
        <w:rPr>
          <w:rFonts w:cstheme="minorHAnsi"/>
          <w:sz w:val="28"/>
          <w:szCs w:val="28"/>
        </w:rPr>
        <w:t>Section 24 deals with works that exist at the time of the author's death but have not been published. Once such a work is published posthumously, the sixty-year term runs from 1 January of the year following publication — not from the author's death. The rationale is that the purpose of copyright (enabling economic exploitation) can only begin when the work becomes available to the public. This provision incentivises publishers and heirs to bring unpublished works to the public.</w:t>
      </w: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Section 26 — Term in cinematograph films Bare act – Section 26, Copyright Act, 1957</w:t>
      </w:r>
    </w:p>
    <w:p w:rsidR="002A7AE8" w:rsidRPr="002A7AE8" w:rsidRDefault="002A7AE8" w:rsidP="002A7AE8">
      <w:pPr>
        <w:rPr>
          <w:rFonts w:cstheme="minorHAnsi"/>
          <w:sz w:val="28"/>
          <w:szCs w:val="28"/>
        </w:rPr>
      </w:pPr>
      <w:r w:rsidRPr="002A7AE8">
        <w:rPr>
          <w:rFonts w:cstheme="minorHAnsi"/>
          <w:sz w:val="28"/>
          <w:szCs w:val="28"/>
        </w:rPr>
        <w:t>In the case of a cinematograph film, copyright shall subsist until sixty years from the beginning of the calendar year next following the year in which the film is published.</w:t>
      </w:r>
    </w:p>
    <w:p w:rsidR="002A7AE8" w:rsidRPr="002A7AE8" w:rsidRDefault="002A7AE8" w:rsidP="002A7AE8">
      <w:pPr>
        <w:rPr>
          <w:rFonts w:cstheme="minorHAnsi"/>
          <w:sz w:val="28"/>
          <w:szCs w:val="28"/>
        </w:rPr>
      </w:pPr>
      <w:r w:rsidRPr="002A7AE8">
        <w:rPr>
          <w:rFonts w:cstheme="minorHAnsi"/>
          <w:sz w:val="28"/>
          <w:szCs w:val="28"/>
        </w:rPr>
        <w:t>For cinematograph films, the term runs from 1 January of the year following publication. The life-of-author standard does not apply because the "author" of a film under Indian law is the producer — a body corporate in most cases — and corporations do not have a natural lifespan. The sixty-year period from publication provides a commercially meaningful and administratively workable term for film copyright.</w:t>
      </w: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Section 27 — Term in sound recordings Bare act – Section 27, Copyright Act, 1957</w:t>
      </w:r>
    </w:p>
    <w:p w:rsidR="002A7AE8" w:rsidRPr="002A7AE8" w:rsidRDefault="002A7AE8" w:rsidP="002A7AE8">
      <w:pPr>
        <w:rPr>
          <w:rFonts w:cstheme="minorHAnsi"/>
          <w:sz w:val="28"/>
          <w:szCs w:val="28"/>
        </w:rPr>
      </w:pPr>
      <w:r w:rsidRPr="002A7AE8">
        <w:rPr>
          <w:rFonts w:cstheme="minorHAnsi"/>
          <w:sz w:val="28"/>
          <w:szCs w:val="28"/>
        </w:rPr>
        <w:t>In the case of a sound recording, copyright shall subsist until sixty years from the beginning of the calendar year next following the year in which the sound recording is published.</w:t>
      </w:r>
    </w:p>
    <w:p w:rsidR="002A7AE8" w:rsidRPr="002A7AE8" w:rsidRDefault="002A7AE8" w:rsidP="002A7AE8">
      <w:pPr>
        <w:rPr>
          <w:rFonts w:cstheme="minorHAnsi"/>
          <w:sz w:val="28"/>
          <w:szCs w:val="28"/>
        </w:rPr>
      </w:pPr>
      <w:r w:rsidRPr="002A7AE8">
        <w:rPr>
          <w:rFonts w:cstheme="minorHAnsi"/>
          <w:sz w:val="28"/>
          <w:szCs w:val="28"/>
        </w:rPr>
        <w:t xml:space="preserve">Sound recordings receive a sixty-year term from 1 January following publication, for the same reasons as cinematograph films — the author is the producer (typically a company). This term applies to the recording itself; the </w:t>
      </w:r>
      <w:r w:rsidRPr="002A7AE8">
        <w:rPr>
          <w:rFonts w:cstheme="minorHAnsi"/>
          <w:sz w:val="28"/>
          <w:szCs w:val="28"/>
        </w:rPr>
        <w:lastRenderedPageBreak/>
        <w:t>underlying musical or literary work may carry separate copyright with its own distinct term. Both terms operate independently.</w:t>
      </w: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Section 28 — Term in Government works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Bare act – Section 28, Copyright Act, 1957</w:t>
      </w:r>
    </w:p>
    <w:p w:rsidR="002A7AE8" w:rsidRPr="002A7AE8" w:rsidRDefault="002A7AE8" w:rsidP="002A7AE8">
      <w:pPr>
        <w:rPr>
          <w:rFonts w:cstheme="minorHAnsi"/>
          <w:sz w:val="28"/>
          <w:szCs w:val="28"/>
        </w:rPr>
      </w:pPr>
      <w:r w:rsidRPr="002A7AE8">
        <w:rPr>
          <w:rFonts w:cstheme="minorHAnsi"/>
          <w:sz w:val="28"/>
          <w:szCs w:val="28"/>
        </w:rPr>
        <w:t>In the case of Government work, where Government is the first owner of the copyright therein, copyright shall subsist until sixty years from the beginning of the calendar year next following the year in which the work is first published.</w:t>
      </w:r>
    </w:p>
    <w:p w:rsidR="002A7AE8" w:rsidRPr="002A7AE8" w:rsidRDefault="002A7AE8" w:rsidP="002A7AE8">
      <w:pPr>
        <w:rPr>
          <w:rFonts w:cstheme="minorHAnsi"/>
          <w:sz w:val="28"/>
          <w:szCs w:val="28"/>
        </w:rPr>
      </w:pPr>
      <w:r w:rsidRPr="002A7AE8">
        <w:rPr>
          <w:rFonts w:cstheme="minorHAnsi"/>
          <w:sz w:val="28"/>
          <w:szCs w:val="28"/>
        </w:rPr>
        <w:t>Where the Government is the first owner of copyright — typically for works created by or under the direction of government bodies or legislatures — the term is sixty years from publication. Government cannot have a "life" for Section 22 to apply, so publication is the reference point. After sixty years, government works enter the public domain and become freely usable.</w:t>
      </w: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Sections 28A and 29 — Public undertakings and international organisations</w:t>
      </w:r>
    </w:p>
    <w:p w:rsidR="002A7AE8" w:rsidRPr="002A7AE8" w:rsidRDefault="002A7AE8" w:rsidP="002A7AE8">
      <w:pPr>
        <w:rPr>
          <w:rFonts w:cstheme="minorHAnsi"/>
          <w:sz w:val="28"/>
          <w:szCs w:val="28"/>
        </w:rPr>
      </w:pPr>
      <w:r w:rsidRPr="002A7AE8">
        <w:rPr>
          <w:rFonts w:cstheme="minorHAnsi"/>
          <w:sz w:val="28"/>
          <w:szCs w:val="28"/>
        </w:rPr>
        <w:t>Section 28A extends the same sixty-years-from-publication term to works where a public undertaking (a government-owned or controlled company or statutory body) is the first copyright owner. Section 29 applies the same term to works of international organisations to which Section 41 of the Act applies. In both cases, since the first owner is a non-natural entity, publication-based calculation is used.</w:t>
      </w:r>
    </w:p>
    <w:p w:rsidR="002A7AE8" w:rsidRPr="002A7AE8" w:rsidRDefault="002A7AE8" w:rsidP="002A7AE8">
      <w:pPr>
        <w:rPr>
          <w:rFonts w:cstheme="minorHAnsi"/>
          <w:sz w:val="28"/>
          <w:szCs w:val="28"/>
        </w:rPr>
      </w:pPr>
      <w:r w:rsidRPr="002A7AE8">
        <w:rPr>
          <w:rFonts w:cstheme="minorHAnsi"/>
          <w:sz w:val="28"/>
          <w:szCs w:val="28"/>
        </w:rPr>
        <w:t>Summary table: Terms of copyright under the Copyright Act, 1957</w:t>
      </w:r>
    </w:p>
    <w:p w:rsidR="002A7AE8" w:rsidRPr="002A7AE8" w:rsidRDefault="002A7AE8" w:rsidP="002A7AE8">
      <w:pPr>
        <w:rPr>
          <w:rFonts w:cstheme="minorHAnsi"/>
          <w:sz w:val="28"/>
          <w:szCs w:val="28"/>
        </w:rPr>
      </w:pPr>
      <w:r w:rsidRPr="002A7AE8">
        <w:rPr>
          <w:rFonts w:cstheme="minorHAnsi"/>
          <w:sz w:val="28"/>
          <w:szCs w:val="28"/>
        </w:rPr>
        <w:t>Category of work</w:t>
      </w:r>
      <w:r w:rsidRPr="002A7AE8">
        <w:rPr>
          <w:rFonts w:cstheme="minorHAnsi"/>
          <w:sz w:val="28"/>
          <w:szCs w:val="28"/>
        </w:rPr>
        <w:tab/>
        <w:t>Relevant section</w:t>
      </w:r>
      <w:r w:rsidRPr="002A7AE8">
        <w:rPr>
          <w:rFonts w:cstheme="minorHAnsi"/>
          <w:sz w:val="28"/>
          <w:szCs w:val="28"/>
        </w:rPr>
        <w:tab/>
        <w:t>Term of protection</w:t>
      </w:r>
    </w:p>
    <w:p w:rsidR="002A7AE8" w:rsidRPr="002A7AE8" w:rsidRDefault="002A7AE8" w:rsidP="002A7AE8">
      <w:pPr>
        <w:rPr>
          <w:rFonts w:cstheme="minorHAnsi"/>
          <w:sz w:val="28"/>
          <w:szCs w:val="28"/>
        </w:rPr>
      </w:pPr>
      <w:r w:rsidRPr="002A7AE8">
        <w:rPr>
          <w:rFonts w:cstheme="minorHAnsi"/>
          <w:sz w:val="28"/>
          <w:szCs w:val="28"/>
        </w:rPr>
        <w:t>Published literary, dramatic, musical, artistic works</w:t>
      </w:r>
      <w:r w:rsidRPr="002A7AE8">
        <w:rPr>
          <w:rFonts w:cstheme="minorHAnsi"/>
          <w:sz w:val="28"/>
          <w:szCs w:val="28"/>
        </w:rPr>
        <w:tab/>
        <w:t>Section 22</w:t>
      </w:r>
      <w:r w:rsidRPr="002A7AE8">
        <w:rPr>
          <w:rFonts w:cstheme="minorHAnsi"/>
          <w:sz w:val="28"/>
          <w:szCs w:val="28"/>
        </w:rPr>
        <w:tab/>
        <w:t>Life of author + 60 years</w:t>
      </w:r>
    </w:p>
    <w:p w:rsidR="002A7AE8" w:rsidRPr="002A7AE8" w:rsidRDefault="002A7AE8" w:rsidP="002A7AE8">
      <w:pPr>
        <w:rPr>
          <w:rFonts w:cstheme="minorHAnsi"/>
          <w:sz w:val="28"/>
          <w:szCs w:val="28"/>
        </w:rPr>
      </w:pPr>
      <w:r w:rsidRPr="002A7AE8">
        <w:rPr>
          <w:rFonts w:cstheme="minorHAnsi"/>
          <w:sz w:val="28"/>
          <w:szCs w:val="28"/>
        </w:rPr>
        <w:t>Anonymous and pseudonymous works</w:t>
      </w:r>
      <w:r w:rsidRPr="002A7AE8">
        <w:rPr>
          <w:rFonts w:cstheme="minorHAnsi"/>
          <w:sz w:val="28"/>
          <w:szCs w:val="28"/>
        </w:rPr>
        <w:tab/>
        <w:t>Section 23</w:t>
      </w:r>
      <w:r w:rsidRPr="002A7AE8">
        <w:rPr>
          <w:rFonts w:cstheme="minorHAnsi"/>
          <w:sz w:val="28"/>
          <w:szCs w:val="28"/>
        </w:rPr>
        <w:tab/>
        <w:t>60 years from publication (or life + 60 years if identity revealed)</w:t>
      </w:r>
    </w:p>
    <w:p w:rsidR="002A7AE8" w:rsidRPr="002A7AE8" w:rsidRDefault="002A7AE8" w:rsidP="002A7AE8">
      <w:pPr>
        <w:rPr>
          <w:rFonts w:cstheme="minorHAnsi"/>
          <w:sz w:val="28"/>
          <w:szCs w:val="28"/>
        </w:rPr>
      </w:pPr>
      <w:r w:rsidRPr="002A7AE8">
        <w:rPr>
          <w:rFonts w:cstheme="minorHAnsi"/>
          <w:sz w:val="28"/>
          <w:szCs w:val="28"/>
        </w:rPr>
        <w:t>Posthumous works</w:t>
      </w:r>
      <w:r w:rsidRPr="002A7AE8">
        <w:rPr>
          <w:rFonts w:cstheme="minorHAnsi"/>
          <w:sz w:val="28"/>
          <w:szCs w:val="28"/>
        </w:rPr>
        <w:tab/>
        <w:t>Section 24</w:t>
      </w:r>
      <w:r w:rsidRPr="002A7AE8">
        <w:rPr>
          <w:rFonts w:cstheme="minorHAnsi"/>
          <w:sz w:val="28"/>
          <w:szCs w:val="28"/>
        </w:rPr>
        <w:tab/>
        <w:t>60 years from year of first publication</w:t>
      </w:r>
    </w:p>
    <w:p w:rsidR="002A7AE8" w:rsidRPr="002A7AE8" w:rsidRDefault="002A7AE8" w:rsidP="002A7AE8">
      <w:pPr>
        <w:rPr>
          <w:rFonts w:cstheme="minorHAnsi"/>
          <w:sz w:val="28"/>
          <w:szCs w:val="28"/>
        </w:rPr>
      </w:pPr>
      <w:r w:rsidRPr="002A7AE8">
        <w:rPr>
          <w:rFonts w:cstheme="minorHAnsi"/>
          <w:sz w:val="28"/>
          <w:szCs w:val="28"/>
        </w:rPr>
        <w:t>Cinematograph films</w:t>
      </w:r>
      <w:r w:rsidRPr="002A7AE8">
        <w:rPr>
          <w:rFonts w:cstheme="minorHAnsi"/>
          <w:sz w:val="28"/>
          <w:szCs w:val="28"/>
        </w:rPr>
        <w:tab/>
        <w:t>Section 26</w:t>
      </w:r>
      <w:r w:rsidRPr="002A7AE8">
        <w:rPr>
          <w:rFonts w:cstheme="minorHAnsi"/>
          <w:sz w:val="28"/>
          <w:szCs w:val="28"/>
        </w:rPr>
        <w:tab/>
        <w:t>60 years from year of publication</w:t>
      </w:r>
    </w:p>
    <w:p w:rsidR="002A7AE8" w:rsidRPr="002A7AE8" w:rsidRDefault="002A7AE8" w:rsidP="002A7AE8">
      <w:pPr>
        <w:rPr>
          <w:rFonts w:cstheme="minorHAnsi"/>
          <w:sz w:val="28"/>
          <w:szCs w:val="28"/>
        </w:rPr>
      </w:pPr>
      <w:r w:rsidRPr="002A7AE8">
        <w:rPr>
          <w:rFonts w:cstheme="minorHAnsi"/>
          <w:sz w:val="28"/>
          <w:szCs w:val="28"/>
        </w:rPr>
        <w:t>Sound recordings</w:t>
      </w:r>
      <w:r w:rsidRPr="002A7AE8">
        <w:rPr>
          <w:rFonts w:cstheme="minorHAnsi"/>
          <w:sz w:val="28"/>
          <w:szCs w:val="28"/>
        </w:rPr>
        <w:tab/>
        <w:t>Section 27</w:t>
      </w:r>
      <w:r w:rsidRPr="002A7AE8">
        <w:rPr>
          <w:rFonts w:cstheme="minorHAnsi"/>
          <w:sz w:val="28"/>
          <w:szCs w:val="28"/>
        </w:rPr>
        <w:tab/>
        <w:t>60 years from year of publication</w:t>
      </w:r>
    </w:p>
    <w:p w:rsidR="002A7AE8" w:rsidRPr="002A7AE8" w:rsidRDefault="002A7AE8" w:rsidP="002A7AE8">
      <w:pPr>
        <w:rPr>
          <w:rFonts w:cstheme="minorHAnsi"/>
          <w:sz w:val="28"/>
          <w:szCs w:val="28"/>
        </w:rPr>
      </w:pPr>
      <w:r w:rsidRPr="002A7AE8">
        <w:rPr>
          <w:rFonts w:cstheme="minorHAnsi"/>
          <w:sz w:val="28"/>
          <w:szCs w:val="28"/>
        </w:rPr>
        <w:t>Government works</w:t>
      </w:r>
      <w:r w:rsidRPr="002A7AE8">
        <w:rPr>
          <w:rFonts w:cstheme="minorHAnsi"/>
          <w:sz w:val="28"/>
          <w:szCs w:val="28"/>
        </w:rPr>
        <w:tab/>
        <w:t>Section 28</w:t>
      </w:r>
      <w:r w:rsidRPr="002A7AE8">
        <w:rPr>
          <w:rFonts w:cstheme="minorHAnsi"/>
          <w:sz w:val="28"/>
          <w:szCs w:val="28"/>
        </w:rPr>
        <w:tab/>
        <w:t>60 years from year of publication</w:t>
      </w:r>
    </w:p>
    <w:p w:rsidR="002A7AE8" w:rsidRPr="002A7AE8" w:rsidRDefault="002A7AE8" w:rsidP="002A7AE8">
      <w:pPr>
        <w:rPr>
          <w:rFonts w:cstheme="minorHAnsi"/>
          <w:sz w:val="28"/>
          <w:szCs w:val="28"/>
        </w:rPr>
      </w:pPr>
      <w:r w:rsidRPr="002A7AE8">
        <w:rPr>
          <w:rFonts w:cstheme="minorHAnsi"/>
          <w:sz w:val="28"/>
          <w:szCs w:val="28"/>
        </w:rPr>
        <w:lastRenderedPageBreak/>
        <w:t>Works of public undertakings</w:t>
      </w:r>
      <w:r w:rsidRPr="002A7AE8">
        <w:rPr>
          <w:rFonts w:cstheme="minorHAnsi"/>
          <w:sz w:val="28"/>
          <w:szCs w:val="28"/>
        </w:rPr>
        <w:tab/>
        <w:t>Section 28A</w:t>
      </w:r>
      <w:r w:rsidRPr="002A7AE8">
        <w:rPr>
          <w:rFonts w:cstheme="minorHAnsi"/>
          <w:sz w:val="28"/>
          <w:szCs w:val="28"/>
        </w:rPr>
        <w:tab/>
        <w:t>60 years from year of publication</w:t>
      </w:r>
    </w:p>
    <w:p w:rsidR="002A7AE8" w:rsidRPr="002A7AE8" w:rsidRDefault="002A7AE8" w:rsidP="002A7AE8">
      <w:pPr>
        <w:rPr>
          <w:rFonts w:cstheme="minorHAnsi"/>
          <w:sz w:val="28"/>
          <w:szCs w:val="28"/>
        </w:rPr>
      </w:pPr>
      <w:r w:rsidRPr="002A7AE8">
        <w:rPr>
          <w:rFonts w:cstheme="minorHAnsi"/>
          <w:sz w:val="28"/>
          <w:szCs w:val="28"/>
        </w:rPr>
        <w:t>Works of international organisations</w:t>
      </w:r>
      <w:r w:rsidRPr="002A7AE8">
        <w:rPr>
          <w:rFonts w:cstheme="minorHAnsi"/>
          <w:sz w:val="28"/>
          <w:szCs w:val="28"/>
        </w:rPr>
        <w:tab/>
        <w:t>Section 29</w:t>
      </w:r>
      <w:r w:rsidRPr="002A7AE8">
        <w:rPr>
          <w:rFonts w:cstheme="minorHAnsi"/>
          <w:sz w:val="28"/>
          <w:szCs w:val="28"/>
        </w:rPr>
        <w:tab/>
        <w:t>60 years from year of publication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term of copyright provisions in Chapter V reflect a carefully calibrated balance between private reward and public access. Literary, artistic, and other personal works are protected for the longest period — encompassing the author's productive lifetime and sixty years beyond — ensuring that authors and their families benefit from the work. For institutional works, films, and recordings, a fixed sixty-year period from publication provides certainty and commercial utility. Once these periods expire, works enrich the public domain, freely available for education, creativity, and culture.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2</w:t>
      </w:r>
    </w:p>
    <w:p w:rsidR="002A7AE8" w:rsidRPr="002A7AE8" w:rsidRDefault="002A7AE8" w:rsidP="002A7AE8">
      <w:pPr>
        <w:rPr>
          <w:rFonts w:cstheme="minorHAnsi"/>
          <w:sz w:val="28"/>
          <w:szCs w:val="28"/>
        </w:rPr>
      </w:pPr>
      <w:r w:rsidRPr="002A7AE8">
        <w:rPr>
          <w:rFonts w:cstheme="minorHAnsi"/>
          <w:sz w:val="28"/>
          <w:szCs w:val="28"/>
        </w:rPr>
        <w:t>Chapter 8: Assignment and transmission of copyright</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Copyright, like other forms of property, can be transferred from one person to another. The Copyright Act, 1957 provides two principal mechanisms for this. Assignment is the voluntary transfer of ownership rights by the copyright owner. Transmission is the transfer of copyright by operation of law — through inheritance, succession, or testamentary disposition. The relevant provisions are contained in Chapter IV of the Act: Sections 18 (assignment), 19 (mode of assignment), 19A (disputes), 20 (testamentary transmission), and 21 (relinquishment).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Assignment of copyright — Section 18 Bare act – Section 18(1), Copyright Act, 1957</w:t>
      </w:r>
    </w:p>
    <w:p w:rsidR="002A7AE8" w:rsidRPr="002A7AE8" w:rsidRDefault="002A7AE8" w:rsidP="002A7AE8">
      <w:pPr>
        <w:rPr>
          <w:rFonts w:cstheme="minorHAnsi"/>
          <w:sz w:val="28"/>
          <w:szCs w:val="28"/>
        </w:rPr>
      </w:pPr>
      <w:r w:rsidRPr="002A7AE8">
        <w:rPr>
          <w:rFonts w:cstheme="minorHAnsi"/>
          <w:sz w:val="28"/>
          <w:szCs w:val="28"/>
        </w:rPr>
        <w:t xml:space="preserve">The owner of the copyright in an existing work or the prospective owner of the copyright in a future work may assign to any person the copyright either wholly or partially and either generally or subject to limitations and either for the whole term of the copyright or any part thereof: Provided that in the case </w:t>
      </w:r>
      <w:r w:rsidRPr="002A7AE8">
        <w:rPr>
          <w:rFonts w:cstheme="minorHAnsi"/>
          <w:sz w:val="28"/>
          <w:szCs w:val="28"/>
        </w:rPr>
        <w:lastRenderedPageBreak/>
        <w:t>of the assignment of copyright in any future work, the assignment shall take effect only when the work comes into existence.</w:t>
      </w:r>
    </w:p>
    <w:p w:rsidR="002A7AE8" w:rsidRPr="002A7AE8" w:rsidRDefault="002A7AE8" w:rsidP="002A7AE8">
      <w:pPr>
        <w:rPr>
          <w:rFonts w:cstheme="minorHAnsi"/>
          <w:sz w:val="28"/>
          <w:szCs w:val="28"/>
        </w:rPr>
      </w:pPr>
      <w:r w:rsidRPr="002A7AE8">
        <w:rPr>
          <w:rFonts w:cstheme="minorHAnsi"/>
          <w:sz w:val="28"/>
          <w:szCs w:val="28"/>
        </w:rPr>
        <w:t>Section 18 is the source of the power to assign copyright in India. Four key points emerge. First, both existing and future works can be assigned. Second, assignment may be total (all rights transferred permanently) or partial (specific rights only, such as publishing rights or translation rights). Third, it can be unconditional or subject to limitations — for instance, limited to India for five years. Fourth, assignment of a future work becomes operative only when the work comes into existence. The 2012 Amendment added critical protections for authors of literary and musical works in films: they cannot waive their right to receive equal royalties, ensuring they share ongoing commercial returns even after assigning copyright.</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Mode of assignment — Section 19 Bare act – Section 19, Copyright Act, 1957</w:t>
      </w:r>
    </w:p>
    <w:p w:rsidR="002A7AE8" w:rsidRPr="002A7AE8" w:rsidRDefault="002A7AE8" w:rsidP="002A7AE8">
      <w:pPr>
        <w:rPr>
          <w:rFonts w:cstheme="minorHAnsi"/>
          <w:sz w:val="28"/>
          <w:szCs w:val="28"/>
        </w:rPr>
      </w:pPr>
      <w:r w:rsidRPr="002A7AE8">
        <w:rPr>
          <w:rFonts w:cstheme="minorHAnsi"/>
          <w:sz w:val="28"/>
          <w:szCs w:val="28"/>
        </w:rPr>
        <w:t>(1) No assignment of the copyright in any work shall be valid unless it is in writing signed by the assignor or by his duly authorised agent. (2) The assignment of copyright in any work shall identify such work, and shall specify the rights assigned and the duration and territorial extent of such assignment. (3) The assignment shall also specify the amount of royalty and any other consideration payable to the author or his legal heirs during the currency of the assignment and the assignment shall be subject to revision, extension or termination on terms mutually agreed. (4) Where the assignee does not exercise the rights assigned within a period of one year from the date of assignment, the assignment in respect of such rights shall be deemed to have lapsed unless otherwise specified. (5) If the period of assignment is not stated, it shall be deemed to be five years. (6) If the territorial extent is not specified, it shall be presumed to extend within India.</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Section 19 provides the formal requirements for a valid assignment and several protective defaults for authors. The writing requirement ensures there is clear evidence of what was agreed. Sub-sections (4) to (6) are defaults that operate in the absence of express terms: if an assignee acquires rights but does nothing with them for a year, those rights lapse; if no period is stated, the assignment is only for five years; if no territory is specified, it covers India only. These </w:t>
      </w:r>
      <w:r w:rsidRPr="002A7AE8">
        <w:rPr>
          <w:rFonts w:cstheme="minorHAnsi"/>
          <w:sz w:val="28"/>
          <w:szCs w:val="28"/>
        </w:rPr>
        <w:lastRenderedPageBreak/>
        <w:t>defaults prevent authors from inadvertently surrendering long-term or worldwide rights through vague agreements.</w:t>
      </w:r>
    </w:p>
    <w:p w:rsidR="002A7AE8" w:rsidRPr="002A7AE8" w:rsidRDefault="002A7AE8" w:rsidP="002A7AE8">
      <w:pPr>
        <w:rPr>
          <w:rFonts w:cstheme="minorHAnsi"/>
          <w:sz w:val="28"/>
          <w:szCs w:val="28"/>
        </w:rPr>
      </w:pPr>
      <w:r w:rsidRPr="002A7AE8">
        <w:rPr>
          <w:rFonts w:cstheme="minorHAnsi"/>
          <w:sz w:val="28"/>
          <w:szCs w:val="28"/>
        </w:rPr>
        <w:t>Comparison: Complete vs. partial assignment</w:t>
      </w:r>
    </w:p>
    <w:p w:rsidR="002A7AE8" w:rsidRPr="002A7AE8" w:rsidRDefault="002A7AE8" w:rsidP="002A7AE8">
      <w:pPr>
        <w:rPr>
          <w:rFonts w:cstheme="minorHAnsi"/>
          <w:sz w:val="28"/>
          <w:szCs w:val="28"/>
        </w:rPr>
      </w:pPr>
      <w:r w:rsidRPr="002A7AE8">
        <w:rPr>
          <w:rFonts w:cstheme="minorHAnsi"/>
          <w:sz w:val="28"/>
          <w:szCs w:val="28"/>
        </w:rPr>
        <w:t>Basis</w:t>
      </w:r>
      <w:r w:rsidRPr="002A7AE8">
        <w:rPr>
          <w:rFonts w:cstheme="minorHAnsi"/>
          <w:sz w:val="28"/>
          <w:szCs w:val="28"/>
        </w:rPr>
        <w:tab/>
        <w:t>Complete assignment</w:t>
      </w:r>
      <w:r w:rsidRPr="002A7AE8">
        <w:rPr>
          <w:rFonts w:cstheme="minorHAnsi"/>
          <w:sz w:val="28"/>
          <w:szCs w:val="28"/>
        </w:rPr>
        <w:tab/>
        <w:t>Partial assignment</w:t>
      </w:r>
    </w:p>
    <w:p w:rsidR="002A7AE8" w:rsidRPr="002A7AE8" w:rsidRDefault="002A7AE8" w:rsidP="002A7AE8">
      <w:pPr>
        <w:rPr>
          <w:rFonts w:cstheme="minorHAnsi"/>
          <w:sz w:val="28"/>
          <w:szCs w:val="28"/>
        </w:rPr>
      </w:pPr>
      <w:r w:rsidRPr="002A7AE8">
        <w:rPr>
          <w:rFonts w:cstheme="minorHAnsi"/>
          <w:sz w:val="28"/>
          <w:szCs w:val="28"/>
        </w:rPr>
        <w:t>Rights transferred</w:t>
      </w:r>
      <w:r w:rsidRPr="002A7AE8">
        <w:rPr>
          <w:rFonts w:cstheme="minorHAnsi"/>
          <w:sz w:val="28"/>
          <w:szCs w:val="28"/>
        </w:rPr>
        <w:tab/>
        <w:t>All copyright rights</w:t>
      </w:r>
      <w:r w:rsidRPr="002A7AE8">
        <w:rPr>
          <w:rFonts w:cstheme="minorHAnsi"/>
          <w:sz w:val="28"/>
          <w:szCs w:val="28"/>
        </w:rPr>
        <w:tab/>
        <w:t>Specific rights only</w:t>
      </w:r>
    </w:p>
    <w:p w:rsidR="002A7AE8" w:rsidRPr="002A7AE8" w:rsidRDefault="002A7AE8" w:rsidP="002A7AE8">
      <w:pPr>
        <w:rPr>
          <w:rFonts w:cstheme="minorHAnsi"/>
          <w:sz w:val="28"/>
          <w:szCs w:val="28"/>
        </w:rPr>
      </w:pPr>
      <w:r w:rsidRPr="002A7AE8">
        <w:rPr>
          <w:rFonts w:cstheme="minorHAnsi"/>
          <w:sz w:val="28"/>
          <w:szCs w:val="28"/>
        </w:rPr>
        <w:t>Duration</w:t>
      </w:r>
      <w:r w:rsidRPr="002A7AE8">
        <w:rPr>
          <w:rFonts w:cstheme="minorHAnsi"/>
          <w:sz w:val="28"/>
          <w:szCs w:val="28"/>
        </w:rPr>
        <w:tab/>
        <w:t>Entire term of copyright</w:t>
      </w:r>
      <w:r w:rsidRPr="002A7AE8">
        <w:rPr>
          <w:rFonts w:cstheme="minorHAnsi"/>
          <w:sz w:val="28"/>
          <w:szCs w:val="28"/>
        </w:rPr>
        <w:tab/>
        <w:t>Specified period only</w:t>
      </w:r>
    </w:p>
    <w:p w:rsidR="002A7AE8" w:rsidRPr="002A7AE8" w:rsidRDefault="002A7AE8" w:rsidP="002A7AE8">
      <w:pPr>
        <w:rPr>
          <w:rFonts w:cstheme="minorHAnsi"/>
          <w:sz w:val="28"/>
          <w:szCs w:val="28"/>
        </w:rPr>
      </w:pPr>
      <w:r w:rsidRPr="002A7AE8">
        <w:rPr>
          <w:rFonts w:cstheme="minorHAnsi"/>
          <w:sz w:val="28"/>
          <w:szCs w:val="28"/>
        </w:rPr>
        <w:t>Territory</w:t>
      </w:r>
      <w:r w:rsidRPr="002A7AE8">
        <w:rPr>
          <w:rFonts w:cstheme="minorHAnsi"/>
          <w:sz w:val="28"/>
          <w:szCs w:val="28"/>
        </w:rPr>
        <w:tab/>
        <w:t>Worldwide (unless restricted)</w:t>
      </w:r>
      <w:r w:rsidRPr="002A7AE8">
        <w:rPr>
          <w:rFonts w:cstheme="minorHAnsi"/>
          <w:sz w:val="28"/>
          <w:szCs w:val="28"/>
        </w:rPr>
        <w:tab/>
        <w:t>Specified territory</w:t>
      </w:r>
    </w:p>
    <w:p w:rsidR="002A7AE8" w:rsidRPr="002A7AE8" w:rsidRDefault="002A7AE8" w:rsidP="002A7AE8">
      <w:pPr>
        <w:rPr>
          <w:rFonts w:cstheme="minorHAnsi"/>
          <w:sz w:val="28"/>
          <w:szCs w:val="28"/>
        </w:rPr>
      </w:pPr>
      <w:r w:rsidRPr="002A7AE8">
        <w:rPr>
          <w:rFonts w:cstheme="minorHAnsi"/>
          <w:sz w:val="28"/>
          <w:szCs w:val="28"/>
        </w:rPr>
        <w:t>Result</w:t>
      </w:r>
      <w:r w:rsidRPr="002A7AE8">
        <w:rPr>
          <w:rFonts w:cstheme="minorHAnsi"/>
          <w:sz w:val="28"/>
          <w:szCs w:val="28"/>
        </w:rPr>
        <w:tab/>
        <w:t>Assignee becomes full owner</w:t>
      </w:r>
      <w:r w:rsidRPr="002A7AE8">
        <w:rPr>
          <w:rFonts w:cstheme="minorHAnsi"/>
          <w:sz w:val="28"/>
          <w:szCs w:val="28"/>
        </w:rPr>
        <w:tab/>
        <w:t>Assignor retains remaining rights</w:t>
      </w:r>
    </w:p>
    <w:p w:rsidR="002A7AE8" w:rsidRPr="002A7AE8" w:rsidRDefault="002A7AE8" w:rsidP="002A7AE8">
      <w:pPr>
        <w:rPr>
          <w:rFonts w:cstheme="minorHAnsi"/>
          <w:sz w:val="28"/>
          <w:szCs w:val="28"/>
        </w:rPr>
      </w:pPr>
      <w:r w:rsidRPr="002A7AE8">
        <w:rPr>
          <w:rFonts w:cstheme="minorHAnsi"/>
          <w:sz w:val="28"/>
          <w:szCs w:val="28"/>
        </w:rPr>
        <w:t>Example</w:t>
      </w:r>
      <w:r w:rsidRPr="002A7AE8">
        <w:rPr>
          <w:rFonts w:cstheme="minorHAnsi"/>
          <w:sz w:val="28"/>
          <w:szCs w:val="28"/>
        </w:rPr>
        <w:tab/>
        <w:t>Author transfers all rights to publisher permanently</w:t>
      </w:r>
      <w:r w:rsidRPr="002A7AE8">
        <w:rPr>
          <w:rFonts w:cstheme="minorHAnsi"/>
          <w:sz w:val="28"/>
          <w:szCs w:val="28"/>
        </w:rPr>
        <w:tab/>
        <w:t>Author grants film rights to producer for 10 years in India</w:t>
      </w: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Disputes with respect to assignment — Section 19A Bare act – Section 19A, Copyright Act, 1957</w:t>
      </w:r>
    </w:p>
    <w:p w:rsidR="002A7AE8" w:rsidRPr="002A7AE8" w:rsidRDefault="002A7AE8" w:rsidP="002A7AE8">
      <w:pPr>
        <w:rPr>
          <w:rFonts w:cstheme="minorHAnsi"/>
          <w:sz w:val="28"/>
          <w:szCs w:val="28"/>
        </w:rPr>
      </w:pPr>
      <w:r w:rsidRPr="002A7AE8">
        <w:rPr>
          <w:rFonts w:cstheme="minorHAnsi"/>
          <w:sz w:val="28"/>
          <w:szCs w:val="28"/>
        </w:rPr>
        <w:t>If an assignee fails to make sufficient exercise of the rights assigned to him, and such failure is not attributable to any act or omission of the assignor, then, the Appellate Board may, on receipt of a complaint from the assignor and after holding such inquiry as it may deem necessary, revoke such assignment. If any dispute arises with respect to the assignment of any copyright, the Appellate Board may pass such order as it may deem fit including an order for the recovery of any royalty payable. No order of revocation shall be made within a period of five years from the date of such assignment.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Section 19A is an important creator-protective provision. It prevents "copyright hoarding" — situations where an assignee acquires copyright but fails to actually publish, distribute, or exploit the work, leaving the author commercially stranded. If the assignee is responsible for this inactivity, the Appellate Board can revoke the assignment and return rights to the author. The five-year moratorium gives the assignee a reasonable period to commercialise the work before revocation can be sought.</w:t>
      </w: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Transmission of copyright — Section 20 Bare act – Section 20, Copyright Act, 1957</w:t>
      </w:r>
    </w:p>
    <w:p w:rsidR="002A7AE8" w:rsidRPr="002A7AE8" w:rsidRDefault="002A7AE8" w:rsidP="002A7AE8">
      <w:pPr>
        <w:rPr>
          <w:rFonts w:cstheme="minorHAnsi"/>
          <w:sz w:val="28"/>
          <w:szCs w:val="28"/>
        </w:rPr>
      </w:pPr>
      <w:r w:rsidRPr="002A7AE8">
        <w:rPr>
          <w:rFonts w:cstheme="minorHAnsi"/>
          <w:sz w:val="28"/>
          <w:szCs w:val="28"/>
        </w:rPr>
        <w:t xml:space="preserve">Where under a bequest a person is entitled to the manuscript of a literary, dramatic or musical work, or to an artistic work, and the work was not </w:t>
      </w:r>
      <w:r w:rsidRPr="002A7AE8">
        <w:rPr>
          <w:rFonts w:cstheme="minorHAnsi"/>
          <w:sz w:val="28"/>
          <w:szCs w:val="28"/>
        </w:rPr>
        <w:lastRenderedPageBreak/>
        <w:t>published before the death of the testator, the bequest shall, unless the contrary intention is indicated in the testator's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will or any codicil thereto, be construed as including the copyright in the work in so far as the testator was the owner of the copyright immediately before his death.</w:t>
      </w:r>
    </w:p>
    <w:p w:rsidR="002A7AE8" w:rsidRPr="002A7AE8" w:rsidRDefault="002A7AE8" w:rsidP="002A7AE8">
      <w:pPr>
        <w:rPr>
          <w:rFonts w:cstheme="minorHAnsi"/>
          <w:sz w:val="28"/>
          <w:szCs w:val="28"/>
        </w:rPr>
      </w:pPr>
      <w:r w:rsidRPr="002A7AE8">
        <w:rPr>
          <w:rFonts w:cstheme="minorHAnsi"/>
          <w:sz w:val="28"/>
          <w:szCs w:val="28"/>
        </w:rPr>
        <w:t>Section 20 addresses testamentary transmission of copyright. The general rule is that if a person bequeaths an unpublished manuscript or artwork under their will, the bequest is presumed to include the copyright unless the will expressly indicates a contrary intention. This prevents a practical anomaly: without this provision, a legatee who received a manuscript would have the physical object but no right to publish it, since copyright would pass separately to the heirs. Section 20 ensures the practical and commercial value of bequeathing creative works is preserved.</w:t>
      </w: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Right of author to relinquish copyright — Section 21 Bare act – Section 21(1), Copyright Act, 1957</w:t>
      </w:r>
    </w:p>
    <w:p w:rsidR="002A7AE8" w:rsidRPr="002A7AE8" w:rsidRDefault="002A7AE8" w:rsidP="002A7AE8">
      <w:pPr>
        <w:rPr>
          <w:rFonts w:cstheme="minorHAnsi"/>
          <w:sz w:val="28"/>
          <w:szCs w:val="28"/>
        </w:rPr>
      </w:pPr>
      <w:r w:rsidRPr="002A7AE8">
        <w:rPr>
          <w:rFonts w:cstheme="minorHAnsi"/>
          <w:sz w:val="28"/>
          <w:szCs w:val="28"/>
        </w:rPr>
        <w:t>The author of a work may relinquish all or any of the rights comprised in the copyright in the work by giving notice in the prescribed form to the Registrar of Copyrights or by way of public notice and thereupon such rights shall, subject to the provisions of sub-section (3), cease to exist from the date of the notice.</w:t>
      </w:r>
    </w:p>
    <w:p w:rsidR="002A7AE8" w:rsidRPr="002A7AE8" w:rsidRDefault="002A7AE8" w:rsidP="002A7AE8">
      <w:pPr>
        <w:rPr>
          <w:rFonts w:cstheme="minorHAnsi"/>
          <w:sz w:val="28"/>
          <w:szCs w:val="28"/>
        </w:rPr>
      </w:pPr>
      <w:r w:rsidRPr="002A7AE8">
        <w:rPr>
          <w:rFonts w:cstheme="minorHAnsi"/>
          <w:sz w:val="28"/>
          <w:szCs w:val="28"/>
        </w:rPr>
        <w:t>Section 21 allows an author to voluntarily release all or part of their copyright by giving formal notice to the Registrar of Copyrights or through a public notice. From the date of notice, those rights cease to exist — effectively placing the work in the public domain voluntarily. Crucially, existing third-party rights (such as a licence already granted to a publisher) are not retrospectively affected. The Registrar must publish the notice in the Official Gazette and on the Copyright Office website within fourteen days, ensuring transparent and searchable public notice of the relinquishment.</w:t>
      </w: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Conclusion</w:t>
      </w:r>
    </w:p>
    <w:p w:rsidR="002A7AE8" w:rsidRPr="002A7AE8" w:rsidRDefault="002A7AE8" w:rsidP="002A7AE8">
      <w:pPr>
        <w:rPr>
          <w:rFonts w:cstheme="minorHAnsi"/>
          <w:sz w:val="28"/>
          <w:szCs w:val="28"/>
        </w:rPr>
      </w:pPr>
      <w:r w:rsidRPr="002A7AE8">
        <w:rPr>
          <w:rFonts w:cstheme="minorHAnsi"/>
          <w:sz w:val="28"/>
          <w:szCs w:val="28"/>
        </w:rPr>
        <w:t xml:space="preserve">The provisions on assignment and transmission in the Copyright Act, 1957 create a framework that enables copyright to function as a commercially transactable asset while preserving essential protections for original creators. The formality requirements of Section 19, the default protections in favour of authors, the anti-hoarding remedy in Section 19A, and the relinquishment </w:t>
      </w:r>
      <w:r w:rsidRPr="002A7AE8">
        <w:rPr>
          <w:rFonts w:cstheme="minorHAnsi"/>
          <w:sz w:val="28"/>
          <w:szCs w:val="28"/>
        </w:rPr>
        <w:lastRenderedPageBreak/>
        <w:t>mechanism in Section 21 together ensure that the transfer of copyright rights is both commercially flexible and equitable to the authors who generate the underlying creative value.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2</w:t>
      </w:r>
    </w:p>
    <w:p w:rsidR="002A7AE8" w:rsidRPr="002A7AE8" w:rsidRDefault="002A7AE8" w:rsidP="002A7AE8">
      <w:pPr>
        <w:rPr>
          <w:rFonts w:cstheme="minorHAnsi"/>
          <w:sz w:val="28"/>
          <w:szCs w:val="28"/>
        </w:rPr>
      </w:pPr>
      <w:r w:rsidRPr="002A7AE8">
        <w:rPr>
          <w:rFonts w:cstheme="minorHAnsi"/>
          <w:sz w:val="28"/>
          <w:szCs w:val="28"/>
        </w:rPr>
        <w:t>Chapter 9: Copyright societies and recognition of international copyright</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Copyright societies</w:t>
      </w:r>
    </w:p>
    <w:p w:rsidR="002A7AE8" w:rsidRPr="002A7AE8" w:rsidRDefault="002A7AE8" w:rsidP="002A7AE8">
      <w:pPr>
        <w:rPr>
          <w:rFonts w:cstheme="minorHAnsi"/>
          <w:sz w:val="28"/>
          <w:szCs w:val="28"/>
        </w:rPr>
      </w:pPr>
      <w:r w:rsidRPr="002A7AE8">
        <w:rPr>
          <w:rFonts w:cstheme="minorHAnsi"/>
          <w:sz w:val="28"/>
          <w:szCs w:val="28"/>
        </w:rPr>
        <w:t>A copyright society is a registered collective organisation authorised to administer copyright on behalf of its members. The institution is governed by Sections 33 to 36A of the Copyright Act, 1957. These societies function as intermediaries between copyright owners and users — simplifying the licensing process and ensuring fair, timely remuneration for creators across the full range of users who exploit their works commercially.</w:t>
      </w:r>
    </w:p>
    <w:p w:rsidR="002A7AE8" w:rsidRPr="002A7AE8" w:rsidRDefault="002A7AE8" w:rsidP="002A7AE8">
      <w:pPr>
        <w:rPr>
          <w:rFonts w:cstheme="minorHAnsi"/>
          <w:sz w:val="28"/>
          <w:szCs w:val="28"/>
        </w:rPr>
      </w:pPr>
      <w:r w:rsidRPr="002A7AE8">
        <w:rPr>
          <w:rFonts w:cstheme="minorHAnsi"/>
          <w:sz w:val="28"/>
          <w:szCs w:val="28"/>
        </w:rPr>
        <w:t>Bare act – Section 33, Copyright Act, 1957</w:t>
      </w:r>
    </w:p>
    <w:p w:rsidR="002A7AE8" w:rsidRPr="002A7AE8" w:rsidRDefault="002A7AE8" w:rsidP="002A7AE8">
      <w:pPr>
        <w:rPr>
          <w:rFonts w:cstheme="minorHAnsi"/>
          <w:sz w:val="28"/>
          <w:szCs w:val="28"/>
        </w:rPr>
      </w:pPr>
      <w:r w:rsidRPr="002A7AE8">
        <w:rPr>
          <w:rFonts w:cstheme="minorHAnsi"/>
          <w:sz w:val="28"/>
          <w:szCs w:val="28"/>
        </w:rPr>
        <w:t>No person or association of persons shall, after coming into force of the Copyright (Amendment) Act, 1994, commence or carry on the business of issuing or granting licences in respect of any work in which copyright subsists or in respect of any other rights conferred by this Act except under or in accordance with the registration granted under this section. An owner of copyright shall, in his individual capacity, continue to have the right to grant licenses in respect of his own works consistent with his obligations as a member of the registered copyright society.</w:t>
      </w:r>
    </w:p>
    <w:p w:rsidR="002A7AE8" w:rsidRPr="002A7AE8" w:rsidRDefault="002A7AE8" w:rsidP="002A7AE8">
      <w:pPr>
        <w:rPr>
          <w:rFonts w:cstheme="minorHAnsi"/>
          <w:sz w:val="28"/>
          <w:szCs w:val="28"/>
        </w:rPr>
      </w:pPr>
      <w:r w:rsidRPr="002A7AE8">
        <w:rPr>
          <w:rFonts w:cstheme="minorHAnsi"/>
          <w:sz w:val="28"/>
          <w:szCs w:val="28"/>
        </w:rPr>
        <w:t>Section 33 creates the exclusive framework for collective licensing of copyright: only registered copyright societies may carry on the business of issuing licenses on behalf of multiple rights holders. Individual authors retain the right to licence their own works, but must do so consistently with their membership obligations. The 2012 Amendment strengthened this by requiring that the business of licensing literary, dramatic, musical, and artistic works incorporated in films or sound recordings be carried out only through duly registered copyright societies.</w:t>
      </w:r>
    </w:p>
    <w:p w:rsidR="002A7AE8" w:rsidRPr="002A7AE8" w:rsidRDefault="002A7AE8" w:rsidP="002A7AE8">
      <w:pPr>
        <w:rPr>
          <w:rFonts w:cstheme="minorHAnsi"/>
          <w:sz w:val="28"/>
          <w:szCs w:val="28"/>
        </w:rPr>
      </w:pPr>
      <w:r w:rsidRPr="002A7AE8">
        <w:rPr>
          <w:rFonts w:cstheme="minorHAnsi"/>
          <w:sz w:val="28"/>
          <w:szCs w:val="28"/>
        </w:rPr>
        <w:t>Functions of copyright societies</w:t>
      </w:r>
    </w:p>
    <w:p w:rsidR="002A7AE8" w:rsidRPr="002A7AE8" w:rsidRDefault="002A7AE8" w:rsidP="002A7AE8">
      <w:pPr>
        <w:rPr>
          <w:rFonts w:cstheme="minorHAnsi"/>
          <w:sz w:val="28"/>
          <w:szCs w:val="28"/>
        </w:rPr>
      </w:pPr>
      <w:r w:rsidRPr="002A7AE8">
        <w:rPr>
          <w:rFonts w:cstheme="minorHAnsi"/>
          <w:sz w:val="28"/>
          <w:szCs w:val="28"/>
        </w:rPr>
        <w:t xml:space="preserve">Copyright societies collect royalties from users — broadcasters, hotels, event organizers, streaming services — on behalf of their members; issue licenses for </w:t>
      </w:r>
      <w:r w:rsidRPr="002A7AE8">
        <w:rPr>
          <w:rFonts w:cstheme="minorHAnsi"/>
          <w:sz w:val="28"/>
          <w:szCs w:val="28"/>
        </w:rPr>
        <w:lastRenderedPageBreak/>
        <w:t>the use of copyrighted works; monitor use and take action against infringement; distribute collected royalties to rights holders after deducting administrative expenses; and represent the collective interests of members in legal and commercial matters.</w:t>
      </w:r>
    </w:p>
    <w:p w:rsidR="002A7AE8" w:rsidRPr="002A7AE8" w:rsidRDefault="002A7AE8" w:rsidP="002A7AE8">
      <w:pPr>
        <w:rPr>
          <w:rFonts w:cstheme="minorHAnsi"/>
          <w:sz w:val="28"/>
          <w:szCs w:val="28"/>
        </w:rPr>
      </w:pPr>
      <w:r w:rsidRPr="002A7AE8">
        <w:rPr>
          <w:rFonts w:cstheme="minorHAnsi"/>
          <w:sz w:val="28"/>
          <w:szCs w:val="28"/>
        </w:rPr>
        <w:t>Principal copyright societies in India</w:t>
      </w:r>
    </w:p>
    <w:p w:rsidR="002A7AE8" w:rsidRPr="002A7AE8" w:rsidRDefault="002A7AE8" w:rsidP="002A7AE8">
      <w:pPr>
        <w:rPr>
          <w:rFonts w:cstheme="minorHAnsi"/>
          <w:sz w:val="28"/>
          <w:szCs w:val="28"/>
        </w:rPr>
      </w:pPr>
      <w:r w:rsidRPr="002A7AE8">
        <w:rPr>
          <w:rFonts w:cstheme="minorHAnsi"/>
          <w:sz w:val="28"/>
          <w:szCs w:val="28"/>
        </w:rPr>
        <w:t>The Indian Performing Right Society Ltd. (IPRS) administers the rights of composers, lyricists, and music publishers. The Recorded Music Performance Ltd. (RMPL) administers rights in sound recordings. Both societies operate under the registration and oversight framework of the Act.</w:t>
      </w:r>
    </w:p>
    <w:p w:rsidR="002A7AE8" w:rsidRPr="002A7AE8" w:rsidRDefault="002A7AE8" w:rsidP="002A7AE8">
      <w:pPr>
        <w:rPr>
          <w:rFonts w:cstheme="minorHAnsi"/>
          <w:sz w:val="28"/>
          <w:szCs w:val="28"/>
        </w:rPr>
      </w:pPr>
      <w:r w:rsidRPr="002A7AE8">
        <w:rPr>
          <w:rFonts w:cstheme="minorHAnsi"/>
          <w:sz w:val="28"/>
          <w:szCs w:val="28"/>
        </w:rPr>
        <w:t>Bare act – Section 33A, Copyright Act, 1957</w:t>
      </w:r>
    </w:p>
    <w:p w:rsidR="002A7AE8" w:rsidRPr="002A7AE8" w:rsidRDefault="002A7AE8" w:rsidP="002A7AE8">
      <w:pPr>
        <w:rPr>
          <w:rFonts w:cstheme="minorHAnsi"/>
          <w:sz w:val="28"/>
          <w:szCs w:val="28"/>
        </w:rPr>
      </w:pPr>
      <w:r w:rsidRPr="002A7AE8">
        <w:rPr>
          <w:rFonts w:cstheme="minorHAnsi"/>
          <w:sz w:val="28"/>
          <w:szCs w:val="28"/>
        </w:rPr>
        <w:t>Every copyright society shall publish its tariff scheme in such manner as may be prescribed. Any person who is aggrieved by the tariff scheme may appeal to the Appellate Board and the Board may, if satisfied after holding such inquiry as it may consider necessary, make such orders as may be required to remove any unreasonable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element, anomaly or inconsistency therein.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33A requires copyright societies to publish their tariff schemes — the rates at which they offer licences — in a prescribed and transparent manner. This prevents societies from imposing arbitrary or unpublicised charges on users. An aggrieved user may challenge the tariff before the Appellate Board, which can require removal of unreasonable elements. The provision balances the collective bargaining strength of copyright societies with the legitimate interest of users in fair and predictable licensing rates.</w:t>
      </w:r>
    </w:p>
    <w:p w:rsidR="002A7AE8" w:rsidRPr="002A7AE8" w:rsidRDefault="002A7AE8" w:rsidP="002A7AE8">
      <w:pPr>
        <w:rPr>
          <w:rFonts w:cstheme="minorHAnsi"/>
          <w:sz w:val="28"/>
          <w:szCs w:val="28"/>
        </w:rPr>
      </w:pPr>
      <w:r w:rsidRPr="002A7AE8">
        <w:rPr>
          <w:rFonts w:cstheme="minorHAnsi"/>
          <w:sz w:val="28"/>
          <w:szCs w:val="28"/>
        </w:rPr>
        <w:t>Bare act – Section 35, Copyright Act, 1957</w:t>
      </w:r>
    </w:p>
    <w:p w:rsidR="002A7AE8" w:rsidRPr="002A7AE8" w:rsidRDefault="002A7AE8" w:rsidP="002A7AE8">
      <w:pPr>
        <w:rPr>
          <w:rFonts w:cstheme="minorHAnsi"/>
          <w:sz w:val="28"/>
          <w:szCs w:val="28"/>
        </w:rPr>
      </w:pPr>
      <w:r w:rsidRPr="002A7AE8">
        <w:rPr>
          <w:rFonts w:cstheme="minorHAnsi"/>
          <w:sz w:val="28"/>
          <w:szCs w:val="28"/>
        </w:rPr>
        <w:t xml:space="preserve">Every copyright society shall be subject to the collective control of the owners of rights under this Act whose rights it administers and shall obtain the approval of such owners for its procedures of collection and distribution of fees; obtain their approval for the utilisation of any amounts collected for any purpose other than distribution to owners; and provide to such owners regular, full and detailed information concerning all its activities in relation to </w:t>
      </w:r>
      <w:r w:rsidRPr="002A7AE8">
        <w:rPr>
          <w:rFonts w:cstheme="minorHAnsi"/>
          <w:sz w:val="28"/>
          <w:szCs w:val="28"/>
        </w:rPr>
        <w:lastRenderedPageBreak/>
        <w:t>the administration of their rights. All fees distributed shall, as far as may be, be distributed in proportion to the actual use of their works.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Section 35 places copyright societies under the democratic control of their members. The society must obtain member approval for collection and distribution procedures and for any use of collected fees other than distribution. Members must receive full information about the society's activities. Distribution must be proportionate to actual use — ensuring that the most-used works generate the most royalties. The 2012 Amendment strengthened governance by requiring equal representation of authors and owners on the governing body.</w:t>
      </w:r>
    </w:p>
    <w:p w:rsidR="002A7AE8" w:rsidRPr="002A7AE8" w:rsidRDefault="002A7AE8" w:rsidP="002A7AE8">
      <w:pPr>
        <w:rPr>
          <w:rFonts w:cstheme="minorHAnsi"/>
          <w:sz w:val="28"/>
          <w:szCs w:val="28"/>
        </w:rPr>
      </w:pPr>
      <w:r w:rsidRPr="002A7AE8">
        <w:rPr>
          <w:rFonts w:cstheme="minorHAnsi"/>
          <w:sz w:val="28"/>
          <w:szCs w:val="28"/>
        </w:rPr>
        <w:t>Importance of copyright societies</w:t>
      </w:r>
    </w:p>
    <w:p w:rsidR="002A7AE8" w:rsidRPr="002A7AE8" w:rsidRDefault="002A7AE8" w:rsidP="002A7AE8">
      <w:pPr>
        <w:rPr>
          <w:rFonts w:cstheme="minorHAnsi"/>
          <w:sz w:val="28"/>
          <w:szCs w:val="28"/>
        </w:rPr>
      </w:pPr>
      <w:r w:rsidRPr="002A7AE8">
        <w:rPr>
          <w:rFonts w:cstheme="minorHAnsi"/>
          <w:sz w:val="28"/>
          <w:szCs w:val="28"/>
        </w:rPr>
        <w:t>Copyright societies are indispensable to the practical functioning of copyright in the modern creative economy. No individual author can realistically monitor and license the use of their works by the millions of daily users — restaurants, hotels, radio stations, streaming platforms, and event organisers. Copyright societies provide the infrastructure for efficient, centralised licensing and enforcement, making it commercially viable for users to obtain licences and for creators to receive remuneration.</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Recognition of international copyright Bare act – Section 40, Copyright Act, 1957</w:t>
      </w:r>
    </w:p>
    <w:p w:rsidR="002A7AE8" w:rsidRPr="002A7AE8" w:rsidRDefault="002A7AE8" w:rsidP="002A7AE8">
      <w:pPr>
        <w:rPr>
          <w:rFonts w:cstheme="minorHAnsi"/>
          <w:sz w:val="28"/>
          <w:szCs w:val="28"/>
        </w:rPr>
      </w:pPr>
      <w:r w:rsidRPr="002A7AE8">
        <w:rPr>
          <w:rFonts w:cstheme="minorHAnsi"/>
          <w:sz w:val="28"/>
          <w:szCs w:val="28"/>
        </w:rPr>
        <w:t>The Central Government may, by order published in the Official Gazette, direct that all or any provisions of this Act shall apply to works first published in any territory outside India to which the order relates in like manner as if they were first published within India; to unpublished works the authors of which are subjects or citizens of a foreign country, in like manner as if the authors were citizens of India; and to any work of which the author was a citizen of a foreign country, in like manner as if the author was a citizen of India.</w:t>
      </w:r>
    </w:p>
    <w:p w:rsidR="002A7AE8" w:rsidRPr="002A7AE8" w:rsidRDefault="002A7AE8" w:rsidP="002A7AE8">
      <w:pPr>
        <w:rPr>
          <w:rFonts w:cstheme="minorHAnsi"/>
          <w:sz w:val="28"/>
          <w:szCs w:val="28"/>
        </w:rPr>
      </w:pPr>
      <w:r w:rsidRPr="002A7AE8">
        <w:rPr>
          <w:rFonts w:cstheme="minorHAnsi"/>
          <w:sz w:val="28"/>
          <w:szCs w:val="28"/>
        </w:rPr>
        <w:t>Section 40 is the mechanism by which India extends copyright protection to foreign works on the basis of reciprocity. The Central Government issues International Copyright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Orders designating countries whose works will receive Indian copyright protection.</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Before making such an order, the Government must be satisfied that the foreign country provides adequate protection to Indian works. This reciprocal framework implements India's obligations under the Berne Convention and TRIPS Agreement, promotes the global exchange of creative works, and ensures Indian authors receive equivalent protection abroad.</w:t>
      </w:r>
    </w:p>
    <w:p w:rsidR="002A7AE8" w:rsidRPr="002A7AE8" w:rsidRDefault="002A7AE8" w:rsidP="002A7AE8">
      <w:pPr>
        <w:rPr>
          <w:rFonts w:cstheme="minorHAnsi"/>
          <w:sz w:val="28"/>
          <w:szCs w:val="28"/>
        </w:rPr>
      </w:pPr>
      <w:r w:rsidRPr="002A7AE8">
        <w:rPr>
          <w:rFonts w:cstheme="minorHAnsi"/>
          <w:sz w:val="28"/>
          <w:szCs w:val="28"/>
        </w:rPr>
        <w:t>In exercise of this power, India has issued the International Copyright Order, 1999, extending protection to works of countries that are members of the Berne Convention and the Universal Copyright Convention. This ensures that foreign authors — from practically every major nation — enjoy copyright protection in India equivalent to that enjoyed by Indian authors, and vice versa.</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Economic and moral rights — overview</w:t>
      </w:r>
    </w:p>
    <w:p w:rsidR="002A7AE8" w:rsidRPr="002A7AE8" w:rsidRDefault="002A7AE8" w:rsidP="002A7AE8">
      <w:pPr>
        <w:rPr>
          <w:rFonts w:cstheme="minorHAnsi"/>
          <w:sz w:val="28"/>
          <w:szCs w:val="28"/>
        </w:rPr>
      </w:pPr>
      <w:r w:rsidRPr="002A7AE8">
        <w:rPr>
          <w:rFonts w:cstheme="minorHAnsi"/>
          <w:sz w:val="28"/>
          <w:szCs w:val="28"/>
        </w:rPr>
        <w:t>Economic rights under Section 14 allow the copyright owner to financially exploit the protected work — through reproduction, distribution, communication to the public, adaptation, translation, and commercial rental. These rights are the commercial backbone of copyright, enabling creators to earn royalties, licensing fees, and sale proceeds. Moral rights under Section 57 protect the author's personal and reputational connection to the work: the right of attribution (to be identified as author) and the right of integrity (to object to distortions prejudicial to honor or reputation). Moral rights are personal to the author, persist after assignment of economic rights, and may be exercised by the author's legal representatives after death.</w:t>
      </w: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Exceptions to copyright — Section 52 (fair dealing) Bare act – Section 52(1)(a), Copyright Act, 1957</w:t>
      </w:r>
    </w:p>
    <w:p w:rsidR="002A7AE8" w:rsidRPr="002A7AE8" w:rsidRDefault="002A7AE8" w:rsidP="002A7AE8">
      <w:pPr>
        <w:rPr>
          <w:rFonts w:cstheme="minorHAnsi"/>
          <w:sz w:val="28"/>
          <w:szCs w:val="28"/>
        </w:rPr>
      </w:pPr>
      <w:r w:rsidRPr="002A7AE8">
        <w:rPr>
          <w:rFonts w:cstheme="minorHAnsi"/>
          <w:sz w:val="28"/>
          <w:szCs w:val="28"/>
        </w:rPr>
        <w:t>A fair dealing with any work, not being a computer program, for the purpose of — (i) private or personal use, including research; (ii) criticism or review, whether of that work or of any other work; (iii) the reporting of current events and current affairs, including the reporting of a lecture delivered in public — shall not constitute infringement of copyright.</w:t>
      </w:r>
    </w:p>
    <w:p w:rsidR="002A7AE8" w:rsidRPr="002A7AE8" w:rsidRDefault="002A7AE8" w:rsidP="002A7AE8">
      <w:pPr>
        <w:rPr>
          <w:rFonts w:cstheme="minorHAnsi"/>
          <w:sz w:val="28"/>
          <w:szCs w:val="28"/>
        </w:rPr>
      </w:pPr>
      <w:r w:rsidRPr="002A7AE8">
        <w:rPr>
          <w:rFonts w:cstheme="minorHAnsi"/>
          <w:sz w:val="28"/>
          <w:szCs w:val="28"/>
        </w:rPr>
        <w:t xml:space="preserve">Section 52(1)(a) codifies the principal "fair dealing" exception in Indian copyright law — analogous to "fair use" in American law. Three purposes qualify: private or personal use (including personal research), criticism and review, and reporting of current events. The explanation added by the 2012 </w:t>
      </w:r>
      <w:r w:rsidRPr="002A7AE8">
        <w:rPr>
          <w:rFonts w:cstheme="minorHAnsi"/>
          <w:sz w:val="28"/>
          <w:szCs w:val="28"/>
        </w:rPr>
        <w:lastRenderedPageBreak/>
        <w:t>Amendment confirms that electronic storage for these purposes — including incidental storage of a computer program that is not itself an infringing copy — does not constitute infringement. Fair dealing is the primary mechanism by which copyright accommodates freedom of expression, research, and public access to information.</w:t>
      </w:r>
    </w:p>
    <w:p w:rsidR="002A7AE8" w:rsidRPr="002A7AE8" w:rsidRDefault="002A7AE8" w:rsidP="002A7AE8">
      <w:pPr>
        <w:rPr>
          <w:rFonts w:cstheme="minorHAnsi"/>
          <w:sz w:val="28"/>
          <w:szCs w:val="28"/>
        </w:rPr>
      </w:pPr>
      <w:r w:rsidRPr="002A7AE8">
        <w:rPr>
          <w:rFonts w:cstheme="minorHAnsi"/>
          <w:sz w:val="28"/>
          <w:szCs w:val="28"/>
        </w:rPr>
        <w:t>Additional statutory exceptions include reproduction for judicial proceedings; use by libraries and educational institutions; temporary electronic reproduction incidental to a lawful electronic use; use for the benefit of persons with disabilities; and Government use for specified public purposes. These exceptions are broadly consistent with the three-step test under Article 13 of the TRIPS Agreement.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Copyright societies and international copyright recognition together address the practical and territorial challenges of copyright enforcement in a connected world. Copyright societies make mass licensing commercially feasible; international recognition extends protection across borders. Combined with the economic and moral rights framework and the carefully delineated exceptions in Section 52, these provisions ensure that the Copyright Act, 1957 functions as a balanced, modern, and internationally integrated system of creative protection.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2</w:t>
      </w:r>
    </w:p>
    <w:p w:rsidR="002A7AE8" w:rsidRPr="002A7AE8" w:rsidRDefault="002A7AE8" w:rsidP="002A7AE8">
      <w:pPr>
        <w:rPr>
          <w:rFonts w:cstheme="minorHAnsi"/>
          <w:sz w:val="28"/>
          <w:szCs w:val="28"/>
        </w:rPr>
      </w:pPr>
      <w:r w:rsidRPr="002A7AE8">
        <w:rPr>
          <w:rFonts w:cstheme="minorHAnsi"/>
          <w:sz w:val="28"/>
          <w:szCs w:val="28"/>
        </w:rPr>
        <w:t>Chapter 10: Economic and moral rights conferred by copyright</w:t>
      </w:r>
    </w:p>
    <w:p w:rsidR="002A7AE8" w:rsidRPr="002A7AE8" w:rsidRDefault="002A7AE8" w:rsidP="002A7AE8">
      <w:pPr>
        <w:rPr>
          <w:rFonts w:cstheme="minorHAnsi"/>
          <w:sz w:val="28"/>
          <w:szCs w:val="28"/>
        </w:rPr>
      </w:pPr>
      <w:r w:rsidRPr="002A7AE8">
        <w:rPr>
          <w:rFonts w:cstheme="minorHAnsi"/>
          <w:sz w:val="28"/>
          <w:szCs w:val="28"/>
        </w:rPr>
        <w:t>Introduction</w:t>
      </w:r>
    </w:p>
    <w:p w:rsidR="002A7AE8" w:rsidRPr="002A7AE8" w:rsidRDefault="002A7AE8" w:rsidP="002A7AE8">
      <w:pPr>
        <w:rPr>
          <w:rFonts w:cstheme="minorHAnsi"/>
          <w:sz w:val="28"/>
          <w:szCs w:val="28"/>
        </w:rPr>
      </w:pPr>
      <w:r w:rsidRPr="002A7AE8">
        <w:rPr>
          <w:rFonts w:cstheme="minorHAnsi"/>
          <w:sz w:val="28"/>
          <w:szCs w:val="28"/>
        </w:rPr>
        <w:t>The rights conferred by copyright fall into two distinct categories: economic rights and moral rights. Economic rights enable the copyright owner to commercially exploit the protected work and control how third parties use it. Moral rights protect the author's personal and reputational connection to the work, recognizing that a creative work is an expression of the author's identity and not merely a commercial commodity. Both sets of rights coexist in Indian copyright law, though they operate differently and cannot be extinguished in the same way.</w:t>
      </w:r>
    </w:p>
    <w:p w:rsidR="002A7AE8" w:rsidRPr="002A7AE8" w:rsidRDefault="002A7AE8" w:rsidP="002A7AE8">
      <w:pPr>
        <w:rPr>
          <w:rFonts w:cstheme="minorHAnsi"/>
          <w:sz w:val="28"/>
          <w:szCs w:val="28"/>
        </w:rPr>
      </w:pPr>
      <w:r w:rsidRPr="002A7AE8">
        <w:rPr>
          <w:rFonts w:cstheme="minorHAnsi"/>
          <w:sz w:val="28"/>
          <w:szCs w:val="28"/>
        </w:rPr>
        <w:lastRenderedPageBreak/>
        <w:t>A.</w:t>
      </w:r>
      <w:r w:rsidRPr="002A7AE8">
        <w:rPr>
          <w:rFonts w:cstheme="minorHAnsi"/>
          <w:sz w:val="28"/>
          <w:szCs w:val="28"/>
        </w:rPr>
        <w:tab/>
        <w:t>Economic rights — Section 14</w:t>
      </w:r>
    </w:p>
    <w:p w:rsidR="002A7AE8" w:rsidRPr="002A7AE8" w:rsidRDefault="002A7AE8" w:rsidP="002A7AE8">
      <w:pPr>
        <w:rPr>
          <w:rFonts w:cstheme="minorHAnsi"/>
          <w:sz w:val="28"/>
          <w:szCs w:val="28"/>
        </w:rPr>
      </w:pPr>
      <w:r w:rsidRPr="002A7AE8">
        <w:rPr>
          <w:rFonts w:cstheme="minorHAnsi"/>
          <w:sz w:val="28"/>
          <w:szCs w:val="28"/>
        </w:rPr>
        <w:t>Bare act – Section 14, Copyright Act, 1957</w:t>
      </w:r>
    </w:p>
    <w:p w:rsidR="002A7AE8" w:rsidRPr="002A7AE8" w:rsidRDefault="002A7AE8" w:rsidP="002A7AE8">
      <w:pPr>
        <w:rPr>
          <w:rFonts w:cstheme="minorHAnsi"/>
          <w:sz w:val="28"/>
          <w:szCs w:val="28"/>
        </w:rPr>
      </w:pPr>
      <w:r w:rsidRPr="002A7AE8">
        <w:rPr>
          <w:rFonts w:cstheme="minorHAnsi"/>
          <w:sz w:val="28"/>
          <w:szCs w:val="28"/>
        </w:rPr>
        <w:t>For the purposes of this Act, 'copyright' means the exclusive right subject to the provisions of this Act, to do or authorize the doing of any of the following acts in respect of a work or any substantial part thereof: (a) in the case of a literary, dramatic or musical work — to reproduce; to issue copies to the public; to perform or communicate to the public; to make cinematograph films or sound recordings; to make translations; to make adaptations; (b) in case of a computer program: above acts plus right to sell or give on commercial rental; (c) artistic works: to reproduce in any material form including storing in any medium; (d) cinematograph film: to copy, sell on commercial rental, or communicate to the public; (e) sound recording: to make another sound recording embodying it, sell on commercial rental, or communicate to the public.</w:t>
      </w:r>
    </w:p>
    <w:p w:rsidR="002A7AE8" w:rsidRPr="002A7AE8" w:rsidRDefault="002A7AE8" w:rsidP="002A7AE8">
      <w:pPr>
        <w:rPr>
          <w:rFonts w:cstheme="minorHAnsi"/>
          <w:sz w:val="28"/>
          <w:szCs w:val="28"/>
        </w:rPr>
      </w:pPr>
      <w:r w:rsidRPr="002A7AE8">
        <w:rPr>
          <w:rFonts w:cstheme="minorHAnsi"/>
          <w:sz w:val="28"/>
          <w:szCs w:val="28"/>
        </w:rPr>
        <w:t>Section 14 defines copyright as a bundle of specific, exclusive economic rights rather than a single blanket entitlement. Each category of work has a tailored set of rights reflecting the nature of how that type of work is commercially exploited. "Exclusive" means the owner alone may exercise these rights or authorize others to do so — any unauthorized exercise constitutes infringement. "Any substantial part" ensures that copying only a portion of a work can still constitute infringement if it is qualitatively significant. The "first sale doctrine" embedded in the Explanation to Section 14 means that once a copy is sold, the distribution right in that specific copy is exhausted.</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Reproduction right</w:t>
      </w:r>
    </w:p>
    <w:p w:rsidR="002A7AE8" w:rsidRPr="002A7AE8" w:rsidRDefault="002A7AE8" w:rsidP="002A7AE8">
      <w:pPr>
        <w:rPr>
          <w:rFonts w:cstheme="minorHAnsi"/>
          <w:sz w:val="28"/>
          <w:szCs w:val="28"/>
        </w:rPr>
      </w:pPr>
      <w:r w:rsidRPr="002A7AE8">
        <w:rPr>
          <w:rFonts w:cstheme="minorHAnsi"/>
          <w:sz w:val="28"/>
          <w:szCs w:val="28"/>
        </w:rPr>
        <w:t>The most fundamental of all economic rights is the right to reproduce — to make copies of the work in any material form, including electronic storage. This is the right most commonly infringed through photocopying, digital piracy, and unauthorized file sharing. The right extends to storing the work in any medium, including on hard drives, cloud servers, and other digital platforms.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Distribution right</w:t>
      </w:r>
    </w:p>
    <w:p w:rsidR="002A7AE8" w:rsidRPr="002A7AE8" w:rsidRDefault="002A7AE8" w:rsidP="002A7AE8">
      <w:pPr>
        <w:rPr>
          <w:rFonts w:cstheme="minorHAnsi"/>
          <w:sz w:val="28"/>
          <w:szCs w:val="28"/>
        </w:rPr>
      </w:pPr>
      <w:r w:rsidRPr="002A7AE8">
        <w:rPr>
          <w:rFonts w:cstheme="minorHAnsi"/>
          <w:sz w:val="28"/>
          <w:szCs w:val="28"/>
        </w:rPr>
        <w:t>The distribution right allows the copyright owner to control the issuance of copies of the work to the public by sale or other means of transfer. Once a specific copy has been sold with the owner's authorization, the distribution right in that copy is exhausted (the first</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sale doctrine under the Explanation to Section 14), meaning the buyer may resell it without infringing copyright.</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Public performance and communication right</w:t>
      </w:r>
    </w:p>
    <w:p w:rsidR="002A7AE8" w:rsidRPr="002A7AE8" w:rsidRDefault="002A7AE8" w:rsidP="002A7AE8">
      <w:pPr>
        <w:rPr>
          <w:rFonts w:cstheme="minorHAnsi"/>
          <w:sz w:val="28"/>
          <w:szCs w:val="28"/>
        </w:rPr>
      </w:pPr>
      <w:r w:rsidRPr="002A7AE8">
        <w:rPr>
          <w:rFonts w:cstheme="minorHAnsi"/>
          <w:sz w:val="28"/>
          <w:szCs w:val="28"/>
        </w:rPr>
        <w:t>The owner has the right to perform the work in public and to communicate it to the public through any means — broadcasting, streaming, or any other form of digital transmission. This right is central to the music, film, and broadcasting industries, where works are routinely performed or transmitted to large audiences.</w:t>
      </w: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Adaptation right</w:t>
      </w:r>
    </w:p>
    <w:p w:rsidR="002A7AE8" w:rsidRPr="002A7AE8" w:rsidRDefault="002A7AE8" w:rsidP="002A7AE8">
      <w:pPr>
        <w:rPr>
          <w:rFonts w:cstheme="minorHAnsi"/>
          <w:sz w:val="28"/>
          <w:szCs w:val="28"/>
        </w:rPr>
      </w:pPr>
      <w:r w:rsidRPr="002A7AE8">
        <w:rPr>
          <w:rFonts w:cstheme="minorHAnsi"/>
          <w:sz w:val="28"/>
          <w:szCs w:val="28"/>
        </w:rPr>
        <w:t>The adaptation right allows the copyright owner to authorize or prohibit the conversion of the work into another form — for example, turning a novel into a film screenplay, converting a dramatic work into a non-dramatic work, or making an abridgement.</w:t>
      </w:r>
    </w:p>
    <w:p w:rsidR="002A7AE8" w:rsidRPr="002A7AE8" w:rsidRDefault="002A7AE8" w:rsidP="002A7AE8">
      <w:pPr>
        <w:rPr>
          <w:rFonts w:cstheme="minorHAnsi"/>
          <w:sz w:val="28"/>
          <w:szCs w:val="28"/>
        </w:rPr>
      </w:pPr>
      <w:r w:rsidRPr="002A7AE8">
        <w:rPr>
          <w:rFonts w:cstheme="minorHAnsi"/>
          <w:sz w:val="28"/>
          <w:szCs w:val="28"/>
        </w:rPr>
        <w:t>Adaptations that are not authorized by the copyright owner constitute infringement.</w:t>
      </w: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Translation right</w:t>
      </w:r>
    </w:p>
    <w:p w:rsidR="002A7AE8" w:rsidRPr="002A7AE8" w:rsidRDefault="002A7AE8" w:rsidP="002A7AE8">
      <w:pPr>
        <w:rPr>
          <w:rFonts w:cstheme="minorHAnsi"/>
          <w:sz w:val="28"/>
          <w:szCs w:val="28"/>
        </w:rPr>
      </w:pPr>
      <w:r w:rsidRPr="002A7AE8">
        <w:rPr>
          <w:rFonts w:cstheme="minorHAnsi"/>
          <w:sz w:val="28"/>
          <w:szCs w:val="28"/>
        </w:rPr>
        <w:t>The copyright owner holds the exclusive right to authorize or prohibit the translation of the work into other languages. This right is commercially valuable for literary and educational works with international markets. The Copyright Act also provides for compulsory licence for translation in certain circumstances under Sections 32 and 32A.</w:t>
      </w: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Commercial rental right</w:t>
      </w:r>
    </w:p>
    <w:p w:rsidR="002A7AE8" w:rsidRPr="002A7AE8" w:rsidRDefault="002A7AE8" w:rsidP="002A7AE8">
      <w:pPr>
        <w:rPr>
          <w:rFonts w:cstheme="minorHAnsi"/>
          <w:sz w:val="28"/>
          <w:szCs w:val="28"/>
        </w:rPr>
      </w:pPr>
      <w:r w:rsidRPr="002A7AE8">
        <w:rPr>
          <w:rFonts w:cstheme="minorHAnsi"/>
          <w:sz w:val="28"/>
          <w:szCs w:val="28"/>
        </w:rPr>
        <w:t>Applicable particularly to computer programs and cinematograph films, the commercial rental right allows the copyright owner to authorize or prohibit the commercial rental of copies to the public. This right was introduced to address the commercial rental market, which was allowing users to exploit works commercially without contributing to the copyright owner's revenue stream.</w:t>
      </w: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Filmmaking and sound recording right</w:t>
      </w:r>
    </w:p>
    <w:p w:rsidR="002A7AE8" w:rsidRPr="002A7AE8" w:rsidRDefault="002A7AE8" w:rsidP="002A7AE8">
      <w:pPr>
        <w:rPr>
          <w:rFonts w:cstheme="minorHAnsi"/>
          <w:sz w:val="28"/>
          <w:szCs w:val="28"/>
        </w:rPr>
      </w:pPr>
      <w:r w:rsidRPr="002A7AE8">
        <w:rPr>
          <w:rFonts w:cstheme="minorHAnsi"/>
          <w:sz w:val="28"/>
          <w:szCs w:val="28"/>
        </w:rPr>
        <w:t xml:space="preserve">In respect of literary, dramatic, and musical works, the copyright owner has the right to make any cinematograph film or sound recording based on the work. A </w:t>
      </w:r>
      <w:r w:rsidRPr="002A7AE8">
        <w:rPr>
          <w:rFonts w:cstheme="minorHAnsi"/>
          <w:sz w:val="28"/>
          <w:szCs w:val="28"/>
        </w:rPr>
        <w:lastRenderedPageBreak/>
        <w:t>film producer or music label that wishes to adapt a literary work into a film or record a musical composition must obtain this right from the copyright owner.</w:t>
      </w:r>
    </w:p>
    <w:p w:rsidR="002A7AE8" w:rsidRPr="002A7AE8" w:rsidRDefault="002A7AE8" w:rsidP="002A7AE8">
      <w:pPr>
        <w:rPr>
          <w:rFonts w:cstheme="minorHAnsi"/>
          <w:sz w:val="28"/>
          <w:szCs w:val="28"/>
        </w:rPr>
      </w:pPr>
      <w:r w:rsidRPr="002A7AE8">
        <w:rPr>
          <w:rFonts w:cstheme="minorHAnsi"/>
          <w:sz w:val="28"/>
          <w:szCs w:val="28"/>
        </w:rPr>
        <w:t>Importance of economic rights</w:t>
      </w:r>
    </w:p>
    <w:p w:rsidR="002A7AE8" w:rsidRPr="002A7AE8" w:rsidRDefault="002A7AE8" w:rsidP="002A7AE8">
      <w:pPr>
        <w:rPr>
          <w:rFonts w:cstheme="minorHAnsi"/>
          <w:sz w:val="28"/>
          <w:szCs w:val="28"/>
        </w:rPr>
      </w:pPr>
      <w:r w:rsidRPr="002A7AE8">
        <w:rPr>
          <w:rFonts w:cstheme="minorHAnsi"/>
          <w:sz w:val="28"/>
          <w:szCs w:val="28"/>
        </w:rPr>
        <w:t>Economic rights are the financial engine of copyright. They enable creators to earn royalties, licensing fees, and sale proceeds from their works. They provide the financial incentive that sustains creative activity and investment in the knowledge and cultural industries. Without economic rights, the commercial framework supporting authors, publishers, filmmakers, and the creative economy would collapse.</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Moral rights — Section 57</w:t>
      </w:r>
    </w:p>
    <w:p w:rsidR="002A7AE8" w:rsidRPr="002A7AE8" w:rsidRDefault="002A7AE8" w:rsidP="002A7AE8">
      <w:pPr>
        <w:rPr>
          <w:rFonts w:cstheme="minorHAnsi"/>
          <w:sz w:val="28"/>
          <w:szCs w:val="28"/>
        </w:rPr>
      </w:pPr>
      <w:r w:rsidRPr="002A7AE8">
        <w:rPr>
          <w:rFonts w:cstheme="minorHAnsi"/>
          <w:sz w:val="28"/>
          <w:szCs w:val="28"/>
        </w:rPr>
        <w:t>Bare act – Section 57(1), Copyright Act, 1957</w:t>
      </w:r>
    </w:p>
    <w:p w:rsidR="002A7AE8" w:rsidRPr="002A7AE8" w:rsidRDefault="002A7AE8" w:rsidP="002A7AE8">
      <w:pPr>
        <w:rPr>
          <w:rFonts w:cstheme="minorHAnsi"/>
          <w:sz w:val="28"/>
          <w:szCs w:val="28"/>
        </w:rPr>
      </w:pPr>
      <w:r w:rsidRPr="002A7AE8">
        <w:rPr>
          <w:rFonts w:cstheme="minorHAnsi"/>
          <w:sz w:val="28"/>
          <w:szCs w:val="28"/>
        </w:rPr>
        <w:t>Independently of the author's copyright and even after the assignment either wholly or partially of the said copyright, the author of a work shall have the right — (a) to claim authorship of the work; and (b) to restrain or claim damages in respect of any distortion, mutilation, modification or other act in relation to the said work if such distortion, mutilation, modification or other act would be prejudicial to his honor or reputation.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57 is the moral rights provision of the Copyright Act. Two distinct rights are conferred. First, the right of paternity (attribution): the author has the perpetual right to claim authorship and to be identified as the creator of the work in all copies distributed and published. Second, the right of integrity: the author may restrain — by injunction — or claim damages for any distortion, mutilation, modification, or other treatment of the work that damages their honor or reputation. Critically, these rights are "independent of copyright" and persist even after full assignment of economic rights. They cannot be transferred away by contract — they remain with the author. After the author's death, they may be exercised by the author's legal representatives under Section 57(2).</w:t>
      </w:r>
    </w:p>
    <w:p w:rsidR="002A7AE8" w:rsidRPr="002A7AE8" w:rsidRDefault="002A7AE8" w:rsidP="002A7AE8">
      <w:pPr>
        <w:rPr>
          <w:rFonts w:cstheme="minorHAnsi"/>
          <w:sz w:val="28"/>
          <w:szCs w:val="28"/>
        </w:rPr>
      </w:pPr>
      <w:r w:rsidRPr="002A7AE8">
        <w:rPr>
          <w:rFonts w:cstheme="minorHAnsi"/>
          <w:sz w:val="28"/>
          <w:szCs w:val="28"/>
        </w:rPr>
        <w:t>Key features of moral rights</w:t>
      </w:r>
    </w:p>
    <w:p w:rsidR="002A7AE8" w:rsidRPr="002A7AE8" w:rsidRDefault="002A7AE8" w:rsidP="002A7AE8">
      <w:pPr>
        <w:rPr>
          <w:rFonts w:cstheme="minorHAnsi"/>
          <w:sz w:val="28"/>
          <w:szCs w:val="28"/>
        </w:rPr>
      </w:pPr>
      <w:r w:rsidRPr="002A7AE8">
        <w:rPr>
          <w:rFonts w:cstheme="minorHAnsi"/>
          <w:sz w:val="28"/>
          <w:szCs w:val="28"/>
        </w:rPr>
        <w:t xml:space="preserve">Moral rights under Section 57 are personal, non-transferable, and independent of economic rights. They are not extinguished by the sale or assignment of copyright. The right of integrity was amended by the Copyright (Amendment) Act, 2012 to apply even after the expiry of the copyright term — meaning the </w:t>
      </w:r>
      <w:r w:rsidRPr="002A7AE8">
        <w:rPr>
          <w:rFonts w:cstheme="minorHAnsi"/>
          <w:sz w:val="28"/>
          <w:szCs w:val="28"/>
        </w:rPr>
        <w:lastRenderedPageBreak/>
        <w:t>author's reputational interest in the work is protected in perpetuity. However, the proviso clarifies that the right to restrain adaptations of computer programs falling within Section 52(1)(aa) does not apply. Mere failure to display a work, or display it to the author's satisfaction, does not constitute a violation of moral rights.</w:t>
      </w:r>
    </w:p>
    <w:p w:rsidR="002A7AE8" w:rsidRPr="002A7AE8" w:rsidRDefault="002A7AE8" w:rsidP="002A7AE8">
      <w:pPr>
        <w:rPr>
          <w:rFonts w:cstheme="minorHAnsi"/>
          <w:sz w:val="28"/>
          <w:szCs w:val="28"/>
        </w:rPr>
      </w:pPr>
      <w:r w:rsidRPr="002A7AE8">
        <w:rPr>
          <w:rFonts w:cstheme="minorHAnsi"/>
          <w:sz w:val="28"/>
          <w:szCs w:val="28"/>
        </w:rPr>
        <w:t>Moral rights of performers — Section 38B Bare act – Section 38B, Copyright Act, 1957</w:t>
      </w:r>
    </w:p>
    <w:p w:rsidR="002A7AE8" w:rsidRPr="002A7AE8" w:rsidRDefault="002A7AE8" w:rsidP="002A7AE8">
      <w:pPr>
        <w:rPr>
          <w:rFonts w:cstheme="minorHAnsi"/>
          <w:sz w:val="28"/>
          <w:szCs w:val="28"/>
        </w:rPr>
      </w:pPr>
      <w:r w:rsidRPr="002A7AE8">
        <w:rPr>
          <w:rFonts w:cstheme="minorHAnsi"/>
          <w:sz w:val="28"/>
          <w:szCs w:val="28"/>
        </w:rPr>
        <w:t>The performer of a performance shall, independently of his right after assignment, either wholly or partially of his right, have the right — (a) to claim to be identified as the performer of his performance except where omission is dictated by the manner of the use of the performance; and (b) to restrain or claim damage in respect of any distortion, mutilation or other modification of his performance that would be prejudicial to his reputation.</w:t>
      </w:r>
    </w:p>
    <w:p w:rsidR="002A7AE8" w:rsidRPr="002A7AE8" w:rsidRDefault="002A7AE8" w:rsidP="002A7AE8">
      <w:pPr>
        <w:rPr>
          <w:rFonts w:cstheme="minorHAnsi"/>
          <w:sz w:val="28"/>
          <w:szCs w:val="28"/>
        </w:rPr>
      </w:pPr>
      <w:r w:rsidRPr="002A7AE8">
        <w:rPr>
          <w:rFonts w:cstheme="minorHAnsi"/>
          <w:sz w:val="28"/>
          <w:szCs w:val="28"/>
        </w:rPr>
        <w:t>Section 38B, introduced by the 2012 Amendment, extends moral rights to performers. Parallel to Section 57, performers have the right of attribution (to be identified as the performer) and the right of integrity (to object to modifications prejudicial to reputation). However, the section clarifies that mere removal of portions for editing, fitting within a limited duration, or modifications required for purely technical reasons do not constitute prejudicial modification.</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Comparison: Economic rights vs. moral rights</w:t>
      </w:r>
    </w:p>
    <w:p w:rsidR="002A7AE8" w:rsidRPr="002A7AE8" w:rsidRDefault="002A7AE8" w:rsidP="002A7AE8">
      <w:pPr>
        <w:rPr>
          <w:rFonts w:cstheme="minorHAnsi"/>
          <w:sz w:val="28"/>
          <w:szCs w:val="28"/>
        </w:rPr>
      </w:pPr>
      <w:r w:rsidRPr="002A7AE8">
        <w:rPr>
          <w:rFonts w:cstheme="minorHAnsi"/>
          <w:sz w:val="28"/>
          <w:szCs w:val="28"/>
        </w:rPr>
        <w:t>Basis</w:t>
      </w:r>
      <w:r w:rsidRPr="002A7AE8">
        <w:rPr>
          <w:rFonts w:cstheme="minorHAnsi"/>
          <w:sz w:val="28"/>
          <w:szCs w:val="28"/>
        </w:rPr>
        <w:tab/>
        <w:t>Economic rights</w:t>
      </w:r>
      <w:r w:rsidRPr="002A7AE8">
        <w:rPr>
          <w:rFonts w:cstheme="minorHAnsi"/>
          <w:sz w:val="28"/>
          <w:szCs w:val="28"/>
        </w:rPr>
        <w:tab/>
        <w:t>Moral rights</w:t>
      </w:r>
    </w:p>
    <w:p w:rsidR="002A7AE8" w:rsidRPr="002A7AE8" w:rsidRDefault="002A7AE8" w:rsidP="002A7AE8">
      <w:pPr>
        <w:rPr>
          <w:rFonts w:cstheme="minorHAnsi"/>
          <w:sz w:val="28"/>
          <w:szCs w:val="28"/>
        </w:rPr>
      </w:pPr>
      <w:r w:rsidRPr="002A7AE8">
        <w:rPr>
          <w:rFonts w:cstheme="minorHAnsi"/>
          <w:sz w:val="28"/>
          <w:szCs w:val="28"/>
        </w:rPr>
        <w:t>Purpose</w:t>
      </w:r>
      <w:r w:rsidRPr="002A7AE8">
        <w:rPr>
          <w:rFonts w:cstheme="minorHAnsi"/>
          <w:sz w:val="28"/>
          <w:szCs w:val="28"/>
        </w:rPr>
        <w:tab/>
        <w:t>Financial exploitation of the work</w:t>
      </w:r>
      <w:r w:rsidRPr="002A7AE8">
        <w:rPr>
          <w:rFonts w:cstheme="minorHAnsi"/>
          <w:sz w:val="28"/>
          <w:szCs w:val="28"/>
        </w:rPr>
        <w:tab/>
        <w:t>Protection of author's personal and reputational connection</w:t>
      </w:r>
    </w:p>
    <w:p w:rsidR="002A7AE8" w:rsidRPr="002A7AE8" w:rsidRDefault="002A7AE8" w:rsidP="002A7AE8">
      <w:pPr>
        <w:rPr>
          <w:rFonts w:cstheme="minorHAnsi"/>
          <w:sz w:val="28"/>
          <w:szCs w:val="28"/>
        </w:rPr>
      </w:pPr>
      <w:r w:rsidRPr="002A7AE8">
        <w:rPr>
          <w:rFonts w:cstheme="minorHAnsi"/>
          <w:sz w:val="28"/>
          <w:szCs w:val="28"/>
        </w:rPr>
        <w:t>Who holds</w:t>
      </w:r>
      <w:r w:rsidRPr="002A7AE8">
        <w:rPr>
          <w:rFonts w:cstheme="minorHAnsi"/>
          <w:sz w:val="28"/>
          <w:szCs w:val="28"/>
        </w:rPr>
        <w:tab/>
        <w:t>Copyright owner (can be separate from author)</w:t>
      </w:r>
      <w:r w:rsidRPr="002A7AE8">
        <w:rPr>
          <w:rFonts w:cstheme="minorHAnsi"/>
          <w:sz w:val="28"/>
          <w:szCs w:val="28"/>
        </w:rPr>
        <w:tab/>
        <w:t>Author (always — cannot be transferred)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Transferable</w:t>
      </w:r>
      <w:r w:rsidRPr="002A7AE8">
        <w:rPr>
          <w:rFonts w:cstheme="minorHAnsi"/>
          <w:sz w:val="28"/>
          <w:szCs w:val="28"/>
        </w:rPr>
        <w:tab/>
        <w:t>Yes — by assignment or</w:t>
      </w:r>
      <w:r w:rsidRPr="002A7AE8">
        <w:rPr>
          <w:rFonts w:cstheme="minorHAnsi"/>
          <w:sz w:val="28"/>
          <w:szCs w:val="28"/>
        </w:rPr>
        <w:tab/>
        <w:t>No — personal to the</w:t>
      </w:r>
    </w:p>
    <w:p w:rsidR="002A7AE8" w:rsidRPr="002A7AE8" w:rsidRDefault="002A7AE8" w:rsidP="002A7AE8">
      <w:pPr>
        <w:rPr>
          <w:rFonts w:cstheme="minorHAnsi"/>
          <w:sz w:val="28"/>
          <w:szCs w:val="28"/>
        </w:rPr>
      </w:pPr>
      <w:r w:rsidRPr="002A7AE8">
        <w:rPr>
          <w:rFonts w:cstheme="minorHAnsi"/>
          <w:sz w:val="28"/>
          <w:szCs w:val="28"/>
        </w:rPr>
        <w:tab/>
        <w:t>licence</w:t>
      </w:r>
      <w:r w:rsidRPr="002A7AE8">
        <w:rPr>
          <w:rFonts w:cstheme="minorHAnsi"/>
          <w:sz w:val="28"/>
          <w:szCs w:val="28"/>
        </w:rPr>
        <w:tab/>
        <w:t>author</w:t>
      </w:r>
    </w:p>
    <w:p w:rsidR="002A7AE8" w:rsidRPr="002A7AE8" w:rsidRDefault="002A7AE8" w:rsidP="002A7AE8">
      <w:pPr>
        <w:rPr>
          <w:rFonts w:cstheme="minorHAnsi"/>
          <w:sz w:val="28"/>
          <w:szCs w:val="28"/>
        </w:rPr>
      </w:pPr>
      <w:r w:rsidRPr="002A7AE8">
        <w:rPr>
          <w:rFonts w:cstheme="minorHAnsi"/>
          <w:sz w:val="28"/>
          <w:szCs w:val="28"/>
        </w:rPr>
        <w:t>After assignment</w:t>
      </w:r>
      <w:r w:rsidRPr="002A7AE8">
        <w:rPr>
          <w:rFonts w:cstheme="minorHAnsi"/>
          <w:sz w:val="28"/>
          <w:szCs w:val="28"/>
        </w:rPr>
        <w:tab/>
        <w:t>Pass to assignee</w:t>
      </w:r>
      <w:r w:rsidRPr="002A7AE8">
        <w:rPr>
          <w:rFonts w:cstheme="minorHAnsi"/>
          <w:sz w:val="28"/>
          <w:szCs w:val="28"/>
        </w:rPr>
        <w:tab/>
        <w:t>Remain with author</w:t>
      </w:r>
    </w:p>
    <w:p w:rsidR="002A7AE8" w:rsidRPr="002A7AE8" w:rsidRDefault="002A7AE8" w:rsidP="002A7AE8">
      <w:pPr>
        <w:rPr>
          <w:rFonts w:cstheme="minorHAnsi"/>
          <w:sz w:val="28"/>
          <w:szCs w:val="28"/>
        </w:rPr>
      </w:pPr>
      <w:r w:rsidRPr="002A7AE8">
        <w:rPr>
          <w:rFonts w:cstheme="minorHAnsi"/>
          <w:sz w:val="28"/>
          <w:szCs w:val="28"/>
        </w:rPr>
        <w:t>Duration</w:t>
      </w:r>
      <w:r w:rsidRPr="002A7AE8">
        <w:rPr>
          <w:rFonts w:cstheme="minorHAnsi"/>
          <w:sz w:val="28"/>
          <w:szCs w:val="28"/>
        </w:rPr>
        <w:tab/>
        <w:t>During copyright term</w:t>
      </w:r>
      <w:r w:rsidRPr="002A7AE8">
        <w:rPr>
          <w:rFonts w:cstheme="minorHAnsi"/>
          <w:sz w:val="28"/>
          <w:szCs w:val="28"/>
        </w:rPr>
        <w:tab/>
        <w:t>Even after expiry of copyright term</w:t>
      </w:r>
    </w:p>
    <w:p w:rsidR="002A7AE8" w:rsidRPr="002A7AE8" w:rsidRDefault="002A7AE8" w:rsidP="002A7AE8">
      <w:pPr>
        <w:rPr>
          <w:rFonts w:cstheme="minorHAnsi"/>
          <w:sz w:val="28"/>
          <w:szCs w:val="28"/>
        </w:rPr>
      </w:pPr>
      <w:r w:rsidRPr="002A7AE8">
        <w:rPr>
          <w:rFonts w:cstheme="minorHAnsi"/>
          <w:sz w:val="28"/>
          <w:szCs w:val="28"/>
        </w:rPr>
        <w:lastRenderedPageBreak/>
        <w:t>Remedy</w:t>
      </w:r>
      <w:r w:rsidRPr="002A7AE8">
        <w:rPr>
          <w:rFonts w:cstheme="minorHAnsi"/>
          <w:sz w:val="28"/>
          <w:szCs w:val="28"/>
        </w:rPr>
        <w:tab/>
        <w:t>Damages, injunction, account of profits</w:t>
      </w:r>
      <w:r w:rsidRPr="002A7AE8">
        <w:rPr>
          <w:rFonts w:cstheme="minorHAnsi"/>
          <w:sz w:val="28"/>
          <w:szCs w:val="28"/>
        </w:rPr>
        <w:tab/>
        <w:t>Injunction and/or damages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Economic rights and moral rights together constitute the complete copyright protection framework. Economic rights make copyright a commercially viable and transferable asset that drives investment in the creative industries. Moral rights recognise the human dimension of creativity — the personal and reputational interest that an author retains in their work regardless of who holds the economic rights. The interplay between these two sets of rights ensures that copyright law serves both commercial and humanistic purposes.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Module 2</w:t>
      </w:r>
    </w:p>
    <w:p w:rsidR="002A7AE8" w:rsidRPr="002A7AE8" w:rsidRDefault="002A7AE8" w:rsidP="002A7AE8">
      <w:pPr>
        <w:rPr>
          <w:rFonts w:cstheme="minorHAnsi"/>
          <w:sz w:val="28"/>
          <w:szCs w:val="28"/>
        </w:rPr>
      </w:pPr>
      <w:r w:rsidRPr="002A7AE8">
        <w:rPr>
          <w:rFonts w:cstheme="minorHAnsi"/>
          <w:sz w:val="28"/>
          <w:szCs w:val="28"/>
        </w:rPr>
        <w:t>Chapter 11: Infringement of copyright and remedies</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When copyright is infringed — Section 51 Bare act – Section 51, Copyright Act, 1957</w:t>
      </w:r>
    </w:p>
    <w:p w:rsidR="002A7AE8" w:rsidRPr="002A7AE8" w:rsidRDefault="002A7AE8" w:rsidP="002A7AE8">
      <w:pPr>
        <w:rPr>
          <w:rFonts w:cstheme="minorHAnsi"/>
          <w:sz w:val="28"/>
          <w:szCs w:val="28"/>
        </w:rPr>
      </w:pPr>
      <w:r w:rsidRPr="002A7AE8">
        <w:rPr>
          <w:rFonts w:cstheme="minorHAnsi"/>
          <w:sz w:val="28"/>
          <w:szCs w:val="28"/>
        </w:rPr>
        <w:t>Copyright in a work shall be deemed to be infringed — (a) when any person, without a licence granted by the owner of the copyright or the Registrar of Copyrights — (i) does anything, the exclusive right to do which is by this Act conferred upon the owner of the copyright, or (ii) permits for profit any place to be used for the communication of the work to the public where such communication constitutes an infringement of the copyright, unless he was not aware and had no reasonable ground for believing that such communication to the public would be an infringement; or (b) when any person —</w:t>
      </w:r>
    </w:p>
    <w:p w:rsidR="002A7AE8" w:rsidRPr="002A7AE8" w:rsidRDefault="002A7AE8" w:rsidP="002A7AE8">
      <w:pPr>
        <w:rPr>
          <w:rFonts w:cstheme="minorHAnsi"/>
          <w:sz w:val="28"/>
          <w:szCs w:val="28"/>
        </w:rPr>
      </w:pPr>
      <w:r w:rsidRPr="002A7AE8">
        <w:rPr>
          <w:rFonts w:cstheme="minorHAnsi"/>
          <w:sz w:val="28"/>
          <w:szCs w:val="28"/>
        </w:rPr>
        <w:t>(i) makes for sale or hire, or sells or lets for hire, or by way of trade displays or offers for sale or hire; (ii) distributes either for trade or to an extent prejudicially affecting the copyright owner; (iii) by way of trade exhibits in public; or (iv) imports into India any infringing copies of the work.</w:t>
      </w:r>
    </w:p>
    <w:p w:rsidR="002A7AE8" w:rsidRPr="002A7AE8" w:rsidRDefault="002A7AE8" w:rsidP="002A7AE8">
      <w:pPr>
        <w:rPr>
          <w:rFonts w:cstheme="minorHAnsi"/>
          <w:sz w:val="28"/>
          <w:szCs w:val="28"/>
        </w:rPr>
      </w:pPr>
      <w:r w:rsidRPr="002A7AE8">
        <w:rPr>
          <w:rFonts w:cstheme="minorHAnsi"/>
          <w:sz w:val="28"/>
          <w:szCs w:val="28"/>
        </w:rPr>
        <w:t xml:space="preserve">Section 51 defines the circumstances in which copyright infringement occurs. Two main scenarios are covered. First, unauthorized exercise of any exclusive right under Section 14 — including reproduction, communication, adaptation, and distribution. Second, dealing in infringing copies — making, selling, hiring, </w:t>
      </w:r>
      <w:r w:rsidRPr="002A7AE8">
        <w:rPr>
          <w:rFonts w:cstheme="minorHAnsi"/>
          <w:sz w:val="28"/>
          <w:szCs w:val="28"/>
        </w:rPr>
        <w:lastRenderedPageBreak/>
        <w:t>trading, exhibiting, distributing, or importing them. The proviso allows the import of one copy for private and domestic use. The "permits for profit" limb makes venue owners liable for allowing their premises to be used for infringing performances, unless they genuinely did not know and had no reason to suspect infringement.</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Direct infringement</w:t>
      </w:r>
    </w:p>
    <w:p w:rsidR="002A7AE8" w:rsidRPr="002A7AE8" w:rsidRDefault="002A7AE8" w:rsidP="002A7AE8">
      <w:pPr>
        <w:rPr>
          <w:rFonts w:cstheme="minorHAnsi"/>
          <w:sz w:val="28"/>
          <w:szCs w:val="28"/>
        </w:rPr>
      </w:pPr>
      <w:r w:rsidRPr="002A7AE8">
        <w:rPr>
          <w:rFonts w:cstheme="minorHAnsi"/>
          <w:sz w:val="28"/>
          <w:szCs w:val="28"/>
        </w:rPr>
        <w:t>Direct infringement occurs when the defendant personally performs the infringing acts</w:t>
      </w:r>
    </w:p>
    <w:p w:rsidR="002A7AE8" w:rsidRPr="002A7AE8" w:rsidRDefault="002A7AE8" w:rsidP="002A7AE8">
      <w:pPr>
        <w:rPr>
          <w:rFonts w:cstheme="minorHAnsi"/>
          <w:sz w:val="28"/>
          <w:szCs w:val="28"/>
        </w:rPr>
      </w:pPr>
      <w:r w:rsidRPr="002A7AE8">
        <w:rPr>
          <w:rFonts w:cstheme="minorHAnsi"/>
          <w:sz w:val="28"/>
          <w:szCs w:val="28"/>
        </w:rPr>
        <w:t>— for example, photocopying and selling an entire book, uploading a copyrighted film to an online platform without permission, or installing pirated software. Three elements must be established: (i) valid copyright subsists in the work; (ii) the defendant copied a substantial part of the protected expression (not merely the underlying idea); and (iii) the defendant had no authorization from the copyright owner.</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Indirect infringement</w:t>
      </w:r>
    </w:p>
    <w:p w:rsidR="002A7AE8" w:rsidRPr="002A7AE8" w:rsidRDefault="002A7AE8" w:rsidP="002A7AE8">
      <w:pPr>
        <w:rPr>
          <w:rFonts w:cstheme="minorHAnsi"/>
          <w:sz w:val="28"/>
          <w:szCs w:val="28"/>
        </w:rPr>
      </w:pPr>
      <w:r w:rsidRPr="002A7AE8">
        <w:rPr>
          <w:rFonts w:cstheme="minorHAnsi"/>
          <w:sz w:val="28"/>
          <w:szCs w:val="28"/>
        </w:rPr>
        <w:t>Contributory infringement arises where a person knowingly and materially assists or induces another to infringe copyright. The contributory infringer need not personally perform the infringing act — knowledge of and material contribution to the infringement suffice. A website operator who knowingly hosts pirated content and makes it available to users would be a contributory infringer.</w:t>
      </w:r>
    </w:p>
    <w:p w:rsidR="002A7AE8" w:rsidRPr="002A7AE8" w:rsidRDefault="002A7AE8" w:rsidP="002A7AE8">
      <w:pPr>
        <w:rPr>
          <w:rFonts w:cstheme="minorHAnsi"/>
          <w:sz w:val="28"/>
          <w:szCs w:val="28"/>
        </w:rPr>
      </w:pPr>
      <w:r w:rsidRPr="002A7AE8">
        <w:rPr>
          <w:rFonts w:cstheme="minorHAnsi"/>
          <w:sz w:val="28"/>
          <w:szCs w:val="28"/>
        </w:rPr>
        <w:t>Vicarious liability arises where a person has the right and ability to supervise the infringing activity and derives a direct financial benefit from it, even without knowledge of the specific infringing acts. A business owner who profits from infringing</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performances on their premises — without taking steps to stop them — may be vicariously liable even if they did not personally authorize the infringing acts.</w:t>
      </w: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Acts not constituting infringement — Section 52 (fair dealing and other exceptions) Bare act – Section 52(1)(a), Copyright Act, 1957</w:t>
      </w:r>
    </w:p>
    <w:p w:rsidR="002A7AE8" w:rsidRPr="002A7AE8" w:rsidRDefault="002A7AE8" w:rsidP="002A7AE8">
      <w:pPr>
        <w:rPr>
          <w:rFonts w:cstheme="minorHAnsi"/>
          <w:sz w:val="28"/>
          <w:szCs w:val="28"/>
        </w:rPr>
      </w:pPr>
      <w:r w:rsidRPr="002A7AE8">
        <w:rPr>
          <w:rFonts w:cstheme="minorHAnsi"/>
          <w:sz w:val="28"/>
          <w:szCs w:val="28"/>
        </w:rPr>
        <w:t xml:space="preserve">A fair dealing with any work, not being a computer program, for the purpose of — (i) private or personal use, including research; (ii) criticism or review, </w:t>
      </w:r>
      <w:r w:rsidRPr="002A7AE8">
        <w:rPr>
          <w:rFonts w:cstheme="minorHAnsi"/>
          <w:sz w:val="28"/>
          <w:szCs w:val="28"/>
        </w:rPr>
        <w:lastRenderedPageBreak/>
        <w:t>whether of that work or of any other work; (iii) the reporting of current events and current affairs, including the reporting of a lecture delivered in public — shall not constitute an infringement of copyright.</w:t>
      </w:r>
    </w:p>
    <w:p w:rsidR="002A7AE8" w:rsidRPr="002A7AE8" w:rsidRDefault="002A7AE8" w:rsidP="002A7AE8">
      <w:pPr>
        <w:rPr>
          <w:rFonts w:cstheme="minorHAnsi"/>
          <w:sz w:val="28"/>
          <w:szCs w:val="28"/>
        </w:rPr>
      </w:pPr>
      <w:r w:rsidRPr="002A7AE8">
        <w:rPr>
          <w:rFonts w:cstheme="minorHAnsi"/>
          <w:sz w:val="28"/>
          <w:szCs w:val="28"/>
        </w:rPr>
        <w:t>Section 52(1)(a) is the principal copyright exception in Indian law. It permits fair dealing for three purposes: private or personal use (including personal research); criticism and review; and reporting of current events. "Fair dealing" is not defined — courts assess fairness by reference to the purpose, the nature of the work, the amount copied, and the effect on the commercial value of the original. The 2012 Amendment confirmed that electronic storage for these purposes does not amount to infringement.</w:t>
      </w:r>
    </w:p>
    <w:p w:rsidR="002A7AE8" w:rsidRPr="002A7AE8" w:rsidRDefault="002A7AE8" w:rsidP="002A7AE8">
      <w:pPr>
        <w:rPr>
          <w:rFonts w:cstheme="minorHAnsi"/>
          <w:sz w:val="28"/>
          <w:szCs w:val="28"/>
        </w:rPr>
      </w:pPr>
      <w:r w:rsidRPr="002A7AE8">
        <w:rPr>
          <w:rFonts w:cstheme="minorHAnsi"/>
          <w:sz w:val="28"/>
          <w:szCs w:val="28"/>
        </w:rPr>
        <w:t>Other key exceptions under Section 52 include: lawful possession and backup of computer programs (sub-sections (aa), (ab), (ac), (ad)); transient electronic storage in the course of digital transmission (clauses (b) and (c)); reproduction for judicial proceedings (clause (d)); reproduction by teachers, pupils, and in examinations (clause (i)); use in educational institutions for performances limited to staff, students, and their families (clause (j)); preservation copies by non-commercial public libraries (clause (n)); works permanently situated in public places (clause (t)); and adaptation, reproduction, and communication in accessible formats for persons with disabilities (clause (zb)).</w:t>
      </w:r>
    </w:p>
    <w:p w:rsidR="002A7AE8" w:rsidRPr="002A7AE8" w:rsidRDefault="002A7AE8" w:rsidP="002A7AE8">
      <w:pPr>
        <w:rPr>
          <w:rFonts w:cstheme="minorHAnsi"/>
          <w:sz w:val="28"/>
          <w:szCs w:val="28"/>
        </w:rPr>
      </w:pPr>
      <w:r w:rsidRPr="002A7AE8">
        <w:rPr>
          <w:rFonts w:cstheme="minorHAnsi"/>
          <w:sz w:val="28"/>
          <w:szCs w:val="28"/>
        </w:rPr>
        <w:t>E.</w:t>
      </w:r>
      <w:r w:rsidRPr="002A7AE8">
        <w:rPr>
          <w:rFonts w:cstheme="minorHAnsi"/>
          <w:sz w:val="28"/>
          <w:szCs w:val="28"/>
        </w:rPr>
        <w:tab/>
        <w:t>Importation of infringing copies — Section 53 Bare act – Section 53, Copyright Act, 1957</w:t>
      </w:r>
    </w:p>
    <w:p w:rsidR="002A7AE8" w:rsidRPr="002A7AE8" w:rsidRDefault="002A7AE8" w:rsidP="002A7AE8">
      <w:pPr>
        <w:rPr>
          <w:rFonts w:cstheme="minorHAnsi"/>
          <w:sz w:val="28"/>
          <w:szCs w:val="28"/>
        </w:rPr>
      </w:pPr>
      <w:r w:rsidRPr="002A7AE8">
        <w:rPr>
          <w:rFonts w:cstheme="minorHAnsi"/>
          <w:sz w:val="28"/>
          <w:szCs w:val="28"/>
        </w:rPr>
        <w:t>The owner of any right conferred by this Act in respect of any work or any performance embodied in such work, or his duly authorized agent, may give notice in writing to the Commissioner of Customs that he is the owner of the said right, and that infringing copies of the work are expected to arrive in India at a time and place specified in the notice, requesting the Commissioner to treat infringing copies of the work as prohibited goods for a period specified in the notice not exceeding one year. The Commissioner may treat infringing copies as prohibited goods. The Customs Officer detaining goods shall inform the importer as well as the right holder within 48 hours. The goods shall be released if no court order is received within 14 days.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 xml:space="preserve">Section 53 provides a border enforcement mechanism against the importation of pirated works. By notifying the Commissioner of Customs, a copyright owner can trigger the detention of suspected infringing copies at the point of import </w:t>
      </w:r>
      <w:r w:rsidRPr="002A7AE8">
        <w:rPr>
          <w:rFonts w:cstheme="minorHAnsi"/>
          <w:sz w:val="28"/>
          <w:szCs w:val="28"/>
        </w:rPr>
        <w:lastRenderedPageBreak/>
        <w:t>without obtaining a court order first. The right holder must provide security for potential costs if goods turn out not to be infringing. The 48-hour notification requirement and 14-day release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deadline balance the copyright owner's interests with the legitimate commercial interests of importers.</w:t>
      </w:r>
    </w:p>
    <w:p w:rsidR="002A7AE8" w:rsidRPr="002A7AE8" w:rsidRDefault="002A7AE8" w:rsidP="002A7AE8">
      <w:pPr>
        <w:rPr>
          <w:rFonts w:cstheme="minorHAnsi"/>
          <w:sz w:val="28"/>
          <w:szCs w:val="28"/>
        </w:rPr>
      </w:pPr>
      <w:r w:rsidRPr="002A7AE8">
        <w:rPr>
          <w:rFonts w:cstheme="minorHAnsi"/>
          <w:sz w:val="28"/>
          <w:szCs w:val="28"/>
        </w:rPr>
        <w:t>F.</w:t>
      </w:r>
      <w:r w:rsidRPr="002A7AE8">
        <w:rPr>
          <w:rFonts w:cstheme="minorHAnsi"/>
          <w:sz w:val="28"/>
          <w:szCs w:val="28"/>
        </w:rPr>
        <w:tab/>
        <w:t>Resale share right — Section 53A</w:t>
      </w:r>
    </w:p>
    <w:p w:rsidR="002A7AE8" w:rsidRPr="002A7AE8" w:rsidRDefault="002A7AE8" w:rsidP="002A7AE8">
      <w:pPr>
        <w:rPr>
          <w:rFonts w:cstheme="minorHAnsi"/>
          <w:sz w:val="28"/>
          <w:szCs w:val="28"/>
        </w:rPr>
      </w:pPr>
      <w:r w:rsidRPr="002A7AE8">
        <w:rPr>
          <w:rFonts w:cstheme="minorHAnsi"/>
          <w:sz w:val="28"/>
          <w:szCs w:val="28"/>
        </w:rPr>
        <w:t>Bare act – Section 53A, Copyright Act, 1957</w:t>
      </w:r>
    </w:p>
    <w:p w:rsidR="002A7AE8" w:rsidRPr="002A7AE8" w:rsidRDefault="002A7AE8" w:rsidP="002A7AE8">
      <w:pPr>
        <w:rPr>
          <w:rFonts w:cstheme="minorHAnsi"/>
          <w:sz w:val="28"/>
          <w:szCs w:val="28"/>
        </w:rPr>
      </w:pPr>
      <w:r w:rsidRPr="002A7AE8">
        <w:rPr>
          <w:rFonts w:cstheme="minorHAnsi"/>
          <w:sz w:val="28"/>
          <w:szCs w:val="28"/>
        </w:rPr>
        <w:t>In the case of resale for a price exceeding ten thousand rupees of the original copy of a painting, sculpture or drawing, or of the original manuscript of a literary or dramatic work or musical work, the author of such work if he was the first owner of rights under section 17 or his legal heirs shall, notwithstanding any assignment of copyright in such work, have a right to share in the resale price of such original copy or manuscript. The share shall be determined by the Appellate Board and shall not exceed ten percent of the resale price.</w:t>
      </w:r>
    </w:p>
    <w:p w:rsidR="002A7AE8" w:rsidRPr="002A7AE8" w:rsidRDefault="002A7AE8" w:rsidP="002A7AE8">
      <w:pPr>
        <w:rPr>
          <w:rFonts w:cstheme="minorHAnsi"/>
          <w:sz w:val="28"/>
          <w:szCs w:val="28"/>
        </w:rPr>
      </w:pPr>
      <w:r w:rsidRPr="002A7AE8">
        <w:rPr>
          <w:rFonts w:cstheme="minorHAnsi"/>
          <w:sz w:val="28"/>
          <w:szCs w:val="28"/>
        </w:rPr>
        <w:t>Section 53A (introduced by the 1994 Amendment) recognizes the "droit de suite" or resale royalty right — a concept derived from French law. It ensures that visual artists and authors continue to benefit as the commercial value of their original works appreciates on the secondary art market. The right is non-waivable despite copyright assignment and persists in the author's legal heirs. The Appellate Board determines the applicable share, capped at ten percent.</w:t>
      </w:r>
    </w:p>
    <w:p w:rsidR="002A7AE8" w:rsidRPr="002A7AE8" w:rsidRDefault="002A7AE8" w:rsidP="002A7AE8">
      <w:pPr>
        <w:rPr>
          <w:rFonts w:cstheme="minorHAnsi"/>
          <w:sz w:val="28"/>
          <w:szCs w:val="28"/>
        </w:rPr>
      </w:pPr>
      <w:r w:rsidRPr="002A7AE8">
        <w:rPr>
          <w:rFonts w:cstheme="minorHAnsi"/>
          <w:sz w:val="28"/>
          <w:szCs w:val="28"/>
        </w:rPr>
        <w:t>G.</w:t>
      </w:r>
      <w:r w:rsidRPr="002A7AE8">
        <w:rPr>
          <w:rFonts w:cstheme="minorHAnsi"/>
          <w:sz w:val="28"/>
          <w:szCs w:val="28"/>
        </w:rPr>
        <w:tab/>
        <w:t>Civil remedies — Section 55</w:t>
      </w:r>
    </w:p>
    <w:p w:rsidR="002A7AE8" w:rsidRPr="002A7AE8" w:rsidRDefault="002A7AE8" w:rsidP="002A7AE8">
      <w:pPr>
        <w:rPr>
          <w:rFonts w:cstheme="minorHAnsi"/>
          <w:sz w:val="28"/>
          <w:szCs w:val="28"/>
        </w:rPr>
      </w:pPr>
      <w:r w:rsidRPr="002A7AE8">
        <w:rPr>
          <w:rFonts w:cstheme="minorHAnsi"/>
          <w:sz w:val="28"/>
          <w:szCs w:val="28"/>
        </w:rPr>
        <w:t>Bare act – Section 55(1), Copyright Act, 1957</w:t>
      </w:r>
    </w:p>
    <w:p w:rsidR="002A7AE8" w:rsidRPr="002A7AE8" w:rsidRDefault="002A7AE8" w:rsidP="002A7AE8">
      <w:pPr>
        <w:rPr>
          <w:rFonts w:cstheme="minorHAnsi"/>
          <w:sz w:val="28"/>
          <w:szCs w:val="28"/>
        </w:rPr>
      </w:pPr>
      <w:r w:rsidRPr="002A7AE8">
        <w:rPr>
          <w:rFonts w:cstheme="minorHAnsi"/>
          <w:sz w:val="28"/>
          <w:szCs w:val="28"/>
        </w:rPr>
        <w:t>Where copyright in any work has been infringed, the owner of the copyright shall, except as otherwise provided by this Act, be entitled to all such remedies by way of injunction, damages, accounts and otherwise as are or may be conferred by law for the infringement of a right: Provided that if the defendant proves that at the date of the infringement he was not aware and had no reasonable ground for believing that copyright subsisted in the work, the plaintiff shall not be entitled to any remedy other than an injunction in respect of the infringement and a decree for the whole or part of the profits made by the defendant.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Section 55 is the comprehensive civil remedies provision. Four principal remedies are available. An injunction — temporary or permanent — prevents ongoing or threatened infringement and is usually the most urgent remedy sought. Damages compensate the plaintiff for losses caused by infringement; however, the proviso provides that an innocent infringer (one who genuinely did not know copyright subsisted) is liable only for an injunction and an account of profits, not damages. An account of profits requires the defendant to surrender all profits from the infringing activity to the plaintiff. Delivery up and destruction of infringing copies under Section 58 further protects the market from ongoing circulation of pirated material.</w:t>
      </w:r>
    </w:p>
    <w:p w:rsidR="002A7AE8" w:rsidRPr="002A7AE8" w:rsidRDefault="002A7AE8" w:rsidP="002A7AE8">
      <w:pPr>
        <w:rPr>
          <w:rFonts w:cstheme="minorHAnsi"/>
          <w:sz w:val="28"/>
          <w:szCs w:val="28"/>
        </w:rPr>
      </w:pPr>
      <w:r w:rsidRPr="002A7AE8">
        <w:rPr>
          <w:rFonts w:cstheme="minorHAnsi"/>
          <w:sz w:val="28"/>
          <w:szCs w:val="28"/>
        </w:rPr>
        <w:t>H.</w:t>
      </w:r>
      <w:r w:rsidRPr="002A7AE8">
        <w:rPr>
          <w:rFonts w:cstheme="minorHAnsi"/>
          <w:sz w:val="28"/>
          <w:szCs w:val="28"/>
        </w:rPr>
        <w:tab/>
        <w:t>Criminal remedies — Sections 63–70 Bare act – Section 63, Copyright Act, 1957</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Any person who knowingly infringes or abets the infringement of — (a) the copyright in a work, or (b) any other right conferred by this Act except the right conferred by section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53A, shall be punishable with imprisonment for a term which shall not be less than six months but which may extend to three years and with fine which shall not be less than fifty thousand rupees but which may extend to two lakh rupees: Provided that where the infringement has not been made for gain in the course of trade or business the court may, for adequate and special reasons to be mentioned in the judgment, impose a lesser sentence.</w:t>
      </w:r>
    </w:p>
    <w:p w:rsidR="002A7AE8" w:rsidRPr="002A7AE8" w:rsidRDefault="002A7AE8" w:rsidP="002A7AE8">
      <w:pPr>
        <w:rPr>
          <w:rFonts w:cstheme="minorHAnsi"/>
          <w:sz w:val="28"/>
          <w:szCs w:val="28"/>
        </w:rPr>
      </w:pPr>
      <w:r w:rsidRPr="002A7AE8">
        <w:rPr>
          <w:rFonts w:cstheme="minorHAnsi"/>
          <w:sz w:val="28"/>
          <w:szCs w:val="28"/>
        </w:rPr>
        <w:t>Section 63 introduces criminal liability for copyright infringement. Importantly, the defendant must have acted "knowingly" — pure inadvertence is not enough. The minimum sentence of six months imprisonment and ₹50,000 fine reflects legislative intent to treat copyright infringement as a serious economic crime. The proviso for non-commercial infringement allows courts discretion to impose lesser sentences where infringement was not commercially motivated — for instance, personal copying on a large scale without commercial exploitation.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Section 63A provides enhanced penalties for repeat offenders: imprisonment of not less than one year (extendable to three years) and a fine of not less than one lakh rupees (extendable to two lakh rupees) on second and subsequent convictions. Section 63B makes knowing use of an infringing copy of a computer program an independent offence, punishable with imprisonment of not less than seven days and extendable to three years, and a fine of ₹50,000 to ₹2,00,000. Section 64 empowers a police officer not below the rank of Sub-Inspector to seize infringing copies and production plates without a warrant if satisfied that an offence under Section 63 has been, is being, or is likely to be committed.</w:t>
      </w:r>
    </w:p>
    <w:p w:rsidR="002A7AE8" w:rsidRPr="002A7AE8" w:rsidRDefault="002A7AE8" w:rsidP="002A7AE8">
      <w:pPr>
        <w:rPr>
          <w:rFonts w:cstheme="minorHAnsi"/>
          <w:sz w:val="28"/>
          <w:szCs w:val="28"/>
        </w:rPr>
      </w:pPr>
      <w:r w:rsidRPr="002A7AE8">
        <w:rPr>
          <w:rFonts w:cstheme="minorHAnsi"/>
          <w:sz w:val="28"/>
          <w:szCs w:val="28"/>
        </w:rPr>
        <w:t>Sections 65A and 65B provide for protection of technological protection measures and rights management information respectively. Circumventing technological measures applied to protect copyright (such as encryption on DVDs or DRM on digital downloads) with the intention of infringing copyright attracts imprisonment extendable to two years. Similarly, unauthorized removal or alteration of digital rights management information — the metadata identifying the work and its owner — attracts the same penalty.</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Administrative remedy — border enforcement</w:t>
      </w:r>
    </w:p>
    <w:p w:rsidR="002A7AE8" w:rsidRPr="002A7AE8" w:rsidRDefault="002A7AE8" w:rsidP="002A7AE8">
      <w:pPr>
        <w:rPr>
          <w:rFonts w:cstheme="minorHAnsi"/>
          <w:sz w:val="28"/>
          <w:szCs w:val="28"/>
        </w:rPr>
      </w:pPr>
      <w:r w:rsidRPr="002A7AE8">
        <w:rPr>
          <w:rFonts w:cstheme="minorHAnsi"/>
          <w:sz w:val="28"/>
          <w:szCs w:val="28"/>
        </w:rPr>
        <w:t>In addition to civil and criminal remedies, Section 53 provides for administrative enforcement through Customs authorities. A copyright owner may notify the Commissioner of Customs to treat infringing imported copies as prohibited goods. This border enforcement measure — exercisable without prior court intervention — is particularly valuable against the importation of large consignments of pirated copies from foreign markets.</w:t>
      </w:r>
    </w:p>
    <w:p w:rsidR="002A7AE8" w:rsidRPr="002A7AE8" w:rsidRDefault="002A7AE8" w:rsidP="002A7AE8">
      <w:pPr>
        <w:rPr>
          <w:rFonts w:cstheme="minorHAnsi"/>
          <w:sz w:val="28"/>
          <w:szCs w:val="28"/>
        </w:rPr>
      </w:pPr>
      <w:r w:rsidRPr="002A7AE8">
        <w:rPr>
          <w:rFonts w:cstheme="minorHAnsi"/>
          <w:sz w:val="28"/>
          <w:szCs w:val="28"/>
        </w:rPr>
        <w:t>Relevant 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R.G. Anand v. Deluxe Films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Citation: (1978) 4 SCC 118</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plaintiff, R.G. Anand, was the author of a dramatic work titled “Hum Hindustani.”</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defendants produced a film titled “New Delhi.”</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The plaintiff alleged that the film copied the theme, plot, and ideas from his play.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defendants denied infringement and argued that there were substantial differences between the two works.</w:t>
      </w: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the defendant’s film amounted to copyright infringement of the plaintiff’s dramatic work.</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copyright protection extends to ideas, themes, and concepts.</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What test should be applied for determining substantial copying.</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held that copyright protects expression of ideas and not ideas themselves.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Similarity of general ideas or themes does not amount to infringement.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Infringement occurs only when a substantial part of the protected expression is copied.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held that the defendant’s film did not amount to infringement.</w:t>
      </w:r>
    </w:p>
    <w:p w:rsidR="002A7AE8" w:rsidRPr="002A7AE8" w:rsidRDefault="002A7AE8" w:rsidP="002A7AE8">
      <w:pPr>
        <w:rPr>
          <w:rFonts w:cstheme="minorHAnsi"/>
          <w:sz w:val="28"/>
          <w:szCs w:val="28"/>
        </w:rPr>
      </w:pPr>
      <w:r w:rsidRPr="002A7AE8">
        <w:rPr>
          <w:rFonts w:cstheme="minorHAnsi"/>
          <w:sz w:val="28"/>
          <w:szCs w:val="28"/>
        </w:rPr>
        <w:t>Principle:</w:t>
      </w:r>
    </w:p>
    <w:p w:rsidR="002A7AE8" w:rsidRPr="002A7AE8" w:rsidRDefault="002A7AE8" w:rsidP="002A7AE8">
      <w:pPr>
        <w:rPr>
          <w:rFonts w:cstheme="minorHAnsi"/>
          <w:sz w:val="28"/>
          <w:szCs w:val="28"/>
        </w:rPr>
      </w:pPr>
      <w:r w:rsidRPr="002A7AE8">
        <w:rPr>
          <w:rFonts w:cstheme="minorHAnsi"/>
          <w:sz w:val="28"/>
          <w:szCs w:val="28"/>
        </w:rPr>
        <w:t>There is no copyright in ideas; copyright exists only in the original expression of ideas.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Eastern Book Company v. D.B. Modak Citation: (2008) 1 SCC 1</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Eastern Book Company published edited versions of Supreme Court judgments.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added headnotes, formatting, paragraph numbering, and editorial inputs.</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The defendants reproduced portions of these materials in electronic databases.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EBC claimed copyright infringement.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edited judgments were protected by copyright.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reproduction by defendants amounted to infringement.</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What degree of originality is required for copyright protection.</w:t>
      </w:r>
    </w:p>
    <w:p w:rsidR="002A7AE8" w:rsidRPr="002A7AE8" w:rsidRDefault="002A7AE8" w:rsidP="002A7AE8">
      <w:pPr>
        <w:rPr>
          <w:rFonts w:cstheme="minorHAnsi"/>
          <w:sz w:val="28"/>
          <w:szCs w:val="28"/>
        </w:rPr>
      </w:pPr>
      <w:r w:rsidRPr="002A7AE8">
        <w:rPr>
          <w:rFonts w:cstheme="minorHAnsi"/>
          <w:sz w:val="28"/>
          <w:szCs w:val="28"/>
        </w:rPr>
        <w:t>S</w:t>
      </w: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rejected the “sweat of the brow” theory.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held that copyright requires a minimum amount of creativity.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Editorial additions involving skill and judgment were protected.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Copying protected portions amounted to infringement.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Principle:</w:t>
      </w:r>
    </w:p>
    <w:p w:rsidR="002A7AE8" w:rsidRPr="002A7AE8" w:rsidRDefault="002A7AE8" w:rsidP="002A7AE8">
      <w:pPr>
        <w:rPr>
          <w:rFonts w:cstheme="minorHAnsi"/>
          <w:sz w:val="28"/>
          <w:szCs w:val="28"/>
        </w:rPr>
      </w:pPr>
      <w:r w:rsidRPr="002A7AE8">
        <w:rPr>
          <w:rFonts w:cstheme="minorHAnsi"/>
          <w:sz w:val="28"/>
          <w:szCs w:val="28"/>
        </w:rPr>
        <w:t>Copyright protection requires originality involving skill, judgment, and creativity.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The copyright infringement and remedies framework in the Copyright Act, 1957 is comprehensive and multi-layered. Section 51 defines infringement; Section 52 carves out legitimate exceptions; Section 55 provides civil remedies; Sections 63 to 65B impose criminal liability; and Section 53 enables administrative border enforcement. Together,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they ensure that copyright owners have accessible and effective legal tools to protect their creative works, while Section 52 preserves the public's right to access knowledge, education, and culture within clearly defined limits.</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Module 2</w:t>
      </w:r>
    </w:p>
    <w:p w:rsidR="002A7AE8" w:rsidRPr="002A7AE8" w:rsidRDefault="002A7AE8" w:rsidP="002A7AE8">
      <w:pPr>
        <w:rPr>
          <w:rFonts w:cstheme="minorHAnsi"/>
          <w:sz w:val="28"/>
          <w:szCs w:val="28"/>
        </w:rPr>
      </w:pPr>
      <w:r w:rsidRPr="002A7AE8">
        <w:rPr>
          <w:rFonts w:cstheme="minorHAnsi"/>
          <w:sz w:val="28"/>
          <w:szCs w:val="28"/>
        </w:rPr>
        <w:t>Chapter 12: Rights of broadcasting organizations and performers – Sections 37–39A</w:t>
      </w:r>
    </w:p>
    <w:p w:rsidR="002A7AE8" w:rsidRPr="002A7AE8" w:rsidRDefault="002A7AE8" w:rsidP="002A7AE8">
      <w:pPr>
        <w:rPr>
          <w:rFonts w:cstheme="minorHAnsi"/>
          <w:sz w:val="28"/>
          <w:szCs w:val="28"/>
        </w:rPr>
      </w:pPr>
      <w:r w:rsidRPr="002A7AE8">
        <w:rPr>
          <w:rFonts w:cstheme="minorHAnsi"/>
          <w:sz w:val="28"/>
          <w:szCs w:val="28"/>
        </w:rPr>
        <w:t>Introduction</w:t>
      </w:r>
    </w:p>
    <w:p w:rsidR="002A7AE8" w:rsidRPr="002A7AE8" w:rsidRDefault="002A7AE8" w:rsidP="002A7AE8">
      <w:pPr>
        <w:rPr>
          <w:rFonts w:cstheme="minorHAnsi"/>
          <w:sz w:val="28"/>
          <w:szCs w:val="28"/>
        </w:rPr>
      </w:pPr>
      <w:r w:rsidRPr="002A7AE8">
        <w:rPr>
          <w:rFonts w:cstheme="minorHAnsi"/>
          <w:sz w:val="28"/>
          <w:szCs w:val="28"/>
        </w:rPr>
        <w:t>Chapter VIII of the Copyright Act, 1957 — as substituted by the 1994 Amendment and strengthened by the 2012 Amendment — grants special rights to broadcasting organizations and performers. These are Neighboring rights or related rights: they exist alongside copyright, recognizing the contribution of those who transmit and perform creative works rather than originate them. Broadcasters invest in the infrastructure of transmission; performers contribute artistic skill; and both deserve legal protection against those who free-ride on their contributions.</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Broadcast reproduction right — Section 37 Bare act – Section 37, Copyright Act, 1957</w:t>
      </w:r>
    </w:p>
    <w:p w:rsidR="002A7AE8" w:rsidRPr="002A7AE8" w:rsidRDefault="002A7AE8" w:rsidP="002A7AE8">
      <w:pPr>
        <w:rPr>
          <w:rFonts w:cstheme="minorHAnsi"/>
          <w:sz w:val="28"/>
          <w:szCs w:val="28"/>
        </w:rPr>
      </w:pPr>
      <w:r w:rsidRPr="002A7AE8">
        <w:rPr>
          <w:rFonts w:cstheme="minorHAnsi"/>
          <w:sz w:val="28"/>
          <w:szCs w:val="28"/>
        </w:rPr>
        <w:t>(1) Every broadcasting organization shall have a special right to be known as 'broadcast reproduction right' in respect of its broadcasts. (2) The broadcast reproduction right shall subsist until twenty-five years from the beginning of the calendar year next following the year in which the broadcast is made. (3) During the continuance of a broadcast reproduction right in relation to any broadcast, any person who, without the licence of the owner of the right does any of the following acts — (a) re-broadcasts the broadcast;</w:t>
      </w:r>
    </w:p>
    <w:p w:rsidR="002A7AE8" w:rsidRPr="002A7AE8" w:rsidRDefault="002A7AE8" w:rsidP="002A7AE8">
      <w:pPr>
        <w:rPr>
          <w:rFonts w:cstheme="minorHAnsi"/>
          <w:sz w:val="28"/>
          <w:szCs w:val="28"/>
        </w:rPr>
      </w:pPr>
      <w:r w:rsidRPr="002A7AE8">
        <w:rPr>
          <w:rFonts w:cstheme="minorHAnsi"/>
          <w:sz w:val="28"/>
          <w:szCs w:val="28"/>
        </w:rPr>
        <w:t>(b) causes the broadcast to be heard or seen by the public on payment of any charges; (c) makes any sound recording or visual recording of the broadcast; (d) makes any reproduction of such sound or visual recording where such initial recording was done without licence or for a purpose not envisaged by the licence; (e) sells or gives on commercial rental any such recording — infringes the right.</w:t>
      </w:r>
    </w:p>
    <w:p w:rsidR="002A7AE8" w:rsidRPr="002A7AE8" w:rsidRDefault="002A7AE8" w:rsidP="002A7AE8">
      <w:pPr>
        <w:rPr>
          <w:rFonts w:cstheme="minorHAnsi"/>
          <w:sz w:val="28"/>
          <w:szCs w:val="28"/>
        </w:rPr>
      </w:pPr>
      <w:r w:rsidRPr="002A7AE8">
        <w:rPr>
          <w:rFonts w:cstheme="minorHAnsi"/>
          <w:sz w:val="28"/>
          <w:szCs w:val="28"/>
        </w:rPr>
        <w:t xml:space="preserve">Section 37 grants every broadcasting organization a broadcast reproduction right in its broadcasts, subsisting for twenty-five years. "Broadcasting organization" includes both radio and television broadcasters. The right protects against re-broadcasting (relaying the original broadcast without permission), public exhibition on payment, and the making of recordings of broadcasts. The 2012 Amendment extended the infringing acts to include </w:t>
      </w:r>
      <w:r w:rsidRPr="002A7AE8">
        <w:rPr>
          <w:rFonts w:cstheme="minorHAnsi"/>
          <w:sz w:val="28"/>
          <w:szCs w:val="28"/>
        </w:rPr>
        <w:lastRenderedPageBreak/>
        <w:t>commercial rental of recordings of broadcasts. A broadcast that itself infringes the copyright in any work does not generate a broadcast reproduction right under Section 39A.</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Performer's right — Section 38</w:t>
      </w:r>
    </w:p>
    <w:p w:rsidR="002A7AE8" w:rsidRPr="002A7AE8" w:rsidRDefault="002A7AE8" w:rsidP="002A7AE8">
      <w:pPr>
        <w:rPr>
          <w:rFonts w:cstheme="minorHAnsi"/>
          <w:sz w:val="28"/>
          <w:szCs w:val="28"/>
        </w:rPr>
      </w:pPr>
      <w:r w:rsidRPr="002A7AE8">
        <w:rPr>
          <w:rFonts w:cstheme="minorHAnsi"/>
          <w:sz w:val="28"/>
          <w:szCs w:val="28"/>
        </w:rPr>
        <w:t>Bare act – Section 38, Copyright Act, 1957</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Where any performer appears or engages in any performance, he shall have a special right to be known as the 'performer's right' in relation to such performance. (2) The performer's right shall subsist until fifty years from the beginning of the calendar year next following the year in which the performance is made.</w:t>
      </w:r>
    </w:p>
    <w:p w:rsidR="002A7AE8" w:rsidRPr="002A7AE8" w:rsidRDefault="002A7AE8" w:rsidP="002A7AE8">
      <w:pPr>
        <w:rPr>
          <w:rFonts w:cstheme="minorHAnsi"/>
          <w:sz w:val="28"/>
          <w:szCs w:val="28"/>
        </w:rPr>
      </w:pPr>
      <w:r w:rsidRPr="002A7AE8">
        <w:rPr>
          <w:rFonts w:cstheme="minorHAnsi"/>
          <w:sz w:val="28"/>
          <w:szCs w:val="28"/>
        </w:rPr>
        <w:t>Section 38 establishes the performer's right — a personal right attaching to every performance. A "performer" under Section 2(qq) includes an actor, singer, musician, dancer, acrobat, juggler, conjurer, snake charmer, person delivering a lecture, or any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other person who makes a performance. The fifty-year term — increased from twenty-five years by the 1999 Amendment — reflects the economic value of performances and aligns with international standards under the WPPT.</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Exclusive rights of performers — Section 38A Bare act – Section 38A, Copyright Act, 1957</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Without prejudice to the rights conferred on authors, the performer's right is an exclusive right to do or authorise any of the following acts: (a) to make a sound recording or visual recording of the performance, including — (i) reproduction in any material form; (ii) issuance of copies; (iii) communication to the public; (iv) selling or giving on commercial rental any copy of the recording; (b) to broadcast or communicate the performance to the public, except where the performance is already broadcast. (2) Once a performer has by written agreement consented to the incorporation of his performance in a cinematograph film, he shall not object to the producer's enjoyment of the performer's right in the same film: Provided that the performer shall be entitled to royalties in case of commercial use of the performances.</w:t>
      </w:r>
    </w:p>
    <w:p w:rsidR="002A7AE8" w:rsidRPr="002A7AE8" w:rsidRDefault="002A7AE8" w:rsidP="002A7AE8">
      <w:pPr>
        <w:rPr>
          <w:rFonts w:cstheme="minorHAnsi"/>
          <w:sz w:val="28"/>
          <w:szCs w:val="28"/>
        </w:rPr>
      </w:pPr>
      <w:r w:rsidRPr="002A7AE8">
        <w:rPr>
          <w:rFonts w:cstheme="minorHAnsi"/>
          <w:sz w:val="28"/>
          <w:szCs w:val="28"/>
        </w:rPr>
        <w:t xml:space="preserve">Section 38A (introduced by the 2012 Amendment) converts the performer's right from a primarily defensive right (preventing unauthorized fixation) into a positive exclusive right to make recordings, issue copies, communicate to the </w:t>
      </w:r>
      <w:r w:rsidRPr="002A7AE8">
        <w:rPr>
          <w:rFonts w:cstheme="minorHAnsi"/>
          <w:sz w:val="28"/>
          <w:szCs w:val="28"/>
        </w:rPr>
        <w:lastRenderedPageBreak/>
        <w:t>public, and commercially rent recordings. This significantly upgraded the commercial value of performers' rights. Sub-section (2) provides the critical balance for the film industry: once a performer consents by written agreement to appear in a film, they cannot block the producer's use of the performance in that film. However, they remain entitled to royalties when the performance is commercially exploited in other ways.</w:t>
      </w: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Moral rights of performers — Section 38B Bare act – Section 38B, Copyright Act, 1957</w:t>
      </w:r>
    </w:p>
    <w:p w:rsidR="002A7AE8" w:rsidRPr="002A7AE8" w:rsidRDefault="002A7AE8" w:rsidP="002A7AE8">
      <w:pPr>
        <w:rPr>
          <w:rFonts w:cstheme="minorHAnsi"/>
          <w:sz w:val="28"/>
          <w:szCs w:val="28"/>
        </w:rPr>
      </w:pPr>
      <w:r w:rsidRPr="002A7AE8">
        <w:rPr>
          <w:rFonts w:cstheme="minorHAnsi"/>
          <w:sz w:val="28"/>
          <w:szCs w:val="28"/>
        </w:rPr>
        <w:t>The performer of a performance shall, independently of his right after assignment, either wholly or partially of his right, have the right — (a) to claim to be identified as the performer of his performance except where omission is dictated by the manner of the use of the performance; and (b) to restrain or claim damage in respect of any distortion, mutilation or other modification of his performance that would be prejudicial to his reputation. For the purpose of this clause, mere removal of any portion of a performance for the purpose of editing, or to fit the recording within a limited duration, or any other modification required for purely technical reasons shall not be deemed to be prejudicial to the performer's reputation.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Section 38B, introduced by the 2012 Amendment, grants performers moral rights parallel to those enjoyed by authors under Section 57. These are: the right of attribution (to be identified as performer) and the right of integrity (to object to modifications prejudicial to reputation). Like Section 57 moral rights, these persist after assignment.</w:t>
      </w:r>
    </w:p>
    <w:p w:rsidR="002A7AE8" w:rsidRPr="002A7AE8" w:rsidRDefault="002A7AE8" w:rsidP="002A7AE8">
      <w:pPr>
        <w:rPr>
          <w:rFonts w:cstheme="minorHAnsi"/>
          <w:sz w:val="28"/>
          <w:szCs w:val="28"/>
        </w:rPr>
      </w:pPr>
      <w:r w:rsidRPr="002A7AE8">
        <w:rPr>
          <w:rFonts w:cstheme="minorHAnsi"/>
          <w:sz w:val="28"/>
          <w:szCs w:val="28"/>
        </w:rPr>
        <w:t>The explanation provides a sensible carve-out: routine editing, time-fitting, and purely technical modifications are not treated as prejudicial — preserving the practical flexibility needed in broadcasting and film production.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w:t>
      </w:r>
      <w:r w:rsidRPr="002A7AE8">
        <w:rPr>
          <w:rFonts w:cstheme="minorHAnsi"/>
          <w:sz w:val="28"/>
          <w:szCs w:val="28"/>
        </w:rPr>
        <w:tab/>
        <w:t>Rights of phonogram producers (sound recordings)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Bare act – Section 2(xx), Copyright Act, 1957</w:t>
      </w:r>
    </w:p>
    <w:p w:rsidR="002A7AE8" w:rsidRPr="002A7AE8" w:rsidRDefault="002A7AE8" w:rsidP="002A7AE8">
      <w:pPr>
        <w:rPr>
          <w:rFonts w:cstheme="minorHAnsi"/>
          <w:sz w:val="28"/>
          <w:szCs w:val="28"/>
        </w:rPr>
      </w:pPr>
      <w:r w:rsidRPr="002A7AE8">
        <w:rPr>
          <w:rFonts w:cstheme="minorHAnsi"/>
          <w:sz w:val="28"/>
          <w:szCs w:val="28"/>
        </w:rPr>
        <w:lastRenderedPageBreak/>
        <w:t>"Sound recording" means a recording of sounds from which such sounds may be produced regardless of the medium on which such recording is made or the method by which the sounds are produced.</w:t>
      </w:r>
    </w:p>
    <w:p w:rsidR="002A7AE8" w:rsidRPr="002A7AE8" w:rsidRDefault="002A7AE8" w:rsidP="002A7AE8">
      <w:pPr>
        <w:rPr>
          <w:rFonts w:cstheme="minorHAnsi"/>
          <w:sz w:val="28"/>
          <w:szCs w:val="28"/>
        </w:rPr>
      </w:pPr>
      <w:r w:rsidRPr="002A7AE8">
        <w:rPr>
          <w:rFonts w:cstheme="minorHAnsi"/>
          <w:sz w:val="28"/>
          <w:szCs w:val="28"/>
        </w:rPr>
        <w:t>Section 2(xx) defines "sound recording" broadly — it covers any recording capable of reproducing sounds, regardless of the physical medium (vinyl, CD, digital file, streaming format) or method of production. This technology-neutral definition ensures that the law applies to formats that may not have existed at the time of drafting. The producer of the sound recording — the person who takes initiative and responsibility for making the recording — is the "author" of the sound recording under Section 2(d)(v) and is the first copyright owner under Section 17.</w:t>
      </w:r>
    </w:p>
    <w:p w:rsidR="002A7AE8" w:rsidRPr="002A7AE8" w:rsidRDefault="002A7AE8" w:rsidP="002A7AE8">
      <w:pPr>
        <w:rPr>
          <w:rFonts w:cstheme="minorHAnsi"/>
          <w:sz w:val="28"/>
          <w:szCs w:val="28"/>
        </w:rPr>
      </w:pPr>
      <w:r w:rsidRPr="002A7AE8">
        <w:rPr>
          <w:rFonts w:cstheme="minorHAnsi"/>
          <w:sz w:val="28"/>
          <w:szCs w:val="28"/>
        </w:rPr>
        <w:t>The exclusive rights of a sound recording producer under Section 14(e) include the right to make any other sound recording embodying the original, including storage in any medium by electronic means; the right to sell or give copies on commercial rental; and the right to communicate the sound recording to the public. Under Section 27, copyright in sound recordings subsists for sixty years from the beginning of the calendar year following the year of publication — a longer term than the twenty-five-year broadcast reproduction right.</w:t>
      </w:r>
    </w:p>
    <w:p w:rsidR="002A7AE8" w:rsidRPr="002A7AE8" w:rsidRDefault="002A7AE8" w:rsidP="002A7AE8">
      <w:pPr>
        <w:rPr>
          <w:rFonts w:cstheme="minorHAnsi"/>
          <w:sz w:val="28"/>
          <w:szCs w:val="28"/>
        </w:rPr>
      </w:pPr>
      <w:r w:rsidRPr="002A7AE8">
        <w:rPr>
          <w:rFonts w:cstheme="minorHAnsi"/>
          <w:sz w:val="28"/>
          <w:szCs w:val="28"/>
        </w:rPr>
        <w:t>F.</w:t>
      </w:r>
      <w:r w:rsidRPr="002A7AE8">
        <w:rPr>
          <w:rFonts w:cstheme="minorHAnsi"/>
          <w:sz w:val="28"/>
          <w:szCs w:val="28"/>
        </w:rPr>
        <w:tab/>
        <w:t>Acts not infringing broadcast or performer's rights — Section 39 Bare act – Section 39, Copyright Act, 1957</w:t>
      </w:r>
    </w:p>
    <w:p w:rsidR="002A7AE8" w:rsidRPr="002A7AE8" w:rsidRDefault="002A7AE8" w:rsidP="002A7AE8">
      <w:pPr>
        <w:rPr>
          <w:rFonts w:cstheme="minorHAnsi"/>
          <w:sz w:val="28"/>
          <w:szCs w:val="28"/>
        </w:rPr>
      </w:pPr>
      <w:r w:rsidRPr="002A7AE8">
        <w:rPr>
          <w:rFonts w:cstheme="minorHAnsi"/>
          <w:sz w:val="28"/>
          <w:szCs w:val="28"/>
        </w:rPr>
        <w:t>No broadcast reproduction right or performer's right shall be deemed to be infringed by</w:t>
      </w:r>
    </w:p>
    <w:p w:rsidR="002A7AE8" w:rsidRPr="002A7AE8" w:rsidRDefault="002A7AE8" w:rsidP="002A7AE8">
      <w:pPr>
        <w:rPr>
          <w:rFonts w:cstheme="minorHAnsi"/>
          <w:sz w:val="28"/>
          <w:szCs w:val="28"/>
        </w:rPr>
      </w:pPr>
      <w:r w:rsidRPr="002A7AE8">
        <w:rPr>
          <w:rFonts w:cstheme="minorHAnsi"/>
          <w:sz w:val="28"/>
          <w:szCs w:val="28"/>
        </w:rPr>
        <w:t>— (a) the making of any sound recording or visual recording for the private use of the person making such recording, or solely for purposes of bona fide teaching or research; or (b) the use, consistent with fair dealing, of excerpts of a performance or of a broadcast in the reporting of current events or for bona fide review, teaching or research; or (c) such other acts, with any necessary adaptations and modifications, which do not constitute infringement of copyright under Section 52.</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 xml:space="preserve">Section 39 mirrors the copyright exceptions in Section 52 and applies them to Neighboring rights. Private recording for personal use, bona fide teaching and research, and fair dealing for reporting current events are all exempt from broadcast and performer's right infringement. The third limb imports all </w:t>
      </w:r>
      <w:r w:rsidRPr="002A7AE8">
        <w:rPr>
          <w:rFonts w:cstheme="minorHAnsi"/>
          <w:sz w:val="28"/>
          <w:szCs w:val="28"/>
        </w:rPr>
        <w:lastRenderedPageBreak/>
        <w:t>Section 52 exceptions into the Neighboring rights framework with appropriate adaptations. This ensures coherence: acts that are permissible in relation to copyright do not simultaneously infringe Neighboring rights.</w:t>
      </w:r>
    </w:p>
    <w:p w:rsidR="002A7AE8" w:rsidRPr="002A7AE8" w:rsidRDefault="002A7AE8" w:rsidP="002A7AE8">
      <w:pPr>
        <w:rPr>
          <w:rFonts w:cstheme="minorHAnsi"/>
          <w:sz w:val="28"/>
          <w:szCs w:val="28"/>
        </w:rPr>
      </w:pPr>
      <w:r w:rsidRPr="002A7AE8">
        <w:rPr>
          <w:rFonts w:cstheme="minorHAnsi"/>
          <w:sz w:val="28"/>
          <w:szCs w:val="28"/>
        </w:rPr>
        <w:t>G.</w:t>
      </w:r>
      <w:r w:rsidRPr="002A7AE8">
        <w:rPr>
          <w:rFonts w:cstheme="minorHAnsi"/>
          <w:sz w:val="28"/>
          <w:szCs w:val="28"/>
        </w:rPr>
        <w:tab/>
        <w:t>Application of copyright provisions to Neighboring rights — Section 39A</w:t>
      </w:r>
    </w:p>
    <w:p w:rsidR="002A7AE8" w:rsidRPr="002A7AE8" w:rsidRDefault="002A7AE8" w:rsidP="002A7AE8">
      <w:pPr>
        <w:rPr>
          <w:rFonts w:cstheme="minorHAnsi"/>
          <w:sz w:val="28"/>
          <w:szCs w:val="28"/>
        </w:rPr>
      </w:pPr>
      <w:r w:rsidRPr="002A7AE8">
        <w:rPr>
          <w:rFonts w:cstheme="minorHAnsi"/>
          <w:sz w:val="28"/>
          <w:szCs w:val="28"/>
        </w:rPr>
        <w:t>Section 39A applies Sections 18, 19, 30, 30A, 33, 33A, 34, 35, 36, 53, 55, 58, 63, 64, 65,</w:t>
      </w:r>
    </w:p>
    <w:p w:rsidR="002A7AE8" w:rsidRPr="002A7AE8" w:rsidRDefault="002A7AE8" w:rsidP="002A7AE8">
      <w:pPr>
        <w:rPr>
          <w:rFonts w:cstheme="minorHAnsi"/>
          <w:sz w:val="28"/>
          <w:szCs w:val="28"/>
        </w:rPr>
      </w:pPr>
      <w:r w:rsidRPr="002A7AE8">
        <w:rPr>
          <w:rFonts w:cstheme="minorHAnsi"/>
          <w:sz w:val="28"/>
          <w:szCs w:val="28"/>
        </w:rPr>
        <w:t>65A, 65B, and 66 — with necessary adaptations — to broadcast reproduction rights and performers' rights. This means that all assignment, licensing, collective management, border enforcement, civil remedies, and criminal liability provisions applicable to copyright apply equally to Neighboring rights. The section also provides that no licence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to reproduce a broadcast shall be given without the consent of both the copyright owner in the underlying work and the broadcaster.</w:t>
      </w:r>
    </w:p>
    <w:p w:rsidR="002A7AE8" w:rsidRPr="002A7AE8" w:rsidRDefault="002A7AE8" w:rsidP="002A7AE8">
      <w:pPr>
        <w:rPr>
          <w:rFonts w:cstheme="minorHAnsi"/>
          <w:sz w:val="28"/>
          <w:szCs w:val="28"/>
        </w:rPr>
      </w:pPr>
      <w:r w:rsidRPr="002A7AE8">
        <w:rPr>
          <w:rFonts w:cstheme="minorHAnsi"/>
          <w:sz w:val="28"/>
          <w:szCs w:val="28"/>
        </w:rPr>
        <w:t>Comparative table: Performers, phonogram producers and broadcasters</w:t>
      </w:r>
    </w:p>
    <w:p w:rsidR="002A7AE8" w:rsidRPr="002A7AE8" w:rsidRDefault="002A7AE8" w:rsidP="002A7AE8">
      <w:pPr>
        <w:rPr>
          <w:rFonts w:cstheme="minorHAnsi"/>
          <w:sz w:val="28"/>
          <w:szCs w:val="28"/>
        </w:rPr>
      </w:pPr>
      <w:r w:rsidRPr="002A7AE8">
        <w:rPr>
          <w:rFonts w:cstheme="minorHAnsi"/>
          <w:sz w:val="28"/>
          <w:szCs w:val="28"/>
        </w:rPr>
        <w:t>Basis</w:t>
      </w:r>
      <w:r w:rsidRPr="002A7AE8">
        <w:rPr>
          <w:rFonts w:cstheme="minorHAnsi"/>
          <w:sz w:val="28"/>
          <w:szCs w:val="28"/>
        </w:rPr>
        <w:tab/>
        <w:t>Performer</w:t>
      </w:r>
      <w:r w:rsidRPr="002A7AE8">
        <w:rPr>
          <w:rFonts w:cstheme="minorHAnsi"/>
          <w:sz w:val="28"/>
          <w:szCs w:val="28"/>
        </w:rPr>
        <w:tab/>
        <w:t>Phonogram producer</w:t>
      </w:r>
      <w:r w:rsidRPr="002A7AE8">
        <w:rPr>
          <w:rFonts w:cstheme="minorHAnsi"/>
          <w:sz w:val="28"/>
          <w:szCs w:val="28"/>
        </w:rPr>
        <w:tab/>
        <w:t>Broadcasting organization</w:t>
      </w:r>
    </w:p>
    <w:p w:rsidR="002A7AE8" w:rsidRPr="002A7AE8" w:rsidRDefault="002A7AE8" w:rsidP="002A7AE8">
      <w:pPr>
        <w:rPr>
          <w:rFonts w:cstheme="minorHAnsi"/>
          <w:sz w:val="28"/>
          <w:szCs w:val="28"/>
        </w:rPr>
      </w:pPr>
      <w:r w:rsidRPr="002A7AE8">
        <w:rPr>
          <w:rFonts w:cstheme="minorHAnsi"/>
          <w:sz w:val="28"/>
          <w:szCs w:val="28"/>
        </w:rPr>
        <w:t>Contribution</w:t>
      </w:r>
      <w:r w:rsidRPr="002A7AE8">
        <w:rPr>
          <w:rFonts w:cstheme="minorHAnsi"/>
          <w:sz w:val="28"/>
          <w:szCs w:val="28"/>
        </w:rPr>
        <w:tab/>
        <w:t>Artistic performance</w:t>
      </w:r>
      <w:r w:rsidRPr="002A7AE8">
        <w:rPr>
          <w:rFonts w:cstheme="minorHAnsi"/>
          <w:sz w:val="28"/>
          <w:szCs w:val="28"/>
        </w:rPr>
        <w:tab/>
        <w:t>Sound recording production</w:t>
      </w:r>
      <w:r w:rsidRPr="002A7AE8">
        <w:rPr>
          <w:rFonts w:cstheme="minorHAnsi"/>
          <w:sz w:val="28"/>
          <w:szCs w:val="28"/>
        </w:rPr>
        <w:tab/>
        <w:t>Transmission of content</w:t>
      </w:r>
    </w:p>
    <w:p w:rsidR="002A7AE8" w:rsidRPr="002A7AE8" w:rsidRDefault="002A7AE8" w:rsidP="002A7AE8">
      <w:pPr>
        <w:rPr>
          <w:rFonts w:cstheme="minorHAnsi"/>
          <w:sz w:val="28"/>
          <w:szCs w:val="28"/>
        </w:rPr>
      </w:pPr>
      <w:r w:rsidRPr="002A7AE8">
        <w:rPr>
          <w:rFonts w:cstheme="minorHAnsi"/>
          <w:sz w:val="28"/>
          <w:szCs w:val="28"/>
        </w:rPr>
        <w:t>Example</w:t>
      </w:r>
      <w:r w:rsidRPr="002A7AE8">
        <w:rPr>
          <w:rFonts w:cstheme="minorHAnsi"/>
          <w:sz w:val="28"/>
          <w:szCs w:val="28"/>
        </w:rPr>
        <w:tab/>
        <w:t>Singer, actor, dancer</w:t>
      </w:r>
      <w:r w:rsidRPr="002A7AE8">
        <w:rPr>
          <w:rFonts w:cstheme="minorHAnsi"/>
          <w:sz w:val="28"/>
          <w:szCs w:val="28"/>
        </w:rPr>
        <w:tab/>
        <w:t>Music label, recording company</w:t>
      </w:r>
      <w:r w:rsidRPr="002A7AE8">
        <w:rPr>
          <w:rFonts w:cstheme="minorHAnsi"/>
          <w:sz w:val="28"/>
          <w:szCs w:val="28"/>
        </w:rPr>
        <w:tab/>
        <w:t>Television or radio channel</w:t>
      </w:r>
    </w:p>
    <w:p w:rsidR="002A7AE8" w:rsidRPr="002A7AE8" w:rsidRDefault="002A7AE8" w:rsidP="002A7AE8">
      <w:pPr>
        <w:rPr>
          <w:rFonts w:cstheme="minorHAnsi"/>
          <w:sz w:val="28"/>
          <w:szCs w:val="28"/>
        </w:rPr>
      </w:pPr>
      <w:r w:rsidRPr="002A7AE8">
        <w:rPr>
          <w:rFonts w:cstheme="minorHAnsi"/>
          <w:sz w:val="28"/>
          <w:szCs w:val="28"/>
        </w:rPr>
        <w:t>Relevant section</w:t>
      </w:r>
      <w:r w:rsidRPr="002A7AE8">
        <w:rPr>
          <w:rFonts w:cstheme="minorHAnsi"/>
          <w:sz w:val="28"/>
          <w:szCs w:val="28"/>
        </w:rPr>
        <w:tab/>
        <w:t>Sections 38, 38A, 38B</w:t>
      </w:r>
      <w:r w:rsidRPr="002A7AE8">
        <w:rPr>
          <w:rFonts w:cstheme="minorHAnsi"/>
          <w:sz w:val="28"/>
          <w:szCs w:val="28"/>
        </w:rPr>
        <w:tab/>
        <w:t>Sections 14(e), 27</w:t>
      </w:r>
      <w:r w:rsidRPr="002A7AE8">
        <w:rPr>
          <w:rFonts w:cstheme="minorHAnsi"/>
          <w:sz w:val="28"/>
          <w:szCs w:val="28"/>
        </w:rPr>
        <w:tab/>
        <w:t>Section 37</w:t>
      </w:r>
    </w:p>
    <w:p w:rsidR="002A7AE8" w:rsidRPr="002A7AE8" w:rsidRDefault="002A7AE8" w:rsidP="002A7AE8">
      <w:pPr>
        <w:rPr>
          <w:rFonts w:cstheme="minorHAnsi"/>
          <w:sz w:val="28"/>
          <w:szCs w:val="28"/>
        </w:rPr>
      </w:pPr>
      <w:r w:rsidRPr="002A7AE8">
        <w:rPr>
          <w:rFonts w:cstheme="minorHAnsi"/>
          <w:sz w:val="28"/>
          <w:szCs w:val="28"/>
        </w:rPr>
        <w:t>Main right</w:t>
      </w:r>
      <w:r w:rsidRPr="002A7AE8">
        <w:rPr>
          <w:rFonts w:cstheme="minorHAnsi"/>
          <w:sz w:val="28"/>
          <w:szCs w:val="28"/>
        </w:rPr>
        <w:tab/>
        <w:t>Performer's right</w:t>
      </w:r>
      <w:r w:rsidRPr="002A7AE8">
        <w:rPr>
          <w:rFonts w:cstheme="minorHAnsi"/>
          <w:sz w:val="28"/>
          <w:szCs w:val="28"/>
        </w:rPr>
        <w:tab/>
        <w:t>Copyright in sound recording</w:t>
      </w:r>
      <w:r w:rsidRPr="002A7AE8">
        <w:rPr>
          <w:rFonts w:cstheme="minorHAnsi"/>
          <w:sz w:val="28"/>
          <w:szCs w:val="28"/>
        </w:rPr>
        <w:tab/>
        <w:t>Broadcast reproduction right</w:t>
      </w:r>
    </w:p>
    <w:p w:rsidR="002A7AE8" w:rsidRPr="002A7AE8" w:rsidRDefault="002A7AE8" w:rsidP="002A7AE8">
      <w:pPr>
        <w:rPr>
          <w:rFonts w:cstheme="minorHAnsi"/>
          <w:sz w:val="28"/>
          <w:szCs w:val="28"/>
        </w:rPr>
      </w:pPr>
      <w:r w:rsidRPr="002A7AE8">
        <w:rPr>
          <w:rFonts w:cstheme="minorHAnsi"/>
          <w:sz w:val="28"/>
          <w:szCs w:val="28"/>
        </w:rPr>
        <w:t>Term</w:t>
      </w:r>
      <w:r w:rsidRPr="002A7AE8">
        <w:rPr>
          <w:rFonts w:cstheme="minorHAnsi"/>
          <w:sz w:val="28"/>
          <w:szCs w:val="28"/>
        </w:rPr>
        <w:tab/>
        <w:t>50 years</w:t>
      </w:r>
      <w:r w:rsidRPr="002A7AE8">
        <w:rPr>
          <w:rFonts w:cstheme="minorHAnsi"/>
          <w:sz w:val="28"/>
          <w:szCs w:val="28"/>
        </w:rPr>
        <w:tab/>
        <w:t>60 years from publication</w:t>
      </w:r>
      <w:r w:rsidRPr="002A7AE8">
        <w:rPr>
          <w:rFonts w:cstheme="minorHAnsi"/>
          <w:sz w:val="28"/>
          <w:szCs w:val="28"/>
        </w:rPr>
        <w:tab/>
        <w:t>25 years</w:t>
      </w:r>
    </w:p>
    <w:p w:rsidR="002A7AE8" w:rsidRPr="002A7AE8" w:rsidRDefault="002A7AE8" w:rsidP="002A7AE8">
      <w:pPr>
        <w:rPr>
          <w:rFonts w:cstheme="minorHAnsi"/>
          <w:sz w:val="28"/>
          <w:szCs w:val="28"/>
        </w:rPr>
      </w:pPr>
      <w:r w:rsidRPr="002A7AE8">
        <w:rPr>
          <w:rFonts w:cstheme="minorHAnsi"/>
          <w:sz w:val="28"/>
          <w:szCs w:val="28"/>
        </w:rPr>
        <w:t>Moral rights</w:t>
      </w:r>
      <w:r w:rsidRPr="002A7AE8">
        <w:rPr>
          <w:rFonts w:cstheme="minorHAnsi"/>
          <w:sz w:val="28"/>
          <w:szCs w:val="28"/>
        </w:rPr>
        <w:tab/>
        <w:t>Yes — Section 38B</w:t>
      </w:r>
      <w:r w:rsidRPr="002A7AE8">
        <w:rPr>
          <w:rFonts w:cstheme="minorHAnsi"/>
          <w:sz w:val="28"/>
          <w:szCs w:val="28"/>
        </w:rPr>
        <w:tab/>
        <w:t>No</w:t>
      </w:r>
      <w:r w:rsidRPr="002A7AE8">
        <w:rPr>
          <w:rFonts w:cstheme="minorHAnsi"/>
          <w:sz w:val="28"/>
          <w:szCs w:val="28"/>
        </w:rPr>
        <w:tab/>
        <w:t>No</w:t>
      </w:r>
    </w:p>
    <w:p w:rsidR="002A7AE8" w:rsidRPr="002A7AE8" w:rsidRDefault="002A7AE8" w:rsidP="002A7AE8">
      <w:pPr>
        <w:rPr>
          <w:rFonts w:cstheme="minorHAnsi"/>
          <w:sz w:val="28"/>
          <w:szCs w:val="28"/>
        </w:rPr>
      </w:pPr>
      <w:r w:rsidRPr="002A7AE8">
        <w:rPr>
          <w:rFonts w:cstheme="minorHAnsi"/>
          <w:sz w:val="28"/>
          <w:szCs w:val="28"/>
        </w:rPr>
        <w:t>International protection of Neighboring rights</w:t>
      </w:r>
    </w:p>
    <w:p w:rsidR="002A7AE8" w:rsidRPr="002A7AE8" w:rsidRDefault="002A7AE8" w:rsidP="002A7AE8">
      <w:pPr>
        <w:rPr>
          <w:rFonts w:cstheme="minorHAnsi"/>
          <w:sz w:val="28"/>
          <w:szCs w:val="28"/>
        </w:rPr>
      </w:pPr>
      <w:r w:rsidRPr="002A7AE8">
        <w:rPr>
          <w:rFonts w:cstheme="minorHAnsi"/>
          <w:sz w:val="28"/>
          <w:szCs w:val="28"/>
        </w:rPr>
        <w:t xml:space="preserve">Neighboring rights are recognized internationally under two principal instruments. The Rome Convention for the Protection of Performers, Producers of Phonograms and Broadcasting Organizations, 1961 — administered by WIPO, the ILO, and UNESCO — was the first comprehensive treaty on Neighboring rights, providing international protection for all three </w:t>
      </w:r>
      <w:r w:rsidRPr="002A7AE8">
        <w:rPr>
          <w:rFonts w:cstheme="minorHAnsi"/>
          <w:sz w:val="28"/>
          <w:szCs w:val="28"/>
        </w:rPr>
        <w:lastRenderedPageBreak/>
        <w:t>categories on the basis of national treatment. The WIPO Performances and Phonograms Treaty (WPPT), 1996 modernized Neighboring rights for the digital environment, granting performers express moral rights and comprehensive digital economic rights, and requiring legal protection for technological protection measures and rights management information.</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Chapter VIII of the Copyright Act, 1957 recognizes that performers, phonogram producers, and broadcasting organizations make indispensable contributions to the creative economy. Section 37 protects the broadcaster's investment in transmission infrastructure; Sections 38 and 38A protect the performer's artistic contribution through both defensive and positive exclusive rights; Section 38B extends moral rights to performers; and the sound recording rights in Section 14(e) protect the producer's financial and technical investment in recordings. Together, these provisions —</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reinforced by international frameworks — create a coherent Neighboring rights system that rewards contribution, prevents unauthorized exploitation, and promotes the sustainable growth of cultural and entertainment industries.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IMPORTANT CASE LAWS</w:t>
      </w:r>
    </w:p>
    <w:p w:rsidR="002A7AE8" w:rsidRPr="002A7AE8" w:rsidRDefault="002A7AE8" w:rsidP="002A7AE8">
      <w:pPr>
        <w:rPr>
          <w:rFonts w:cstheme="minorHAnsi"/>
          <w:sz w:val="28"/>
          <w:szCs w:val="28"/>
        </w:rPr>
      </w:pPr>
      <w:r w:rsidRPr="002A7AE8">
        <w:rPr>
          <w:rFonts w:cstheme="minorHAnsi"/>
          <w:sz w:val="28"/>
          <w:szCs w:val="28"/>
        </w:rPr>
        <w:t>CASE 1: R.G. ANAND V. DELUX FILMS</w:t>
      </w:r>
    </w:p>
    <w:p w:rsidR="002A7AE8" w:rsidRPr="002A7AE8" w:rsidRDefault="002A7AE8" w:rsidP="002A7AE8">
      <w:pPr>
        <w:rPr>
          <w:rFonts w:cstheme="minorHAnsi"/>
          <w:sz w:val="28"/>
          <w:szCs w:val="28"/>
        </w:rPr>
      </w:pPr>
      <w:r w:rsidRPr="002A7AE8">
        <w:rPr>
          <w:rFonts w:cstheme="minorHAnsi"/>
          <w:sz w:val="28"/>
          <w:szCs w:val="28"/>
        </w:rPr>
        <w:t>Citation: (1978) 4 SCC 118 | Supreme Court of India</w:t>
      </w:r>
    </w:p>
    <w:p w:rsidR="002A7AE8" w:rsidRPr="002A7AE8" w:rsidRDefault="002A7AE8" w:rsidP="002A7AE8">
      <w:pPr>
        <w:rPr>
          <w:rFonts w:cstheme="minorHAnsi"/>
          <w:sz w:val="28"/>
          <w:szCs w:val="28"/>
        </w:rPr>
      </w:pPr>
      <w:r w:rsidRPr="002A7AE8">
        <w:rPr>
          <w:rFonts w:cstheme="minorHAnsi"/>
          <w:sz w:val="28"/>
          <w:szCs w:val="28"/>
        </w:rPr>
        <w:t>Facts: The plaintiff R.G. Anand was a playwright who had written a play titled 'Hum Hindustani', dealing with the theme of regionalism and inter-regional prejudice in India. The defendants produced a film titled 'New Delhi' which, the plaintiff alleged, was a substantial reproduction of his play in terms of theme, plot, and expression.</w:t>
      </w:r>
    </w:p>
    <w:p w:rsidR="002A7AE8" w:rsidRPr="002A7AE8" w:rsidRDefault="002A7AE8" w:rsidP="002A7AE8">
      <w:pPr>
        <w:rPr>
          <w:rFonts w:cstheme="minorHAnsi"/>
          <w:sz w:val="28"/>
          <w:szCs w:val="28"/>
        </w:rPr>
      </w:pPr>
      <w:r w:rsidRPr="002A7AE8">
        <w:rPr>
          <w:rFonts w:cstheme="minorHAnsi"/>
          <w:sz w:val="28"/>
          <w:szCs w:val="28"/>
        </w:rPr>
        <w:t>Issue: (i) Whether copyright protection extends to the general theme or idea of a work. (ii) Whether the film constituted an infringement of the plaintiff's copyright in the play.</w:t>
      </w:r>
    </w:p>
    <w:p w:rsidR="002A7AE8" w:rsidRPr="002A7AE8" w:rsidRDefault="002A7AE8" w:rsidP="002A7AE8">
      <w:pPr>
        <w:rPr>
          <w:rFonts w:cstheme="minorHAnsi"/>
          <w:sz w:val="28"/>
          <w:szCs w:val="28"/>
        </w:rPr>
      </w:pPr>
      <w:r w:rsidRPr="002A7AE8">
        <w:rPr>
          <w:rFonts w:cstheme="minorHAnsi"/>
          <w:sz w:val="28"/>
          <w:szCs w:val="28"/>
        </w:rPr>
        <w:lastRenderedPageBreak/>
        <w:t>Held: The Supreme Court held that copyright protects the expression of an idea and not the idea itself. There can be no copyright in ideas, subject matter, themes, plots, or historical or legendary facts. The Court laid down the test that if the similarities between two works are confined to the general theme and the mode of expression is markedly different, no infringement is established. If, however, the reader or viewer unmistakably gets the impression that the later work is a copy of the earlier, infringement may be found. On the facts, the Court found no infringement.</w:t>
      </w:r>
    </w:p>
    <w:p w:rsidR="002A7AE8" w:rsidRPr="002A7AE8" w:rsidRDefault="002A7AE8" w:rsidP="002A7AE8">
      <w:pPr>
        <w:rPr>
          <w:rFonts w:cstheme="minorHAnsi"/>
          <w:sz w:val="28"/>
          <w:szCs w:val="28"/>
        </w:rPr>
      </w:pPr>
      <w:r w:rsidRPr="002A7AE8">
        <w:rPr>
          <w:rFonts w:cstheme="minorHAnsi"/>
          <w:sz w:val="28"/>
          <w:szCs w:val="28"/>
        </w:rPr>
        <w:t>Significance: This is the foundational Indian authority on the idea–expression dichotomy in copyright law, consistent with the principles codified in Article 9(2) of the TRIPS Agreement. The test laid down in this case continues to be applied in all subsequent cases dealing with alleged copying of films, plays, and literary works.</w:t>
      </w:r>
    </w:p>
    <w:p w:rsidR="002A7AE8" w:rsidRPr="002A7AE8" w:rsidRDefault="002A7AE8" w:rsidP="002A7AE8">
      <w:pPr>
        <w:rPr>
          <w:rFonts w:cstheme="minorHAnsi"/>
          <w:sz w:val="28"/>
          <w:szCs w:val="28"/>
        </w:rPr>
      </w:pPr>
      <w:r w:rsidRPr="002A7AE8">
        <w:rPr>
          <w:rFonts w:cstheme="minorHAnsi"/>
          <w:sz w:val="28"/>
          <w:szCs w:val="28"/>
        </w:rPr>
        <w:t>CASE 2: EASTERN BOOK COMPANY V. D.B. MODAK</w:t>
      </w:r>
    </w:p>
    <w:p w:rsidR="002A7AE8" w:rsidRPr="002A7AE8" w:rsidRDefault="002A7AE8" w:rsidP="002A7AE8">
      <w:pPr>
        <w:rPr>
          <w:rFonts w:cstheme="minorHAnsi"/>
          <w:sz w:val="28"/>
          <w:szCs w:val="28"/>
        </w:rPr>
      </w:pPr>
      <w:r w:rsidRPr="002A7AE8">
        <w:rPr>
          <w:rFonts w:cstheme="minorHAnsi"/>
          <w:sz w:val="28"/>
          <w:szCs w:val="28"/>
        </w:rPr>
        <w:t>Citation: (2008) 1 SCC 1 | Supreme Court of India</w:t>
      </w:r>
    </w:p>
    <w:p w:rsidR="002A7AE8" w:rsidRPr="002A7AE8" w:rsidRDefault="002A7AE8" w:rsidP="002A7AE8">
      <w:pPr>
        <w:rPr>
          <w:rFonts w:cstheme="minorHAnsi"/>
          <w:sz w:val="28"/>
          <w:szCs w:val="28"/>
        </w:rPr>
      </w:pPr>
      <w:r w:rsidRPr="002A7AE8">
        <w:rPr>
          <w:rFonts w:cstheme="minorHAnsi"/>
          <w:sz w:val="28"/>
          <w:szCs w:val="28"/>
        </w:rPr>
        <w:t>Facts: Eastern Book Company (EBC) published the Supreme Court Cases (SCC) law reports, incorporating copy-edited judgments of the Supreme Court of India along with original editorial inputs such as headnotes, cross-references, and footnotes. The defendants reproduced these edited judgments and editorial additions without authorization.</w:t>
      </w:r>
    </w:p>
    <w:p w:rsidR="002A7AE8" w:rsidRPr="002A7AE8" w:rsidRDefault="002A7AE8" w:rsidP="002A7AE8">
      <w:pPr>
        <w:rPr>
          <w:rFonts w:cstheme="minorHAnsi"/>
          <w:sz w:val="28"/>
          <w:szCs w:val="28"/>
        </w:rPr>
      </w:pPr>
      <w:r w:rsidRPr="002A7AE8">
        <w:rPr>
          <w:rFonts w:cstheme="minorHAnsi"/>
          <w:sz w:val="28"/>
          <w:szCs w:val="28"/>
        </w:rPr>
        <w:t>Issue: What degree of originality is required for copyright protection? Whether EBC's edited judgments and editorial inputs qualified as original works.</w:t>
      </w:r>
    </w:p>
    <w:p w:rsidR="002A7AE8" w:rsidRPr="002A7AE8" w:rsidRDefault="002A7AE8" w:rsidP="002A7AE8">
      <w:pPr>
        <w:rPr>
          <w:rFonts w:cstheme="minorHAnsi"/>
          <w:sz w:val="28"/>
          <w:szCs w:val="28"/>
        </w:rPr>
      </w:pPr>
      <w:r w:rsidRPr="002A7AE8">
        <w:rPr>
          <w:rFonts w:cstheme="minorHAnsi"/>
          <w:sz w:val="28"/>
          <w:szCs w:val="28"/>
        </w:rPr>
        <w:t>Held: A five-judge constitutional bench of the Supreme Court unanimously rejected the 'sweat of the brow' doctrine — under which mere labour and effort would suffice — and adopted the 'modicum of creativity' test as the standard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for originality in India. The Court held that a work requires minimum intellectual creativity in addition to skill and labour. EBC's original editorial inputs — headnotes, catchwords, and cross-references — were held to be sufficiently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lastRenderedPageBreak/>
        <w:t>original to attract copyright protection. The raw text of the Supreme Court judgments was held to be in the public domain.</w:t>
      </w:r>
    </w:p>
    <w:p w:rsidR="002A7AE8" w:rsidRPr="002A7AE8" w:rsidRDefault="002A7AE8" w:rsidP="002A7AE8">
      <w:pPr>
        <w:rPr>
          <w:rFonts w:cstheme="minorHAnsi"/>
          <w:sz w:val="28"/>
          <w:szCs w:val="28"/>
        </w:rPr>
      </w:pPr>
      <w:r w:rsidRPr="002A7AE8">
        <w:rPr>
          <w:rFonts w:cstheme="minorHAnsi"/>
          <w:sz w:val="28"/>
          <w:szCs w:val="28"/>
        </w:rPr>
        <w:t>Significance: This is the leading Indian authority on the standard of originality required for copyright protection. It brought India's approach in line with the creativity-based standard prevalent in most jurisdictions and fundamentally shaped the law relating to copyright in compilations, databases, and other derivative works.</w:t>
      </w:r>
    </w:p>
    <w:p w:rsidR="002A7AE8" w:rsidRPr="002A7AE8" w:rsidRDefault="002A7AE8" w:rsidP="002A7AE8">
      <w:pPr>
        <w:rPr>
          <w:rFonts w:cstheme="minorHAnsi"/>
          <w:sz w:val="28"/>
          <w:szCs w:val="28"/>
        </w:rPr>
      </w:pPr>
      <w:r w:rsidRPr="002A7AE8">
        <w:rPr>
          <w:rFonts w:cstheme="minorHAnsi"/>
          <w:sz w:val="28"/>
          <w:szCs w:val="28"/>
        </w:rPr>
        <w:t>CASE 3: INDIAN PERFORMING RIGHTS SOCIETY LTD. V. EASTERN INDIA MOTION PICTURES ASSOCIATION</w:t>
      </w:r>
    </w:p>
    <w:p w:rsidR="002A7AE8" w:rsidRPr="002A7AE8" w:rsidRDefault="002A7AE8" w:rsidP="002A7AE8">
      <w:pPr>
        <w:rPr>
          <w:rFonts w:cstheme="minorHAnsi"/>
          <w:sz w:val="28"/>
          <w:szCs w:val="28"/>
        </w:rPr>
      </w:pPr>
      <w:r w:rsidRPr="002A7AE8">
        <w:rPr>
          <w:rFonts w:cstheme="minorHAnsi"/>
          <w:sz w:val="28"/>
          <w:szCs w:val="28"/>
        </w:rPr>
        <w:t>Citation: (1977) 2 SCC 820 | Supreme Court of India</w:t>
      </w:r>
    </w:p>
    <w:p w:rsidR="002A7AE8" w:rsidRPr="002A7AE8" w:rsidRDefault="002A7AE8" w:rsidP="002A7AE8">
      <w:pPr>
        <w:rPr>
          <w:rFonts w:cstheme="minorHAnsi"/>
          <w:sz w:val="28"/>
          <w:szCs w:val="28"/>
        </w:rPr>
      </w:pPr>
      <w:r w:rsidRPr="002A7AE8">
        <w:rPr>
          <w:rFonts w:cstheme="minorHAnsi"/>
          <w:sz w:val="28"/>
          <w:szCs w:val="28"/>
        </w:rPr>
        <w:t>Facts: The Indian Performing Rights Society (IPRS), representing the collective rights of music composers and lyricists, claimed royalties from film exhibitors for the public performance of films incorporating musical and literary works. Film producers contended that upon commissioning and paying for the musical works, all rights in those works vested in them, extinguishing the independent rights of the composers and lyricists.</w:t>
      </w:r>
    </w:p>
    <w:p w:rsidR="002A7AE8" w:rsidRPr="002A7AE8" w:rsidRDefault="002A7AE8" w:rsidP="002A7AE8">
      <w:pPr>
        <w:rPr>
          <w:rFonts w:cstheme="minorHAnsi"/>
          <w:sz w:val="28"/>
          <w:szCs w:val="28"/>
        </w:rPr>
      </w:pPr>
      <w:r w:rsidRPr="002A7AE8">
        <w:rPr>
          <w:rFonts w:cstheme="minorHAnsi"/>
          <w:sz w:val="28"/>
          <w:szCs w:val="28"/>
        </w:rPr>
        <w:t>Issue: Whether composers and lyricists retained independent performing rights in their works after the works were incorporated into a cinematograph film.</w:t>
      </w:r>
    </w:p>
    <w:p w:rsidR="002A7AE8" w:rsidRPr="002A7AE8" w:rsidRDefault="002A7AE8" w:rsidP="002A7AE8">
      <w:pPr>
        <w:rPr>
          <w:rFonts w:cstheme="minorHAnsi"/>
          <w:sz w:val="28"/>
          <w:szCs w:val="28"/>
        </w:rPr>
      </w:pPr>
      <w:r w:rsidRPr="002A7AE8">
        <w:rPr>
          <w:rFonts w:cstheme="minorHAnsi"/>
          <w:sz w:val="28"/>
          <w:szCs w:val="28"/>
        </w:rPr>
        <w:t>Held: The Supreme Court held that under the then-existing provisions of the Act, upon incorporation of musical or literary works into a cinematograph film with the author's consent, the producer became the owner of copyright in the film and the right to cause the film to be performed in public vested in the producer. The independent performing rights of composers and lyricists were thus subsumed.</w:t>
      </w:r>
    </w:p>
    <w:p w:rsidR="002A7AE8" w:rsidRPr="002A7AE8" w:rsidRDefault="002A7AE8" w:rsidP="002A7AE8">
      <w:pPr>
        <w:rPr>
          <w:rFonts w:cstheme="minorHAnsi"/>
          <w:sz w:val="28"/>
          <w:szCs w:val="28"/>
        </w:rPr>
      </w:pPr>
      <w:r w:rsidRPr="002A7AE8">
        <w:rPr>
          <w:rFonts w:cstheme="minorHAnsi"/>
          <w:sz w:val="28"/>
          <w:szCs w:val="28"/>
        </w:rPr>
        <w:t>Significance: This decision exposed significant weaknesses in the protection of individual authors vis-à-vis powerful commercial producers and directly influenced the Copyright (Amendment) Act, 2012. The 2012 Amendment introduced new provisos to Sections 18 and 19, ensuring that authors and composers receive an equal share of royalties for exploitation of their works in forms other than cinema-hall exhibition, and that any agreement to the contrary is void.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CASE 4: AMAR NATH SEHGAL V. UNION OF INDIA</w:t>
      </w:r>
    </w:p>
    <w:p w:rsidR="002A7AE8" w:rsidRPr="002A7AE8" w:rsidRDefault="002A7AE8" w:rsidP="002A7AE8">
      <w:pPr>
        <w:rPr>
          <w:rFonts w:cstheme="minorHAnsi"/>
          <w:sz w:val="28"/>
          <w:szCs w:val="28"/>
        </w:rPr>
      </w:pPr>
      <w:r w:rsidRPr="002A7AE8">
        <w:rPr>
          <w:rFonts w:cstheme="minorHAnsi"/>
          <w:sz w:val="28"/>
          <w:szCs w:val="28"/>
        </w:rPr>
        <w:lastRenderedPageBreak/>
        <w:t>Citation: 2005 (30) PTC 253 (Delhi High Court)</w:t>
      </w:r>
    </w:p>
    <w:p w:rsidR="002A7AE8" w:rsidRPr="002A7AE8" w:rsidRDefault="002A7AE8" w:rsidP="002A7AE8">
      <w:pPr>
        <w:rPr>
          <w:rFonts w:cstheme="minorHAnsi"/>
          <w:sz w:val="28"/>
          <w:szCs w:val="28"/>
        </w:rPr>
      </w:pPr>
      <w:r w:rsidRPr="002A7AE8">
        <w:rPr>
          <w:rFonts w:cstheme="minorHAnsi"/>
          <w:sz w:val="28"/>
          <w:szCs w:val="28"/>
        </w:rPr>
        <w:t>Facts: The plaintiff, Amar Nath Sehgal, was an eminent Indian sculptor who created a large bronze mural for Vigyan Bhavan in New Delhi. The Government of India subsequently removed the mural and stored it in a warehouse, where it suffered damage. The plaintiff sought to invoke his moral rights under Section 57 of the Copyright Act.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Issue: Whether an author's moral rights under Section 57 survive the transfer of ownership of the physical work and whether damage to the work constituted a violation of such rights.</w:t>
      </w:r>
    </w:p>
    <w:p w:rsidR="002A7AE8" w:rsidRPr="002A7AE8" w:rsidRDefault="002A7AE8" w:rsidP="002A7AE8">
      <w:pPr>
        <w:rPr>
          <w:rFonts w:cstheme="minorHAnsi"/>
          <w:sz w:val="28"/>
          <w:szCs w:val="28"/>
        </w:rPr>
      </w:pPr>
      <w:r w:rsidRPr="002A7AE8">
        <w:rPr>
          <w:rFonts w:cstheme="minorHAnsi"/>
          <w:sz w:val="28"/>
          <w:szCs w:val="28"/>
        </w:rPr>
        <w:t>Held: The Delhi High Court held that moral rights are personal to the author and are not extinguished by the transfer of ownership of either the copyright or the physical work. The Government's removal and storage of the mural in conditions causing damage constituted a distortion and mutilation of the work prejudicial to the sculptor's honour and reputation, in violation of the right of integrity under Section 57(1)(b). The Court awarded compensation to the plaintiff and ordered the return of the mural.</w:t>
      </w:r>
    </w:p>
    <w:p w:rsidR="002A7AE8" w:rsidRPr="002A7AE8" w:rsidRDefault="002A7AE8" w:rsidP="002A7AE8">
      <w:pPr>
        <w:rPr>
          <w:rFonts w:cstheme="minorHAnsi"/>
          <w:sz w:val="28"/>
          <w:szCs w:val="28"/>
        </w:rPr>
      </w:pPr>
      <w:r w:rsidRPr="002A7AE8">
        <w:rPr>
          <w:rFonts w:cstheme="minorHAnsi"/>
          <w:sz w:val="28"/>
          <w:szCs w:val="28"/>
        </w:rPr>
        <w:t>Significance: This is the landmark Indian decision affirming the doctrine of moral rights. It established that Section 57 creates a perpetual right of the author that persists even after the physical work is no longer owned by the author, thereby protecting the author's creative identity and reputation against destruction or derogatory treatment.</w:t>
      </w:r>
    </w:p>
    <w:p w:rsidR="002A7AE8" w:rsidRPr="002A7AE8" w:rsidRDefault="002A7AE8" w:rsidP="002A7AE8">
      <w:pPr>
        <w:rPr>
          <w:rFonts w:cstheme="minorHAnsi"/>
          <w:sz w:val="28"/>
          <w:szCs w:val="28"/>
        </w:rPr>
      </w:pPr>
      <w:r w:rsidRPr="002A7AE8">
        <w:rPr>
          <w:rFonts w:cstheme="minorHAnsi"/>
          <w:sz w:val="28"/>
          <w:szCs w:val="28"/>
        </w:rPr>
        <w:t>CASE 5: UNIVERSITY OF OXFORD V. RAMESHWARI PHOTOCOPY SERVICES</w:t>
      </w:r>
    </w:p>
    <w:p w:rsidR="002A7AE8" w:rsidRPr="002A7AE8" w:rsidRDefault="002A7AE8" w:rsidP="002A7AE8">
      <w:pPr>
        <w:rPr>
          <w:rFonts w:cstheme="minorHAnsi"/>
          <w:sz w:val="28"/>
          <w:szCs w:val="28"/>
        </w:rPr>
      </w:pPr>
      <w:r w:rsidRPr="002A7AE8">
        <w:rPr>
          <w:rFonts w:cstheme="minorHAnsi"/>
          <w:sz w:val="28"/>
          <w:szCs w:val="28"/>
        </w:rPr>
        <w:t>Citation: 2016 SCC Online Del 6229 | Delhi High Court</w:t>
      </w:r>
    </w:p>
    <w:p w:rsidR="002A7AE8" w:rsidRPr="002A7AE8" w:rsidRDefault="002A7AE8" w:rsidP="002A7AE8">
      <w:pPr>
        <w:rPr>
          <w:rFonts w:cstheme="minorHAnsi"/>
          <w:sz w:val="28"/>
          <w:szCs w:val="28"/>
        </w:rPr>
      </w:pPr>
      <w:r w:rsidRPr="002A7AE8">
        <w:rPr>
          <w:rFonts w:cstheme="minorHAnsi"/>
          <w:sz w:val="28"/>
          <w:szCs w:val="28"/>
        </w:rPr>
        <w:t>Facts: Major academic publishers — Oxford University Press, Cambridge University Press, and Taylor &amp; Francis — brought an infringement action against a photocopy shop operating within the Delhi University campus and against Delhi University itself. The photocopy shop was reproducing substantial portions of the publishers' copyrighted textbooks in the form of 'course packs' sold to students.</w:t>
      </w:r>
    </w:p>
    <w:p w:rsidR="002A7AE8" w:rsidRPr="002A7AE8" w:rsidRDefault="002A7AE8" w:rsidP="002A7AE8">
      <w:pPr>
        <w:rPr>
          <w:rFonts w:cstheme="minorHAnsi"/>
          <w:sz w:val="28"/>
          <w:szCs w:val="28"/>
        </w:rPr>
      </w:pPr>
      <w:r w:rsidRPr="002A7AE8">
        <w:rPr>
          <w:rFonts w:cstheme="minorHAnsi"/>
          <w:sz w:val="28"/>
          <w:szCs w:val="28"/>
        </w:rPr>
        <w:t>Issue: Whether the reproduction of portions of copyrighted academic textbooks for use by university students as course packs constitutes copyright infringement or falls within the educational exception under Section 52(1)(i) of the Copyright Act.</w:t>
      </w:r>
    </w:p>
    <w:p w:rsidR="002A7AE8" w:rsidRPr="002A7AE8" w:rsidRDefault="002A7AE8" w:rsidP="002A7AE8">
      <w:pPr>
        <w:rPr>
          <w:rFonts w:cstheme="minorHAnsi"/>
          <w:sz w:val="28"/>
          <w:szCs w:val="28"/>
        </w:rPr>
      </w:pPr>
      <w:r w:rsidRPr="002A7AE8">
        <w:rPr>
          <w:rFonts w:cstheme="minorHAnsi"/>
          <w:sz w:val="28"/>
          <w:szCs w:val="28"/>
        </w:rPr>
        <w:lastRenderedPageBreak/>
        <w:t>Held: A Division Bench of the Delhi High Court held that Section 52(1)(i)(i) — which permits reproduction of any work by a teacher or pupil in the course of instruction — is not limited to any particular format or medium, and extends to the preparation of course packs for students. The Court held that the provision covers the reproduction of works in the course of educational instruction and dismissed the publishers' infringement claim.</w:t>
      </w:r>
    </w:p>
    <w:p w:rsidR="002A7AE8" w:rsidRPr="002A7AE8" w:rsidRDefault="002A7AE8" w:rsidP="002A7AE8">
      <w:pPr>
        <w:rPr>
          <w:rFonts w:cstheme="minorHAnsi"/>
          <w:sz w:val="28"/>
          <w:szCs w:val="28"/>
        </w:rPr>
      </w:pPr>
      <w:r w:rsidRPr="002A7AE8">
        <w:rPr>
          <w:rFonts w:cstheme="minorHAnsi"/>
          <w:sz w:val="28"/>
          <w:szCs w:val="28"/>
        </w:rPr>
        <w:t>Significance: This is the most significant Indian decision on the scope of educational exceptions to copyright. It affirmed the primacy of access to education and affirmed that India's copyright law, unlike many other jurisdictions, does not impose a 'not-for-profit' qualification on the educational exception in Section 52(1)(i).</w:t>
      </w:r>
    </w:p>
    <w:p w:rsidR="002A7AE8" w:rsidRPr="002A7AE8" w:rsidRDefault="002A7AE8" w:rsidP="002A7AE8">
      <w:pPr>
        <w:rPr>
          <w:rFonts w:cstheme="minorHAnsi"/>
          <w:sz w:val="28"/>
          <w:szCs w:val="28"/>
        </w:rPr>
      </w:pPr>
      <w:r w:rsidRPr="002A7AE8">
        <w:rPr>
          <w:rFonts w:cstheme="minorHAnsi"/>
          <w:sz w:val="28"/>
          <w:szCs w:val="28"/>
        </w:rPr>
        <w:t>CASE 6: CIVIC CHANDRAN V. AMMINI AMMA</w:t>
      </w:r>
    </w:p>
    <w:p w:rsidR="002A7AE8" w:rsidRPr="002A7AE8" w:rsidRDefault="002A7AE8" w:rsidP="002A7AE8">
      <w:pPr>
        <w:rPr>
          <w:rFonts w:cstheme="minorHAnsi"/>
          <w:sz w:val="28"/>
          <w:szCs w:val="28"/>
        </w:rPr>
      </w:pPr>
      <w:r w:rsidRPr="002A7AE8">
        <w:rPr>
          <w:rFonts w:cstheme="minorHAnsi"/>
          <w:sz w:val="28"/>
          <w:szCs w:val="28"/>
        </w:rPr>
        <w:t>Citation: 1996 PTC (16) 670 | Kerala High Court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Facts: The defendant staged a counter-drama that was a parody and social critique of the plaintiff's copyrighted play. The counter-drama used elements of the original play but presented them in a critical and satirical manner.</w:t>
      </w:r>
    </w:p>
    <w:p w:rsidR="002A7AE8" w:rsidRPr="002A7AE8" w:rsidRDefault="002A7AE8" w:rsidP="002A7AE8">
      <w:pPr>
        <w:rPr>
          <w:rFonts w:cstheme="minorHAnsi"/>
          <w:sz w:val="28"/>
          <w:szCs w:val="28"/>
        </w:rPr>
      </w:pPr>
      <w:r w:rsidRPr="002A7AE8">
        <w:rPr>
          <w:rFonts w:cstheme="minorHAnsi"/>
          <w:sz w:val="28"/>
          <w:szCs w:val="28"/>
        </w:rPr>
        <w:t>Issue: Whether a parody or critical work that reproduces elements of a copyrighted work constitutes infringement or is protected by the fair dealing exception.</w:t>
      </w:r>
    </w:p>
    <w:p w:rsidR="002A7AE8" w:rsidRPr="002A7AE8" w:rsidRDefault="002A7AE8" w:rsidP="002A7AE8">
      <w:pPr>
        <w:rPr>
          <w:rFonts w:cstheme="minorHAnsi"/>
          <w:sz w:val="28"/>
          <w:szCs w:val="28"/>
        </w:rPr>
      </w:pPr>
      <w:r w:rsidRPr="002A7AE8">
        <w:rPr>
          <w:rFonts w:cstheme="minorHAnsi"/>
          <w:sz w:val="28"/>
          <w:szCs w:val="28"/>
        </w:rPr>
        <w:t>Held: The Kerala High Court held that criticism and parody of an original work constitute fair dealing within the meaning of Section 52 of the Copyright Act and do not constitute infringement, provided that the use is genuine, proportionate, and does not amount to a substantial reproduction of the original expression. The defence was upheld.</w:t>
      </w:r>
    </w:p>
    <w:p w:rsidR="002A7AE8" w:rsidRPr="002A7AE8" w:rsidRDefault="002A7AE8" w:rsidP="002A7AE8">
      <w:pPr>
        <w:rPr>
          <w:rFonts w:cstheme="minorHAnsi"/>
          <w:sz w:val="28"/>
          <w:szCs w:val="28"/>
        </w:rPr>
      </w:pPr>
      <w:r w:rsidRPr="002A7AE8">
        <w:rPr>
          <w:rFonts w:cstheme="minorHAnsi"/>
          <w:sz w:val="28"/>
          <w:szCs w:val="28"/>
        </w:rPr>
        <w:t>Significance: This is the leading Indian authority on the fair dealing defence in the context of parody and criticism. It ensures that creative commentary on existing works — a form of cultural expression in its own right — is not unjustifiably suppressed by the copyright owner.</w:t>
      </w:r>
    </w:p>
    <w:p w:rsidR="002A7AE8" w:rsidRPr="002A7AE8" w:rsidRDefault="002A7AE8" w:rsidP="002A7AE8">
      <w:pPr>
        <w:rPr>
          <w:rFonts w:cstheme="minorHAnsi"/>
          <w:sz w:val="28"/>
          <w:szCs w:val="28"/>
        </w:rPr>
      </w:pPr>
      <w:r w:rsidRPr="002A7AE8">
        <w:rPr>
          <w:rFonts w:cstheme="minorHAnsi"/>
          <w:sz w:val="28"/>
          <w:szCs w:val="28"/>
        </w:rPr>
        <w:t>CASE 7: SUPER CASSETTES INDUSTRIES LTD. V. MYSPACE INC.</w:t>
      </w:r>
    </w:p>
    <w:p w:rsidR="002A7AE8" w:rsidRPr="002A7AE8" w:rsidRDefault="002A7AE8" w:rsidP="002A7AE8">
      <w:pPr>
        <w:rPr>
          <w:rFonts w:cstheme="minorHAnsi"/>
          <w:sz w:val="28"/>
          <w:szCs w:val="28"/>
        </w:rPr>
      </w:pPr>
      <w:r w:rsidRPr="002A7AE8">
        <w:rPr>
          <w:rFonts w:cstheme="minorHAnsi"/>
          <w:sz w:val="28"/>
          <w:szCs w:val="28"/>
        </w:rPr>
        <w:t>Citation: 236 (2017) DLT 478 | Delhi High Court</w:t>
      </w:r>
    </w:p>
    <w:p w:rsidR="002A7AE8" w:rsidRPr="002A7AE8" w:rsidRDefault="002A7AE8" w:rsidP="002A7AE8">
      <w:pPr>
        <w:rPr>
          <w:rFonts w:cstheme="minorHAnsi"/>
          <w:sz w:val="28"/>
          <w:szCs w:val="28"/>
        </w:rPr>
      </w:pPr>
      <w:r w:rsidRPr="002A7AE8">
        <w:rPr>
          <w:rFonts w:cstheme="minorHAnsi"/>
          <w:sz w:val="28"/>
          <w:szCs w:val="28"/>
        </w:rPr>
        <w:t xml:space="preserve">Facts: Super Cassettes Industries Ltd. (T-Series), a major Indian music company, brought a copyright infringement suit against Myspace Inc., an online social </w:t>
      </w:r>
      <w:r w:rsidRPr="002A7AE8">
        <w:rPr>
          <w:rFonts w:cstheme="minorHAnsi"/>
          <w:sz w:val="28"/>
          <w:szCs w:val="28"/>
        </w:rPr>
        <w:lastRenderedPageBreak/>
        <w:t>networking platform, for hosting and allowing users to upload and share copyrighted musical works owned by T-Series without authorization.</w:t>
      </w:r>
    </w:p>
    <w:p w:rsidR="002A7AE8" w:rsidRPr="002A7AE8" w:rsidRDefault="002A7AE8" w:rsidP="002A7AE8">
      <w:pPr>
        <w:rPr>
          <w:rFonts w:cstheme="minorHAnsi"/>
          <w:sz w:val="28"/>
          <w:szCs w:val="28"/>
        </w:rPr>
      </w:pPr>
      <w:r w:rsidRPr="002A7AE8">
        <w:rPr>
          <w:rFonts w:cstheme="minorHAnsi"/>
          <w:sz w:val="28"/>
          <w:szCs w:val="28"/>
        </w:rPr>
        <w:t>Issue: Whether an online intermediary platform is liable for copyright infringement in respect of user-uploaded infringing content, and what notice-and-takedown obligations apply.</w:t>
      </w:r>
    </w:p>
    <w:p w:rsidR="002A7AE8" w:rsidRPr="002A7AE8" w:rsidRDefault="002A7AE8" w:rsidP="002A7AE8">
      <w:pPr>
        <w:rPr>
          <w:rFonts w:cstheme="minorHAnsi"/>
          <w:sz w:val="28"/>
          <w:szCs w:val="28"/>
        </w:rPr>
      </w:pPr>
      <w:r w:rsidRPr="002A7AE8">
        <w:rPr>
          <w:rFonts w:cstheme="minorHAnsi"/>
          <w:sz w:val="28"/>
          <w:szCs w:val="28"/>
        </w:rPr>
        <w:t>Held: The Delhi High Court held that online intermediaries cannot claim blanket immunity from copyright liability in respect of user-uploaded content. Upon receipt of actual knowledge of the infringing content (for example, through a notice from the rights holder), the platform is under a duty to promptly remove or disable access to the infringing material. The Court discussed the interplay between the Copyright Act and the provisions of Section 79 of the Information Technology Act, 2000 relating to intermediary liability.</w:t>
      </w:r>
    </w:p>
    <w:p w:rsidR="002A7AE8" w:rsidRPr="002A7AE8" w:rsidRDefault="002A7AE8" w:rsidP="002A7AE8">
      <w:pPr>
        <w:rPr>
          <w:rFonts w:cstheme="minorHAnsi"/>
          <w:sz w:val="28"/>
          <w:szCs w:val="28"/>
        </w:rPr>
      </w:pPr>
      <w:r w:rsidRPr="002A7AE8">
        <w:rPr>
          <w:rFonts w:cstheme="minorHAnsi"/>
          <w:sz w:val="28"/>
          <w:szCs w:val="28"/>
        </w:rPr>
        <w:t>Significance: This is the landmark Indian decision on digital copyright liability and the notice-and-takedown framework for online platforms, with significant implications for the regulation of user-generated content and online copyright enforcement in India.</w:t>
      </w:r>
    </w:p>
    <w:p w:rsidR="002A7AE8" w:rsidRPr="002A7AE8" w:rsidRDefault="002A7AE8" w:rsidP="002A7AE8">
      <w:pPr>
        <w:rPr>
          <w:rFonts w:cstheme="minorHAnsi"/>
          <w:sz w:val="28"/>
          <w:szCs w:val="28"/>
        </w:rPr>
      </w:pPr>
      <w:r w:rsidRPr="002A7AE8">
        <w:rPr>
          <w:rFonts w:cstheme="minorHAnsi"/>
          <w:sz w:val="28"/>
          <w:szCs w:val="28"/>
        </w:rPr>
        <w:t>CASE 8: ENTERTAINMENT NETWORK (INDIA) LTD. V. SUPER CASSETTE INDUSTRIES LTD.</w:t>
      </w:r>
    </w:p>
    <w:p w:rsidR="002A7AE8" w:rsidRPr="002A7AE8" w:rsidRDefault="002A7AE8" w:rsidP="002A7AE8">
      <w:pPr>
        <w:rPr>
          <w:rFonts w:cstheme="minorHAnsi"/>
          <w:sz w:val="28"/>
          <w:szCs w:val="28"/>
        </w:rPr>
      </w:pPr>
      <w:r w:rsidRPr="002A7AE8">
        <w:rPr>
          <w:rFonts w:cstheme="minorHAnsi"/>
          <w:sz w:val="28"/>
          <w:szCs w:val="28"/>
        </w:rPr>
        <w:t>Citation: (2008) 13 SCC 30 | Supreme Court of India</w:t>
      </w:r>
    </w:p>
    <w:p w:rsidR="002A7AE8" w:rsidRPr="002A7AE8" w:rsidRDefault="002A7AE8" w:rsidP="002A7AE8">
      <w:pPr>
        <w:rPr>
          <w:rFonts w:cstheme="minorHAnsi"/>
          <w:sz w:val="28"/>
          <w:szCs w:val="28"/>
        </w:rPr>
      </w:pPr>
      <w:r w:rsidRPr="002A7AE8">
        <w:rPr>
          <w:rFonts w:cstheme="minorHAnsi"/>
          <w:sz w:val="28"/>
          <w:szCs w:val="28"/>
        </w:rPr>
        <w:t>Facts: Entertainment Network (India) Ltd. (Radio Mirchi), an FM radio broadcaster, sought compulsory licenses under Section 31 of the Copyright Act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to broadcast sound recordings owned by Super Cassette Industries Ltd., after failing to reach a commercially acceptable licensing agreement with the copyright owner.</w:t>
      </w:r>
    </w:p>
    <w:p w:rsidR="002A7AE8" w:rsidRPr="002A7AE8" w:rsidRDefault="002A7AE8" w:rsidP="002A7AE8">
      <w:pPr>
        <w:rPr>
          <w:rFonts w:cstheme="minorHAnsi"/>
          <w:sz w:val="28"/>
          <w:szCs w:val="28"/>
        </w:rPr>
      </w:pPr>
      <w:r w:rsidRPr="002A7AE8">
        <w:rPr>
          <w:rFonts w:cstheme="minorHAnsi"/>
          <w:sz w:val="28"/>
          <w:szCs w:val="28"/>
        </w:rPr>
        <w:t>Issue: Whether the provisions relating to compulsory licensing could be invoked by FM radio broadcasters, and on what principles royalty rates should be determined.</w:t>
      </w:r>
    </w:p>
    <w:p w:rsidR="002A7AE8" w:rsidRPr="002A7AE8" w:rsidRDefault="002A7AE8" w:rsidP="002A7AE8">
      <w:pPr>
        <w:rPr>
          <w:rFonts w:cstheme="minorHAnsi"/>
          <w:sz w:val="28"/>
          <w:szCs w:val="28"/>
        </w:rPr>
      </w:pPr>
      <w:r w:rsidRPr="002A7AE8">
        <w:rPr>
          <w:rFonts w:cstheme="minorHAnsi"/>
          <w:sz w:val="28"/>
          <w:szCs w:val="28"/>
        </w:rPr>
        <w:t xml:space="preserve">Held: The Supreme Court held that copyright is not an absolute right and that the public interest may justify the grant of a compulsory licence where the copyright owner unreasonably withholds consent. The Court laid down </w:t>
      </w:r>
      <w:r w:rsidRPr="002A7AE8">
        <w:rPr>
          <w:rFonts w:cstheme="minorHAnsi"/>
          <w:sz w:val="28"/>
          <w:szCs w:val="28"/>
        </w:rPr>
        <w:lastRenderedPageBreak/>
        <w:t>principles for the determination of fair and reasonable royalty rates in compulsory licensing matters.</w:t>
      </w:r>
    </w:p>
    <w:p w:rsidR="002A7AE8" w:rsidRPr="002A7AE8" w:rsidRDefault="002A7AE8" w:rsidP="002A7AE8">
      <w:pPr>
        <w:rPr>
          <w:rFonts w:cstheme="minorHAnsi"/>
          <w:sz w:val="28"/>
          <w:szCs w:val="28"/>
        </w:rPr>
      </w:pPr>
      <w:r w:rsidRPr="002A7AE8">
        <w:rPr>
          <w:rFonts w:cstheme="minorHAnsi"/>
          <w:sz w:val="28"/>
          <w:szCs w:val="28"/>
        </w:rPr>
        <w:t>Significance: This is the leading authority on the scope and application of compulsory licensing provisions in Indian copyright law, with important implications for the broadcasting industry and the balance between owners' economic rights and the public's interest in access to creative content.</w:t>
      </w:r>
    </w:p>
    <w:p w:rsidR="002A7AE8" w:rsidRPr="002A7AE8" w:rsidRDefault="002A7AE8" w:rsidP="002A7AE8">
      <w:pPr>
        <w:rPr>
          <w:rFonts w:cstheme="minorHAnsi"/>
          <w:sz w:val="28"/>
          <w:szCs w:val="28"/>
        </w:rPr>
      </w:pPr>
      <w:r w:rsidRPr="002A7AE8">
        <w:rPr>
          <w:rFonts w:cstheme="minorHAnsi"/>
          <w:sz w:val="28"/>
          <w:szCs w:val="28"/>
        </w:rPr>
        <w:t>CASE 9: MANNU BHANDARI V. KALA VIKAS PICTURES PVT. LTD.</w:t>
      </w:r>
    </w:p>
    <w:p w:rsidR="002A7AE8" w:rsidRPr="002A7AE8" w:rsidRDefault="002A7AE8" w:rsidP="002A7AE8">
      <w:pPr>
        <w:rPr>
          <w:rFonts w:cstheme="minorHAnsi"/>
          <w:sz w:val="28"/>
          <w:szCs w:val="28"/>
        </w:rPr>
      </w:pPr>
      <w:r w:rsidRPr="002A7AE8">
        <w:rPr>
          <w:rFonts w:cstheme="minorHAnsi"/>
          <w:sz w:val="28"/>
          <w:szCs w:val="28"/>
        </w:rPr>
        <w:t>Citation: AIR 1987 Del 13 | Delhi High Court</w:t>
      </w:r>
    </w:p>
    <w:p w:rsidR="002A7AE8" w:rsidRPr="002A7AE8" w:rsidRDefault="002A7AE8" w:rsidP="002A7AE8">
      <w:pPr>
        <w:rPr>
          <w:rFonts w:cstheme="minorHAnsi"/>
          <w:sz w:val="28"/>
          <w:szCs w:val="28"/>
        </w:rPr>
      </w:pPr>
      <w:r w:rsidRPr="002A7AE8">
        <w:rPr>
          <w:rFonts w:cstheme="minorHAnsi"/>
          <w:sz w:val="28"/>
          <w:szCs w:val="28"/>
        </w:rPr>
        <w:t>Facts: The plaintiff, a well-known Hindi author, licensed her novel 'Aap Ka Bunty' for film adaptation. The film adaptation significantly altered the original story and characters in ways that the plaintiff found objectionable and prejudicial to her literary reputation.</w:t>
      </w:r>
    </w:p>
    <w:p w:rsidR="002A7AE8" w:rsidRPr="002A7AE8" w:rsidRDefault="002A7AE8" w:rsidP="002A7AE8">
      <w:pPr>
        <w:rPr>
          <w:rFonts w:cstheme="minorHAnsi"/>
          <w:sz w:val="28"/>
          <w:szCs w:val="28"/>
        </w:rPr>
      </w:pPr>
      <w:r w:rsidRPr="002A7AE8">
        <w:rPr>
          <w:rFonts w:cstheme="minorHAnsi"/>
          <w:sz w:val="28"/>
          <w:szCs w:val="28"/>
        </w:rPr>
        <w:t>Issue: Whether the film producer's significant alterations to the licensed literary work violated the author's moral rights under Section 57.</w:t>
      </w:r>
    </w:p>
    <w:p w:rsidR="002A7AE8" w:rsidRPr="002A7AE8" w:rsidRDefault="002A7AE8" w:rsidP="002A7AE8">
      <w:pPr>
        <w:rPr>
          <w:rFonts w:cstheme="minorHAnsi"/>
          <w:sz w:val="28"/>
          <w:szCs w:val="28"/>
        </w:rPr>
      </w:pPr>
      <w:r w:rsidRPr="002A7AE8">
        <w:rPr>
          <w:rFonts w:cstheme="minorHAnsi"/>
          <w:sz w:val="28"/>
          <w:szCs w:val="28"/>
        </w:rPr>
        <w:t>Held: The Delhi High Court held that the author retained moral rights under Section 57 even after licensing the work for adaptation, and that modifications constituting distortion or mutilation prejudicial to the author's reputation were actionable. The Court granted relief to the plaintiff.</w:t>
      </w:r>
    </w:p>
    <w:p w:rsidR="002A7AE8" w:rsidRPr="002A7AE8" w:rsidRDefault="002A7AE8" w:rsidP="002A7AE8">
      <w:pPr>
        <w:rPr>
          <w:rFonts w:cstheme="minorHAnsi"/>
          <w:sz w:val="28"/>
          <w:szCs w:val="28"/>
        </w:rPr>
      </w:pPr>
      <w:r w:rsidRPr="002A7AE8">
        <w:rPr>
          <w:rFonts w:cstheme="minorHAnsi"/>
          <w:sz w:val="28"/>
          <w:szCs w:val="28"/>
        </w:rPr>
        <w:t>Significance: An early and important recognition of the right of integrity in the context of film adaptations of literary works in India, affirming that economic exploitation of a work cannot override an author's moral rights.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CASE 10: KRISHIKA LULLA V. SHYAM VITHALRAO DEVKATTA</w:t>
      </w:r>
    </w:p>
    <w:p w:rsidR="002A7AE8" w:rsidRPr="002A7AE8" w:rsidRDefault="002A7AE8" w:rsidP="002A7AE8">
      <w:pPr>
        <w:rPr>
          <w:rFonts w:cstheme="minorHAnsi"/>
          <w:sz w:val="28"/>
          <w:szCs w:val="28"/>
        </w:rPr>
      </w:pPr>
      <w:r w:rsidRPr="002A7AE8">
        <w:rPr>
          <w:rFonts w:cstheme="minorHAnsi"/>
          <w:sz w:val="28"/>
          <w:szCs w:val="28"/>
        </w:rPr>
        <w:t>Citation: (2016) 2 SCC 521 | Supreme Court of India</w:t>
      </w:r>
    </w:p>
    <w:p w:rsidR="002A7AE8" w:rsidRPr="002A7AE8" w:rsidRDefault="002A7AE8" w:rsidP="002A7AE8">
      <w:pPr>
        <w:rPr>
          <w:rFonts w:cstheme="minorHAnsi"/>
          <w:sz w:val="28"/>
          <w:szCs w:val="28"/>
        </w:rPr>
      </w:pPr>
      <w:r w:rsidRPr="002A7AE8">
        <w:rPr>
          <w:rFonts w:cstheme="minorHAnsi"/>
          <w:sz w:val="28"/>
          <w:szCs w:val="28"/>
        </w:rPr>
        <w:t>Facts: The respondent claimed copyright protection over the film title 'Desi Boys' and alleged that the appellant's use of the title constituted copyright infringement.</w:t>
      </w:r>
    </w:p>
    <w:p w:rsidR="002A7AE8" w:rsidRPr="002A7AE8" w:rsidRDefault="002A7AE8" w:rsidP="002A7AE8">
      <w:pPr>
        <w:rPr>
          <w:rFonts w:cstheme="minorHAnsi"/>
          <w:sz w:val="28"/>
          <w:szCs w:val="28"/>
        </w:rPr>
      </w:pPr>
      <w:r w:rsidRPr="002A7AE8">
        <w:rPr>
          <w:rFonts w:cstheme="minorHAnsi"/>
          <w:sz w:val="28"/>
          <w:szCs w:val="28"/>
        </w:rPr>
        <w:t>Issue: Whether a mere title or name is capable of being protected by copyright under the Copyright Act, 1957.</w:t>
      </w:r>
    </w:p>
    <w:p w:rsidR="002A7AE8" w:rsidRPr="002A7AE8" w:rsidRDefault="002A7AE8" w:rsidP="002A7AE8">
      <w:pPr>
        <w:rPr>
          <w:rFonts w:cstheme="minorHAnsi"/>
          <w:sz w:val="28"/>
          <w:szCs w:val="28"/>
        </w:rPr>
      </w:pPr>
      <w:r w:rsidRPr="002A7AE8">
        <w:rPr>
          <w:rFonts w:cstheme="minorHAnsi"/>
          <w:sz w:val="28"/>
          <w:szCs w:val="28"/>
        </w:rPr>
        <w:t>Held: The Supreme Court held that a mere title or name generally lacks the requisite degree of originality to qualify for copyright protection as a literary work. A title, which is typically just a few words, does not constitute an</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independent literary work. Copyright protection is available only to works of substantial intellectual expression.</w:t>
      </w:r>
    </w:p>
    <w:p w:rsidR="002A7AE8" w:rsidRPr="002A7AE8" w:rsidRDefault="002A7AE8" w:rsidP="002A7AE8">
      <w:pPr>
        <w:rPr>
          <w:rFonts w:cstheme="minorHAnsi"/>
          <w:sz w:val="28"/>
          <w:szCs w:val="28"/>
        </w:rPr>
      </w:pPr>
      <w:r w:rsidRPr="002A7AE8">
        <w:rPr>
          <w:rFonts w:cstheme="minorHAnsi"/>
          <w:sz w:val="28"/>
          <w:szCs w:val="28"/>
        </w:rPr>
        <w:t>Significance: This decision authoritatively settled the question of copyright in titles in India, clarifying that titles must be protected, if at all, through the law of passing off or trademark law rather than copyright law.</w:t>
      </w:r>
    </w:p>
    <w:p w:rsidR="002A7AE8" w:rsidRPr="002A7AE8" w:rsidRDefault="002A7AE8" w:rsidP="002A7AE8">
      <w:pPr>
        <w:rPr>
          <w:rFonts w:cstheme="minorHAnsi"/>
          <w:sz w:val="28"/>
          <w:szCs w:val="28"/>
        </w:rPr>
      </w:pPr>
      <w:r w:rsidRPr="002A7AE8">
        <w:rPr>
          <w:rFonts w:cstheme="minorHAnsi"/>
          <w:sz w:val="28"/>
          <w:szCs w:val="28"/>
        </w:rPr>
        <w:t>CASE 11: GARWARE PLASTICS AND POLYESTER LTD. V. TELELINK</w:t>
      </w:r>
    </w:p>
    <w:p w:rsidR="002A7AE8" w:rsidRPr="002A7AE8" w:rsidRDefault="002A7AE8" w:rsidP="002A7AE8">
      <w:pPr>
        <w:rPr>
          <w:rFonts w:cstheme="minorHAnsi"/>
          <w:sz w:val="28"/>
          <w:szCs w:val="28"/>
        </w:rPr>
      </w:pPr>
      <w:r w:rsidRPr="002A7AE8">
        <w:rPr>
          <w:rFonts w:cstheme="minorHAnsi"/>
          <w:sz w:val="28"/>
          <w:szCs w:val="28"/>
        </w:rPr>
        <w:t>Citation: AIR 1989 Bom 331 | Bombay High Court</w:t>
      </w:r>
    </w:p>
    <w:p w:rsidR="002A7AE8" w:rsidRPr="002A7AE8" w:rsidRDefault="002A7AE8" w:rsidP="002A7AE8">
      <w:pPr>
        <w:rPr>
          <w:rFonts w:cstheme="minorHAnsi"/>
          <w:sz w:val="28"/>
          <w:szCs w:val="28"/>
        </w:rPr>
      </w:pPr>
      <w:r w:rsidRPr="002A7AE8">
        <w:rPr>
          <w:rFonts w:cstheme="minorHAnsi"/>
          <w:sz w:val="28"/>
          <w:szCs w:val="28"/>
        </w:rPr>
        <w:t>Facts: The dispute concerned the reproduction and commercial exploitation of computer software, in the context of whether computer programs were entitled to copyright protection under Indian law.</w:t>
      </w:r>
    </w:p>
    <w:p w:rsidR="002A7AE8" w:rsidRPr="002A7AE8" w:rsidRDefault="002A7AE8" w:rsidP="002A7AE8">
      <w:pPr>
        <w:rPr>
          <w:rFonts w:cstheme="minorHAnsi"/>
          <w:sz w:val="28"/>
          <w:szCs w:val="28"/>
        </w:rPr>
      </w:pPr>
      <w:r w:rsidRPr="002A7AE8">
        <w:rPr>
          <w:rFonts w:cstheme="minorHAnsi"/>
          <w:sz w:val="28"/>
          <w:szCs w:val="28"/>
        </w:rPr>
        <w:t>Held: The Bombay High Court held that computer programs are literary works and are entitled to copyright protection under the Copyright Act, 1957. The Court granted relief against the unauthorized copying and commercial exploitation of the software.</w:t>
      </w:r>
    </w:p>
    <w:p w:rsidR="002A7AE8" w:rsidRPr="002A7AE8" w:rsidRDefault="002A7AE8" w:rsidP="002A7AE8">
      <w:pPr>
        <w:rPr>
          <w:rFonts w:cstheme="minorHAnsi"/>
          <w:sz w:val="28"/>
          <w:szCs w:val="28"/>
        </w:rPr>
      </w:pPr>
      <w:r w:rsidRPr="002A7AE8">
        <w:rPr>
          <w:rFonts w:cstheme="minorHAnsi"/>
          <w:sz w:val="28"/>
          <w:szCs w:val="28"/>
        </w:rPr>
        <w:t>Significance: This is one of the earliest Indian decisions recognizing software copyright, preceding the express inclusion of computer programs within the definition of 'literary works' by the Copyright (Amendment) Act, 1994.</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SCASE 12: STAR INDIA PVT. LTD. V. PIYUSH AGARWAL</w:t>
      </w:r>
    </w:p>
    <w:p w:rsidR="002A7AE8" w:rsidRPr="002A7AE8" w:rsidRDefault="002A7AE8" w:rsidP="002A7AE8">
      <w:pPr>
        <w:rPr>
          <w:rFonts w:cstheme="minorHAnsi"/>
          <w:sz w:val="28"/>
          <w:szCs w:val="28"/>
        </w:rPr>
      </w:pPr>
      <w:r w:rsidRPr="002A7AE8">
        <w:rPr>
          <w:rFonts w:cstheme="minorHAnsi"/>
          <w:sz w:val="28"/>
          <w:szCs w:val="28"/>
        </w:rPr>
        <w:t>Citation: 2013 SCC OnLine Del 3795 | Delhi High Court</w:t>
      </w:r>
    </w:p>
    <w:p w:rsidR="002A7AE8" w:rsidRPr="002A7AE8" w:rsidRDefault="002A7AE8" w:rsidP="002A7AE8">
      <w:pPr>
        <w:rPr>
          <w:rFonts w:cstheme="minorHAnsi"/>
          <w:sz w:val="28"/>
          <w:szCs w:val="28"/>
        </w:rPr>
      </w:pPr>
      <w:r w:rsidRPr="002A7AE8">
        <w:rPr>
          <w:rFonts w:cstheme="minorHAnsi"/>
          <w:sz w:val="28"/>
          <w:szCs w:val="28"/>
        </w:rPr>
        <w:t>Facts: Star India, the owner of broadcast rights in cricket matches, brought an action against the defendant who was providing unauthorized online streaming of live cricket broadcasts.</w:t>
      </w:r>
    </w:p>
    <w:p w:rsidR="002A7AE8" w:rsidRPr="002A7AE8" w:rsidRDefault="002A7AE8" w:rsidP="002A7AE8">
      <w:pPr>
        <w:rPr>
          <w:rFonts w:cstheme="minorHAnsi"/>
          <w:sz w:val="28"/>
          <w:szCs w:val="28"/>
        </w:rPr>
      </w:pPr>
      <w:r w:rsidRPr="002A7AE8">
        <w:rPr>
          <w:rFonts w:cstheme="minorHAnsi"/>
          <w:sz w:val="28"/>
          <w:szCs w:val="28"/>
        </w:rPr>
        <w:t>Issue: Whether the unauthorized streaming of live cricket broadcasts over the internet constituted infringement of Star India's broadcast reproduction right under Section 37 of the Copyright Act.</w:t>
      </w:r>
    </w:p>
    <w:p w:rsidR="002A7AE8" w:rsidRPr="002A7AE8" w:rsidRDefault="002A7AE8" w:rsidP="002A7AE8">
      <w:pPr>
        <w:rPr>
          <w:rFonts w:cstheme="minorHAnsi"/>
          <w:sz w:val="28"/>
          <w:szCs w:val="28"/>
        </w:rPr>
      </w:pPr>
      <w:r w:rsidRPr="002A7AE8">
        <w:rPr>
          <w:rFonts w:cstheme="minorHAnsi"/>
          <w:sz w:val="28"/>
          <w:szCs w:val="28"/>
        </w:rPr>
        <w:t>Held: The Delhi High Court held that the defendant's unauthorized streaming violated Star India's broadcast reproduction right. The Court granted an injunction restraining the defendant from streaming the broadcasts.</w:t>
      </w:r>
    </w:p>
    <w:p w:rsidR="002A7AE8" w:rsidRPr="002A7AE8" w:rsidRDefault="002A7AE8" w:rsidP="002A7AE8">
      <w:pPr>
        <w:rPr>
          <w:rFonts w:cstheme="minorHAnsi"/>
          <w:sz w:val="28"/>
          <w:szCs w:val="28"/>
        </w:rPr>
      </w:pPr>
      <w:r w:rsidRPr="002A7AE8">
        <w:rPr>
          <w:rFonts w:cstheme="minorHAnsi"/>
          <w:sz w:val="28"/>
          <w:szCs w:val="28"/>
        </w:rPr>
        <w:lastRenderedPageBreak/>
        <w:t>Significance: An important decision extending the protection of broadcast reproduction rights to digital streaming over the internet, reinforcing the position that broadcast rights are enforceable in the online environment.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TABLE OF IMPORTANT PRINCIPLES DERIVED FROM CASE LAW</w:t>
      </w:r>
    </w:p>
    <w:p w:rsidR="002A7AE8" w:rsidRPr="002A7AE8" w:rsidRDefault="002A7AE8" w:rsidP="002A7AE8">
      <w:pPr>
        <w:rPr>
          <w:rFonts w:cstheme="minorHAnsi"/>
          <w:sz w:val="28"/>
          <w:szCs w:val="28"/>
        </w:rPr>
      </w:pPr>
      <w:r w:rsidRPr="002A7AE8">
        <w:rPr>
          <w:rFonts w:cstheme="minorHAnsi"/>
          <w:sz w:val="28"/>
          <w:szCs w:val="28"/>
        </w:rPr>
        <w:t>Legal Principle</w:t>
      </w:r>
      <w:r w:rsidRPr="002A7AE8">
        <w:rPr>
          <w:rFonts w:cstheme="minorHAnsi"/>
          <w:sz w:val="28"/>
          <w:szCs w:val="28"/>
        </w:rPr>
        <w:tab/>
        <w:t>Leading Case</w:t>
      </w:r>
    </w:p>
    <w:p w:rsidR="002A7AE8" w:rsidRPr="002A7AE8" w:rsidRDefault="002A7AE8" w:rsidP="002A7AE8">
      <w:pPr>
        <w:rPr>
          <w:rFonts w:cstheme="minorHAnsi"/>
          <w:sz w:val="28"/>
          <w:szCs w:val="28"/>
        </w:rPr>
      </w:pPr>
      <w:r w:rsidRPr="002A7AE8">
        <w:rPr>
          <w:rFonts w:cstheme="minorHAnsi"/>
          <w:sz w:val="28"/>
          <w:szCs w:val="28"/>
        </w:rPr>
        <w:t>Idea–expression dichotomy</w:t>
      </w:r>
      <w:r w:rsidRPr="002A7AE8">
        <w:rPr>
          <w:rFonts w:cstheme="minorHAnsi"/>
          <w:sz w:val="28"/>
          <w:szCs w:val="28"/>
        </w:rPr>
        <w:tab/>
        <w:t>R.G. Anand v. Delux Films (1978) 4 SCC 118</w:t>
      </w:r>
    </w:p>
    <w:p w:rsidR="002A7AE8" w:rsidRPr="002A7AE8" w:rsidRDefault="002A7AE8" w:rsidP="002A7AE8">
      <w:pPr>
        <w:rPr>
          <w:rFonts w:cstheme="minorHAnsi"/>
          <w:sz w:val="28"/>
          <w:szCs w:val="28"/>
        </w:rPr>
      </w:pPr>
      <w:r w:rsidRPr="002A7AE8">
        <w:rPr>
          <w:rFonts w:cstheme="minorHAnsi"/>
          <w:sz w:val="28"/>
          <w:szCs w:val="28"/>
        </w:rPr>
        <w:t>Modicum of creativity / originality test</w:t>
      </w:r>
      <w:r w:rsidRPr="002A7AE8">
        <w:rPr>
          <w:rFonts w:cstheme="minorHAnsi"/>
          <w:sz w:val="28"/>
          <w:szCs w:val="28"/>
        </w:rPr>
        <w:tab/>
        <w:t>Eastern Book Company v. D.B. Modak (2008) 1 SCC 1</w:t>
      </w:r>
    </w:p>
    <w:p w:rsidR="002A7AE8" w:rsidRPr="002A7AE8" w:rsidRDefault="002A7AE8" w:rsidP="002A7AE8">
      <w:pPr>
        <w:rPr>
          <w:rFonts w:cstheme="minorHAnsi"/>
          <w:sz w:val="28"/>
          <w:szCs w:val="28"/>
        </w:rPr>
      </w:pPr>
      <w:r w:rsidRPr="002A7AE8">
        <w:rPr>
          <w:rFonts w:cstheme="minorHAnsi"/>
          <w:sz w:val="28"/>
          <w:szCs w:val="28"/>
        </w:rPr>
        <w:t>Moral rights — right of integrity</w:t>
      </w:r>
      <w:r w:rsidRPr="002A7AE8">
        <w:rPr>
          <w:rFonts w:cstheme="minorHAnsi"/>
          <w:sz w:val="28"/>
          <w:szCs w:val="28"/>
        </w:rPr>
        <w:tab/>
        <w:t>Amar Nath Sehgal v. Union of India 2005 (30) PTC 253 (Del)</w:t>
      </w:r>
    </w:p>
    <w:p w:rsidR="002A7AE8" w:rsidRPr="002A7AE8" w:rsidRDefault="002A7AE8" w:rsidP="002A7AE8">
      <w:pPr>
        <w:rPr>
          <w:rFonts w:cstheme="minorHAnsi"/>
          <w:sz w:val="28"/>
          <w:szCs w:val="28"/>
        </w:rPr>
      </w:pPr>
      <w:r w:rsidRPr="002A7AE8">
        <w:rPr>
          <w:rFonts w:cstheme="minorHAnsi"/>
          <w:sz w:val="28"/>
          <w:szCs w:val="28"/>
        </w:rPr>
        <w:t>Educational fair dealing</w:t>
      </w:r>
      <w:r w:rsidRPr="002A7AE8">
        <w:rPr>
          <w:rFonts w:cstheme="minorHAnsi"/>
          <w:sz w:val="28"/>
          <w:szCs w:val="28"/>
        </w:rPr>
        <w:tab/>
        <w:t>University of Oxford v. Rameshwari Photocopy Services 2016 SCC OnLine Del 6229</w:t>
      </w:r>
    </w:p>
    <w:p w:rsidR="002A7AE8" w:rsidRPr="002A7AE8" w:rsidRDefault="002A7AE8" w:rsidP="002A7AE8">
      <w:pPr>
        <w:rPr>
          <w:rFonts w:cstheme="minorHAnsi"/>
          <w:sz w:val="28"/>
          <w:szCs w:val="28"/>
        </w:rPr>
      </w:pPr>
      <w:r w:rsidRPr="002A7AE8">
        <w:rPr>
          <w:rFonts w:cstheme="minorHAnsi"/>
          <w:sz w:val="28"/>
          <w:szCs w:val="28"/>
        </w:rPr>
        <w:t>Parody and criticism as fair dealing</w:t>
      </w:r>
      <w:r w:rsidRPr="002A7AE8">
        <w:rPr>
          <w:rFonts w:cstheme="minorHAnsi"/>
          <w:sz w:val="28"/>
          <w:szCs w:val="28"/>
        </w:rPr>
        <w:tab/>
        <w:t>Civic Chandran v. Ammini Amma 1996 PTC (16) 670 (Ker)</w:t>
      </w:r>
    </w:p>
    <w:p w:rsidR="002A7AE8" w:rsidRPr="002A7AE8" w:rsidRDefault="002A7AE8" w:rsidP="002A7AE8">
      <w:pPr>
        <w:rPr>
          <w:rFonts w:cstheme="minorHAnsi"/>
          <w:sz w:val="28"/>
          <w:szCs w:val="28"/>
        </w:rPr>
      </w:pPr>
      <w:r w:rsidRPr="002A7AE8">
        <w:rPr>
          <w:rFonts w:cstheme="minorHAnsi"/>
          <w:sz w:val="28"/>
          <w:szCs w:val="28"/>
        </w:rPr>
        <w:t>Intermediary liability — notice and takedown</w:t>
      </w:r>
      <w:r w:rsidRPr="002A7AE8">
        <w:rPr>
          <w:rFonts w:cstheme="minorHAnsi"/>
          <w:sz w:val="28"/>
          <w:szCs w:val="28"/>
        </w:rPr>
        <w:tab/>
        <w:t>Super Cassettes Industries v. MySpace Inc. 236 (2017) DLT 478</w:t>
      </w:r>
    </w:p>
    <w:p w:rsidR="002A7AE8" w:rsidRPr="002A7AE8" w:rsidRDefault="002A7AE8" w:rsidP="002A7AE8">
      <w:pPr>
        <w:rPr>
          <w:rFonts w:cstheme="minorHAnsi"/>
          <w:sz w:val="28"/>
          <w:szCs w:val="28"/>
        </w:rPr>
      </w:pPr>
      <w:r w:rsidRPr="002A7AE8">
        <w:rPr>
          <w:rFonts w:cstheme="minorHAnsi"/>
          <w:sz w:val="28"/>
          <w:szCs w:val="28"/>
        </w:rPr>
        <w:t>Compulsory licensing</w:t>
      </w:r>
      <w:r w:rsidRPr="002A7AE8">
        <w:rPr>
          <w:rFonts w:cstheme="minorHAnsi"/>
          <w:sz w:val="28"/>
          <w:szCs w:val="28"/>
        </w:rPr>
        <w:tab/>
        <w:t>Entertainment Network v. Super Cassette Industries (2008) 13 SCC 30</w:t>
      </w:r>
    </w:p>
    <w:p w:rsidR="002A7AE8" w:rsidRPr="002A7AE8" w:rsidRDefault="002A7AE8" w:rsidP="002A7AE8">
      <w:pPr>
        <w:rPr>
          <w:rFonts w:cstheme="minorHAnsi"/>
          <w:sz w:val="28"/>
          <w:szCs w:val="28"/>
        </w:rPr>
      </w:pPr>
      <w:r w:rsidRPr="002A7AE8">
        <w:rPr>
          <w:rFonts w:cstheme="minorHAnsi"/>
          <w:sz w:val="28"/>
          <w:szCs w:val="28"/>
        </w:rPr>
        <w:t>Broadcasting rights in digital streaming</w:t>
      </w:r>
      <w:r w:rsidRPr="002A7AE8">
        <w:rPr>
          <w:rFonts w:cstheme="minorHAnsi"/>
          <w:sz w:val="28"/>
          <w:szCs w:val="28"/>
        </w:rPr>
        <w:tab/>
        <w:t>Star India Pvt. Ltd. v. Piyush Agarwal 2013 SCC OnLine Del 3795</w:t>
      </w:r>
    </w:p>
    <w:p w:rsidR="002A7AE8" w:rsidRPr="002A7AE8" w:rsidRDefault="002A7AE8" w:rsidP="002A7AE8">
      <w:pPr>
        <w:rPr>
          <w:rFonts w:cstheme="minorHAnsi"/>
          <w:sz w:val="28"/>
          <w:szCs w:val="28"/>
        </w:rPr>
      </w:pPr>
      <w:r w:rsidRPr="002A7AE8">
        <w:rPr>
          <w:rFonts w:cstheme="minorHAnsi"/>
          <w:sz w:val="28"/>
          <w:szCs w:val="28"/>
        </w:rPr>
        <w:t>Copyright in film music — royalty rights</w:t>
      </w:r>
      <w:r w:rsidRPr="002A7AE8">
        <w:rPr>
          <w:rFonts w:cstheme="minorHAnsi"/>
          <w:sz w:val="28"/>
          <w:szCs w:val="28"/>
        </w:rPr>
        <w:tab/>
        <w:t>IPRS v. Eastern India Motion Pictures Association (1977) 2 SCC 820</w:t>
      </w:r>
    </w:p>
    <w:p w:rsidR="002A7AE8" w:rsidRPr="002A7AE8" w:rsidRDefault="002A7AE8" w:rsidP="002A7AE8">
      <w:pPr>
        <w:rPr>
          <w:rFonts w:cstheme="minorHAnsi"/>
          <w:sz w:val="28"/>
          <w:szCs w:val="28"/>
        </w:rPr>
      </w:pPr>
      <w:r w:rsidRPr="002A7AE8">
        <w:rPr>
          <w:rFonts w:cstheme="minorHAnsi"/>
          <w:sz w:val="28"/>
          <w:szCs w:val="28"/>
        </w:rPr>
        <w:t>Moral rights in film adaptation</w:t>
      </w:r>
      <w:r w:rsidRPr="002A7AE8">
        <w:rPr>
          <w:rFonts w:cstheme="minorHAnsi"/>
          <w:sz w:val="28"/>
          <w:szCs w:val="28"/>
        </w:rPr>
        <w:tab/>
        <w:t>Mannu Bhandari v. Kala Vikas Pictures AIR 1987 Del 13</w:t>
      </w:r>
    </w:p>
    <w:p w:rsidR="002A7AE8" w:rsidRPr="002A7AE8" w:rsidRDefault="002A7AE8" w:rsidP="002A7AE8">
      <w:pPr>
        <w:rPr>
          <w:rFonts w:cstheme="minorHAnsi"/>
          <w:sz w:val="28"/>
          <w:szCs w:val="28"/>
        </w:rPr>
      </w:pPr>
      <w:r w:rsidRPr="002A7AE8">
        <w:rPr>
          <w:rFonts w:cstheme="minorHAnsi"/>
          <w:sz w:val="28"/>
          <w:szCs w:val="28"/>
        </w:rPr>
        <w:t>Copyright protection of software</w:t>
      </w:r>
      <w:r w:rsidRPr="002A7AE8">
        <w:rPr>
          <w:rFonts w:cstheme="minorHAnsi"/>
          <w:sz w:val="28"/>
          <w:szCs w:val="28"/>
        </w:rPr>
        <w:tab/>
        <w:t>Garware Plastics v. Telelink AIR 1989 Bom 331</w:t>
      </w:r>
    </w:p>
    <w:p w:rsidR="002A7AE8" w:rsidRPr="002A7AE8" w:rsidRDefault="002A7AE8" w:rsidP="002A7AE8">
      <w:pPr>
        <w:rPr>
          <w:rFonts w:cstheme="minorHAnsi"/>
          <w:sz w:val="28"/>
          <w:szCs w:val="28"/>
        </w:rPr>
      </w:pPr>
      <w:r w:rsidRPr="002A7AE8">
        <w:rPr>
          <w:rFonts w:cstheme="minorHAnsi"/>
          <w:sz w:val="28"/>
          <w:szCs w:val="28"/>
        </w:rPr>
        <w:t>Titles not copyrightable</w:t>
      </w:r>
      <w:r w:rsidRPr="002A7AE8">
        <w:rPr>
          <w:rFonts w:cstheme="minorHAnsi"/>
          <w:sz w:val="28"/>
          <w:szCs w:val="28"/>
        </w:rPr>
        <w:tab/>
        <w:t>Krishika Lulla v. Shyam Vithalrao Devkatta (2016) 2 SCC 521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Module 2 — Consolidated Chapter Conclusions Chapter 1 — Copyright: Introduction, Meaning, Nature and Subject Matter</w:t>
      </w:r>
    </w:p>
    <w:p w:rsidR="002A7AE8" w:rsidRPr="002A7AE8" w:rsidRDefault="002A7AE8" w:rsidP="002A7AE8">
      <w:pPr>
        <w:rPr>
          <w:rFonts w:cstheme="minorHAnsi"/>
          <w:sz w:val="28"/>
          <w:szCs w:val="28"/>
        </w:rPr>
      </w:pPr>
      <w:r w:rsidRPr="002A7AE8">
        <w:rPr>
          <w:rFonts w:cstheme="minorHAnsi"/>
          <w:sz w:val="28"/>
          <w:szCs w:val="28"/>
        </w:rPr>
        <w:t>Chapter 1 establishes the conceptual foundation of copyright law in India. Copyright is the exclusive legal right granted to creators of original works to reproduce, distribute, perform, communicate, adapt, and translate their work. As defined under Section 14 of the Copyright Act, 1957, it is a bundle of tailored exclusive rights rather than a single blanket entitlement. Key characteristics include its nature as an intellectual property right that protects expression not ideas, its automatic subsistence upon creation without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mandatory registration, its dual composition of economic and moral rights, and its limited duration. Section 13 governs the subject matter, identifying six protected categories: original literary, dramatic, musical, and artistic works; cinematograph films; and sound recordings. The requirement of originality — that the work must originate from the creator and reflect some degree of intellectual effort — is central to eligibility for protection. A thorough understanding of these foundations is essential to applying the Copyright Act in practice.</w:t>
      </w:r>
    </w:p>
    <w:p w:rsidR="002A7AE8" w:rsidRPr="002A7AE8" w:rsidRDefault="002A7AE8" w:rsidP="002A7AE8">
      <w:pPr>
        <w:rPr>
          <w:rFonts w:cstheme="minorHAnsi"/>
          <w:sz w:val="28"/>
          <w:szCs w:val="28"/>
        </w:rPr>
      </w:pPr>
      <w:r w:rsidRPr="002A7AE8">
        <w:rPr>
          <w:rFonts w:cstheme="minorHAnsi"/>
          <w:sz w:val="28"/>
          <w:szCs w:val="28"/>
        </w:rPr>
        <w:t>Chapter 2 — Neighboring Rights: Introduction, Meaning and Nature</w:t>
      </w:r>
    </w:p>
    <w:p w:rsidR="002A7AE8" w:rsidRPr="002A7AE8" w:rsidRDefault="002A7AE8" w:rsidP="002A7AE8">
      <w:pPr>
        <w:rPr>
          <w:rFonts w:cstheme="minorHAnsi"/>
          <w:sz w:val="28"/>
          <w:szCs w:val="28"/>
        </w:rPr>
      </w:pPr>
      <w:r w:rsidRPr="002A7AE8">
        <w:rPr>
          <w:rFonts w:cstheme="minorHAnsi"/>
          <w:sz w:val="28"/>
          <w:szCs w:val="28"/>
        </w:rPr>
        <w:t>Chapter 2 establishes the framework for Neighboring rights — rights granted to performers, producers of sound recordings, and broadcasting organizations that sit alongside and complement copyright. Unlike copyright, which rewards original authorship, Neighboring rights recognize the artistic, financial, and technical contributions made in bringing creative works to audiences. Key characteristics include independence from yet coexistence with copyright, limited duration (fifty years for performers; twenty-five years for broadcasters), exclusive economic rights, and territorial nature subject to international minimum standards. A single song can simultaneously carry multiple distinct rights: the composer holds copyright; the performer holds a performer’s right; and the recording company holds rights in the sound recording. Internationally, the Rome Convention 1961 and the WIPO Performances and Phonograms Treaty 1996 provide the principal multilateral framework. These rights are essential to the sustainable functioning of the music, film, and broadcasting industries.</w:t>
      </w:r>
    </w:p>
    <w:p w:rsidR="002A7AE8" w:rsidRPr="002A7AE8" w:rsidRDefault="002A7AE8" w:rsidP="002A7AE8">
      <w:pPr>
        <w:rPr>
          <w:rFonts w:cstheme="minorHAnsi"/>
          <w:sz w:val="28"/>
          <w:szCs w:val="28"/>
        </w:rPr>
      </w:pPr>
      <w:r w:rsidRPr="002A7AE8">
        <w:rPr>
          <w:rFonts w:cstheme="minorHAnsi"/>
          <w:sz w:val="28"/>
          <w:szCs w:val="28"/>
        </w:rPr>
        <w:lastRenderedPageBreak/>
        <w:t>Chapter 3 — Copyright and Neighboring Rights under the TRIPS Agreement</w:t>
      </w:r>
    </w:p>
    <w:p w:rsidR="002A7AE8" w:rsidRPr="002A7AE8" w:rsidRDefault="002A7AE8" w:rsidP="002A7AE8">
      <w:pPr>
        <w:rPr>
          <w:rFonts w:cstheme="minorHAnsi"/>
          <w:sz w:val="28"/>
          <w:szCs w:val="28"/>
        </w:rPr>
      </w:pPr>
      <w:r w:rsidRPr="002A7AE8">
        <w:rPr>
          <w:rFonts w:cstheme="minorHAnsi"/>
          <w:sz w:val="28"/>
          <w:szCs w:val="28"/>
        </w:rPr>
        <w:t>Chapter 3 examines the binding international framework established by Articles 9 to 14 of the TRIPS Agreement. Article 9 incorporates the Berne Convention’s substantive obligations (excluding moral rights) into WTO law, making compliance binding on all WTO members. Article 10 extends protection to computer programs and databases; Article 11 introduces rental rights for computer programs and cinematograph films; Article 12 sets a minimum fifty-year term for non-life-based works; Article 13 confines all exceptions to the three-step test (special case, no normal exploitation conflict, no unreasonable prejudice); and Article 14 establishes minimum standards for performers, phonogram producers, and broadcasting organizations. As a founding WTO member, India has aligned its Copyright Act with these obligations while providing higher standards of protection in several areas, particularly the term of protection for films, sound recordings, and authors’ works.</w:t>
      </w:r>
    </w:p>
    <w:p w:rsidR="002A7AE8" w:rsidRPr="002A7AE8" w:rsidRDefault="002A7AE8" w:rsidP="002A7AE8">
      <w:pPr>
        <w:rPr>
          <w:rFonts w:cstheme="minorHAnsi"/>
          <w:sz w:val="28"/>
          <w:szCs w:val="28"/>
        </w:rPr>
      </w:pPr>
      <w:r w:rsidRPr="002A7AE8">
        <w:rPr>
          <w:rFonts w:cstheme="minorHAnsi"/>
          <w:sz w:val="28"/>
          <w:szCs w:val="28"/>
        </w:rPr>
        <w:t>Chapter 4 — Copyright: Definition and Subject Matter</w:t>
      </w:r>
    </w:p>
    <w:p w:rsidR="002A7AE8" w:rsidRPr="002A7AE8" w:rsidRDefault="002A7AE8" w:rsidP="002A7AE8">
      <w:pPr>
        <w:rPr>
          <w:rFonts w:cstheme="minorHAnsi"/>
          <w:sz w:val="28"/>
          <w:szCs w:val="28"/>
        </w:rPr>
      </w:pPr>
      <w:r w:rsidRPr="002A7AE8">
        <w:rPr>
          <w:rFonts w:cstheme="minorHAnsi"/>
          <w:sz w:val="28"/>
          <w:szCs w:val="28"/>
        </w:rPr>
        <w:t>Chapter 4 provides a detailed examination of the operative definition of copyright under Section 14 and the categories of works eligible for protection under Section 13. Section 14 defines copyright as a bundle of specific exclusive rights — reproduction, distribution, performance, communication, adaptation, translation, commercial rental, and filmmaking — each tailored to the nature of the particular category of work. The word “exclusive” means only the owner may exercise or authorise these rights, and “any substantial part” ensures that copying a qualitatively significant portion can constitute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infringement even without full reproduction. For copyright to subsist, four conditions must be met: originality, protection of expression not ideas, fixation in some tangible form, and intellectual effort. Together, Sections 13 and 14 delineate the complete scope and limits of copyright protection under Indian law.</w:t>
      </w:r>
    </w:p>
    <w:p w:rsidR="002A7AE8" w:rsidRPr="002A7AE8" w:rsidRDefault="002A7AE8" w:rsidP="002A7AE8">
      <w:pPr>
        <w:rPr>
          <w:rFonts w:cstheme="minorHAnsi"/>
          <w:sz w:val="28"/>
          <w:szCs w:val="28"/>
        </w:rPr>
      </w:pPr>
      <w:r w:rsidRPr="002A7AE8">
        <w:rPr>
          <w:rFonts w:cstheme="minorHAnsi"/>
          <w:sz w:val="28"/>
          <w:szCs w:val="28"/>
        </w:rPr>
        <w:t>Chapter 5 — Author and Ownership of Copyright</w:t>
      </w:r>
    </w:p>
    <w:p w:rsidR="002A7AE8" w:rsidRPr="002A7AE8" w:rsidRDefault="002A7AE8" w:rsidP="002A7AE8">
      <w:pPr>
        <w:rPr>
          <w:rFonts w:cstheme="minorHAnsi"/>
          <w:sz w:val="28"/>
          <w:szCs w:val="28"/>
        </w:rPr>
      </w:pPr>
      <w:r w:rsidRPr="002A7AE8">
        <w:rPr>
          <w:rFonts w:cstheme="minorHAnsi"/>
          <w:sz w:val="28"/>
          <w:szCs w:val="28"/>
        </w:rPr>
        <w:t xml:space="preserve">Chapter 5 examines the legal framework for identifying the author and the first owner of copyright. Section 2(d) provides category-specific definitions of author, reflecting that different types of works involve different forms of creative contribution — from the composer of music to the producer of a film </w:t>
      </w:r>
      <w:r w:rsidRPr="002A7AE8">
        <w:rPr>
          <w:rFonts w:cstheme="minorHAnsi"/>
          <w:sz w:val="28"/>
          <w:szCs w:val="28"/>
        </w:rPr>
        <w:lastRenderedPageBreak/>
        <w:t>or sound recording. Section 17 establishes the general rule that the author is the first copyright owner, subject to important exceptions for employment (employer owns), commission (commissioning party owns), Government works, and works of public undertakings and international organisations.</w:t>
      </w:r>
    </w:p>
    <w:p w:rsidR="002A7AE8" w:rsidRPr="002A7AE8" w:rsidRDefault="002A7AE8" w:rsidP="002A7AE8">
      <w:pPr>
        <w:rPr>
          <w:rFonts w:cstheme="minorHAnsi"/>
          <w:sz w:val="28"/>
          <w:szCs w:val="28"/>
        </w:rPr>
      </w:pPr>
      <w:r w:rsidRPr="002A7AE8">
        <w:rPr>
          <w:rFonts w:cstheme="minorHAnsi"/>
          <w:sz w:val="28"/>
          <w:szCs w:val="28"/>
        </w:rPr>
        <w:t>The distinction between author and owner is commercially significant: authorship confers inalienable moral rights while ownership confers transferable economic rights. Sections 18, 19, 19A, and 21 govern assignment, formalities, dispute resolution, and relinquishment of copyright, providing both flexibility for commercial dealings and essential safeguards for original creators.</w:t>
      </w:r>
    </w:p>
    <w:p w:rsidR="002A7AE8" w:rsidRPr="002A7AE8" w:rsidRDefault="002A7AE8" w:rsidP="002A7AE8">
      <w:pPr>
        <w:rPr>
          <w:rFonts w:cstheme="minorHAnsi"/>
          <w:sz w:val="28"/>
          <w:szCs w:val="28"/>
        </w:rPr>
      </w:pPr>
      <w:r w:rsidRPr="002A7AE8">
        <w:rPr>
          <w:rFonts w:cstheme="minorHAnsi"/>
          <w:sz w:val="28"/>
          <w:szCs w:val="28"/>
        </w:rPr>
        <w:t>Chapter 6 — Registration of Copyright: Sections 44–50A</w:t>
      </w:r>
    </w:p>
    <w:p w:rsidR="002A7AE8" w:rsidRPr="002A7AE8" w:rsidRDefault="002A7AE8" w:rsidP="002A7AE8">
      <w:pPr>
        <w:rPr>
          <w:rFonts w:cstheme="minorHAnsi"/>
          <w:sz w:val="28"/>
          <w:szCs w:val="28"/>
        </w:rPr>
      </w:pPr>
      <w:r w:rsidRPr="002A7AE8">
        <w:rPr>
          <w:rFonts w:cstheme="minorHAnsi"/>
          <w:sz w:val="28"/>
          <w:szCs w:val="28"/>
        </w:rPr>
        <w:t>Chapter 6 examines the copyright registration framework under Sections 44 to 50A of the Copyright Act, 1957. The Register of Copyrights, maintained at the Copyright Office under Section 44, is a publicly accessible record of ownership. Section 45 enables applications by any person interested in copyright; Section 47 ensures public inspection; and Section 48 confers prima facie evidentiary value on registered particulars — the principal practical benefit of registration. Sections 49 and 50 provide for administrative correction and judicial rectification respectively; Section 50A requires publication in the Official Gazette for transparency and constructive notice. It is settled law — confirmed in Nav Sahitya Prakash v. Anand Kumar and Satsang v. Kiron Chandra Mukhopadhyay — that registration is not a prerequisite for copyright subsistence or enforcement. It is purely evidentiary in nature but provides significant procedural advantages in litigation, particularly in shifting the burden of proof to the challenging party.</w:t>
      </w:r>
    </w:p>
    <w:p w:rsidR="002A7AE8" w:rsidRPr="002A7AE8" w:rsidRDefault="002A7AE8" w:rsidP="002A7AE8">
      <w:pPr>
        <w:rPr>
          <w:rFonts w:cstheme="minorHAnsi"/>
          <w:sz w:val="28"/>
          <w:szCs w:val="28"/>
        </w:rPr>
      </w:pPr>
      <w:r w:rsidRPr="002A7AE8">
        <w:rPr>
          <w:rFonts w:cstheme="minorHAnsi"/>
          <w:sz w:val="28"/>
          <w:szCs w:val="28"/>
        </w:rPr>
        <w:t>Chapter 7 — Term of Copyright under the Copyright Act, 1957</w:t>
      </w:r>
    </w:p>
    <w:p w:rsidR="002A7AE8" w:rsidRPr="002A7AE8" w:rsidRDefault="002A7AE8" w:rsidP="002A7AE8">
      <w:pPr>
        <w:rPr>
          <w:rFonts w:cstheme="minorHAnsi"/>
          <w:sz w:val="28"/>
          <w:szCs w:val="28"/>
        </w:rPr>
      </w:pPr>
      <w:r w:rsidRPr="002A7AE8">
        <w:rPr>
          <w:rFonts w:cstheme="minorHAnsi"/>
          <w:sz w:val="28"/>
          <w:szCs w:val="28"/>
        </w:rPr>
        <w:t xml:space="preserve">Chapter 7 sets out the duration of copyright protection across different categories of works. The general rule under Section 22 is lifetime of the author plus sixty years for published literary, dramatic, musical, and artistic works; the sixty years run from 1 January of the calendar year following the year of the author’s death. Special rules apply for anonymous and pseudonymous works (Section 23: sixty years from publication), posthumous works (Section 24: sixty years from publication), and works where the first owner is not a natural person: cinematograph films (Section 26), sound recordings (Section 27), Government works (Section 28), public undertaking works (Section 28A), and </w:t>
      </w:r>
      <w:r w:rsidRPr="002A7AE8">
        <w:rPr>
          <w:rFonts w:cstheme="minorHAnsi"/>
          <w:sz w:val="28"/>
          <w:szCs w:val="28"/>
        </w:rPr>
        <w:lastRenderedPageBreak/>
        <w:t>works of international organisations (Section 29) all receive sixty years from the beginning of the calendar year following publication. After the prescribed term expires, works enter the public domain. These carefully differentiated terms balance the interests of individual creators and their families, institutional copyright owners, and the public’s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long-term right of access.</w:t>
      </w:r>
    </w:p>
    <w:p w:rsidR="002A7AE8" w:rsidRPr="002A7AE8" w:rsidRDefault="002A7AE8" w:rsidP="002A7AE8">
      <w:pPr>
        <w:rPr>
          <w:rFonts w:cstheme="minorHAnsi"/>
          <w:sz w:val="28"/>
          <w:szCs w:val="28"/>
        </w:rPr>
      </w:pPr>
      <w:r w:rsidRPr="002A7AE8">
        <w:rPr>
          <w:rFonts w:cstheme="minorHAnsi"/>
          <w:sz w:val="28"/>
          <w:szCs w:val="28"/>
        </w:rPr>
        <w:t>Chapter 8 — Assignment and Transmission of Copyright</w:t>
      </w:r>
    </w:p>
    <w:p w:rsidR="002A7AE8" w:rsidRPr="002A7AE8" w:rsidRDefault="002A7AE8" w:rsidP="002A7AE8">
      <w:pPr>
        <w:rPr>
          <w:rFonts w:cstheme="minorHAnsi"/>
          <w:sz w:val="28"/>
          <w:szCs w:val="28"/>
        </w:rPr>
      </w:pPr>
      <w:r w:rsidRPr="002A7AE8">
        <w:rPr>
          <w:rFonts w:cstheme="minorHAnsi"/>
          <w:sz w:val="28"/>
          <w:szCs w:val="28"/>
        </w:rPr>
        <w:t>Chapter 8 covers the mechanisms by which copyright may be transferred. Section 18 grants the power to assign existing or future copyright wholly or partially, with or without limitations of territory, duration, or type of use; assignment of a future work takes effect only when the work comes into existence. Section 19 prescribes formal requirements — writing, signature, identification of the work, specification of rights, duration, territory, and royalty — and provides protective defaults for authors: a five-year deemed term and India-only deemed territory if not expressly stated. Section 19A protects against copyright hoarding, enabling revocation where an assignee fails to exploit assigned rights without fault of the author; no revocation may be made within five years of assignment. Section 20 ensures that a testamentary bequest of an unpublished manuscript is presumed to include copyright. Section 21 allows voluntary relinquishment by notice to the Registrar. Together, these provisions make copyright commercially flexible while preserving essential safeguards for creators.</w:t>
      </w:r>
    </w:p>
    <w:p w:rsidR="002A7AE8" w:rsidRPr="002A7AE8" w:rsidRDefault="002A7AE8" w:rsidP="002A7AE8">
      <w:pPr>
        <w:rPr>
          <w:rFonts w:cstheme="minorHAnsi"/>
          <w:sz w:val="28"/>
          <w:szCs w:val="28"/>
        </w:rPr>
      </w:pPr>
      <w:r w:rsidRPr="002A7AE8">
        <w:rPr>
          <w:rFonts w:cstheme="minorHAnsi"/>
          <w:sz w:val="28"/>
          <w:szCs w:val="28"/>
        </w:rPr>
        <w:t>Chapter 9 — Copyright Societies and Recognition of International Copyright Chapter 9 examines the collective management of copyright and its international dimensions. Copyright societies, governed by Sections 33 to 36A, function as</w:t>
      </w:r>
    </w:p>
    <w:p w:rsidR="002A7AE8" w:rsidRPr="002A7AE8" w:rsidRDefault="002A7AE8" w:rsidP="002A7AE8">
      <w:pPr>
        <w:rPr>
          <w:rFonts w:cstheme="minorHAnsi"/>
          <w:sz w:val="28"/>
          <w:szCs w:val="28"/>
        </w:rPr>
      </w:pPr>
      <w:r w:rsidRPr="002A7AE8">
        <w:rPr>
          <w:rFonts w:cstheme="minorHAnsi"/>
          <w:sz w:val="28"/>
          <w:szCs w:val="28"/>
        </w:rPr>
        <w:t xml:space="preserve">intermediaries between rights holders and the millions of daily users of creative works — broadcasters, hotels, streaming services — making mass licensing commercially feasible. Section 33 restricts the business of collective licensing to registered societies; Section 33A ensures transparent, published, and challengeable tariff schemes; and Section 35 places societies under the democratic control of their members with distribution proportionate to actual use. Section 40 enables the Central Government to extend Indian copyright protection to foreign works on a reciprocity basis, implementing India’s Berne </w:t>
      </w:r>
      <w:r w:rsidRPr="002A7AE8">
        <w:rPr>
          <w:rFonts w:cstheme="minorHAnsi"/>
          <w:sz w:val="28"/>
          <w:szCs w:val="28"/>
        </w:rPr>
        <w:lastRenderedPageBreak/>
        <w:t>Convention and TRIPS obligations through International Copyright Orders. Combined with the fair dealing exceptions under Section 52 and the economic and moral rights framework, these provisions ensure that the Copyright Act operates as a modern, balanced, and internationally integrated system of creative protection.</w:t>
      </w:r>
    </w:p>
    <w:p w:rsidR="002A7AE8" w:rsidRPr="002A7AE8" w:rsidRDefault="002A7AE8" w:rsidP="002A7AE8">
      <w:pPr>
        <w:rPr>
          <w:rFonts w:cstheme="minorHAnsi"/>
          <w:sz w:val="28"/>
          <w:szCs w:val="28"/>
        </w:rPr>
      </w:pPr>
      <w:r w:rsidRPr="002A7AE8">
        <w:rPr>
          <w:rFonts w:cstheme="minorHAnsi"/>
          <w:sz w:val="28"/>
          <w:szCs w:val="28"/>
        </w:rPr>
        <w:t>Chapter 10 — Economic and Moral Rights Conferred by Copyright</w:t>
      </w:r>
    </w:p>
    <w:p w:rsidR="002A7AE8" w:rsidRPr="002A7AE8" w:rsidRDefault="002A7AE8" w:rsidP="002A7AE8">
      <w:pPr>
        <w:rPr>
          <w:rFonts w:cstheme="minorHAnsi"/>
          <w:sz w:val="28"/>
          <w:szCs w:val="28"/>
        </w:rPr>
      </w:pPr>
      <w:r w:rsidRPr="002A7AE8">
        <w:rPr>
          <w:rFonts w:cstheme="minorHAnsi"/>
          <w:sz w:val="28"/>
          <w:szCs w:val="28"/>
        </w:rPr>
        <w:t>Chapter 10 examines the two distinct categories of rights that together constitute copyright protection. Economic rights, defined under Section 14, are the commercial entitlements of the copyright owner: reproduction, distribution, public performance and communication, adaptation, translation, commercial rental, and filmmaking rights. They are the financial engine of copyright, enabling creators and investors to derive economic value from creative works, and are freely transferable by assignment or licence. Moral rights, conferred by Section 57, protect the author’s personal and reputational connection to the work through the right of attribution (paternity) and the right of integrity. Moral rights are personal to the author, non-transferable, independent of economic rights, and persist even after assignment of copyright or expiry of the copyright term — as affirmed by the Delhi High Court in Amar Nath Sehgal v. Union of India. Section 38B extends parallel moral rights to performers. The interplay between these two sets of rights ensures that copyright serves both commercial and humanistic</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purposes.</w:t>
      </w:r>
    </w:p>
    <w:p w:rsidR="002A7AE8" w:rsidRPr="002A7AE8" w:rsidRDefault="002A7AE8" w:rsidP="002A7AE8">
      <w:pPr>
        <w:rPr>
          <w:rFonts w:cstheme="minorHAnsi"/>
          <w:sz w:val="28"/>
          <w:szCs w:val="28"/>
        </w:rPr>
      </w:pPr>
      <w:r w:rsidRPr="002A7AE8">
        <w:rPr>
          <w:rFonts w:cstheme="minorHAnsi"/>
          <w:sz w:val="28"/>
          <w:szCs w:val="28"/>
        </w:rPr>
        <w:t>Chapter 11 — Infringement of Copyright and Remedies</w:t>
      </w:r>
    </w:p>
    <w:p w:rsidR="002A7AE8" w:rsidRPr="002A7AE8" w:rsidRDefault="002A7AE8" w:rsidP="002A7AE8">
      <w:pPr>
        <w:rPr>
          <w:rFonts w:cstheme="minorHAnsi"/>
          <w:sz w:val="28"/>
          <w:szCs w:val="28"/>
        </w:rPr>
      </w:pPr>
      <w:r w:rsidRPr="002A7AE8">
        <w:rPr>
          <w:rFonts w:cstheme="minorHAnsi"/>
          <w:sz w:val="28"/>
          <w:szCs w:val="28"/>
        </w:rPr>
        <w:t xml:space="preserve">Chapter 11 provides a comprehensive account of copyright infringement and the multi-layered remedies available under the Copyright Act, 1957. Section 51 defines infringement as unauthorized exercise of any exclusive right or dealing in infringing copies; Section 52 delineates the fair dealing and other exceptions — including private use, criticism, education, and access for persons with disabilities — that mark the boundary between lawful use and infringement. Direct infringement requires valid copyright, copying of a substantial part of the protected expression, and absence of authorisation. Civil remedies under Section 55 include injunctions, damages, account of profits, and delivery up; criminal liability under Sections 63 to 65B includes mandatory minimum imprisonment and fines for knowing infringement, with enhanced penalties for </w:t>
      </w:r>
      <w:r w:rsidRPr="002A7AE8">
        <w:rPr>
          <w:rFonts w:cstheme="minorHAnsi"/>
          <w:sz w:val="28"/>
          <w:szCs w:val="28"/>
        </w:rPr>
        <w:lastRenderedPageBreak/>
        <w:t>repeat offenders and computer program piracy; and Section 53 provides administrative border enforcement through Customs. Together, these provisions ensure accessible and effective legal protection for copyright owners while Section 52 preserves the public’s right of access to knowledge and culture within defined limits.</w:t>
      </w:r>
    </w:p>
    <w:p w:rsidR="002A7AE8" w:rsidRPr="002A7AE8" w:rsidRDefault="002A7AE8" w:rsidP="002A7AE8">
      <w:pPr>
        <w:rPr>
          <w:rFonts w:cstheme="minorHAnsi"/>
          <w:sz w:val="28"/>
          <w:szCs w:val="28"/>
        </w:rPr>
      </w:pPr>
      <w:r w:rsidRPr="002A7AE8">
        <w:rPr>
          <w:rFonts w:cstheme="minorHAnsi"/>
          <w:sz w:val="28"/>
          <w:szCs w:val="28"/>
        </w:rPr>
        <w:t>Chapter 12 — Rights of Broadcasting Organizations and Performers: Sections 37–39A Chapter 12 examines the Neighboring rights of broadcasters and performers under Chapter VIII of the Copyright Act, 1957. Section 37 grants every broadcasting organization a broadcast reproduction right for twenty-five years, protecting against re-broadcasting, public exhibition on payment, and unauthorized recording of broadcasts. Sections 38 and 38A grant performers a fifty-year performer’s right and convert it into a positive exclusive right — introduced by the 2012 Amendment — to record, reproduce, distribute, and communicate performances; once a performer consents by written agreement to appear in a film, they cannot block the producer’s use but retain entitlement to royalties for other commercial exploitation. Section 38B extends moral rights of attribution and integrity to performers. Section 39 mirrors the Section 52 exceptions for Neighboring rights; and Section 39A applies all assignment, licensing, civil remedies, criminal liability, and enforcement provisions of the Act to these rights. The rights of sound recording producers under Sections 14(e) and 27 complement this framework. Together with the Rome Convention and the WPPT, these provisions create a coherent Neighboring rights system that rewards contribution and sustains the creative and cultural economy.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1: Patent – meaning, patentable and non-patentable inventions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 to patent</w:t>
      </w:r>
    </w:p>
    <w:p w:rsidR="002A7AE8" w:rsidRPr="002A7AE8" w:rsidRDefault="002A7AE8" w:rsidP="002A7AE8">
      <w:pPr>
        <w:rPr>
          <w:rFonts w:cstheme="minorHAnsi"/>
          <w:sz w:val="28"/>
          <w:szCs w:val="28"/>
        </w:rPr>
      </w:pPr>
      <w:r w:rsidRPr="002A7AE8">
        <w:rPr>
          <w:rFonts w:cstheme="minorHAnsi"/>
          <w:sz w:val="28"/>
          <w:szCs w:val="28"/>
        </w:rPr>
        <w:t>A patent is one of the most important forms of Intellectual Property Rights (IPR). It is an exclusive legal right granted by the government to an inventor for a limited period, in exchange for complete public disclosure of the invention. Patents are governed in India by the Patents Act, 1970 and the Patents Rules, 2003. The system balances the rights of inventors to enjoy economic benefits with the public interest in accessing technical knowledge once protection expires.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Definition of patent – Section 2(1)(m)</w:t>
      </w:r>
    </w:p>
    <w:p w:rsidR="002A7AE8" w:rsidRPr="002A7AE8" w:rsidRDefault="002A7AE8" w:rsidP="002A7AE8">
      <w:pPr>
        <w:rPr>
          <w:rFonts w:cstheme="minorHAnsi"/>
          <w:sz w:val="28"/>
          <w:szCs w:val="28"/>
        </w:rPr>
      </w:pPr>
      <w:r w:rsidRPr="002A7AE8">
        <w:rPr>
          <w:rFonts w:cstheme="minorHAnsi"/>
          <w:sz w:val="28"/>
          <w:szCs w:val="28"/>
        </w:rPr>
        <w:t>Section 2(1)(m) of the Patents Act, 1970 states: "Patent means a patent for any invention granted under this Act."</w:t>
      </w:r>
    </w:p>
    <w:p w:rsidR="002A7AE8" w:rsidRPr="002A7AE8" w:rsidRDefault="002A7AE8" w:rsidP="002A7AE8">
      <w:pPr>
        <w:rPr>
          <w:rFonts w:cstheme="minorHAnsi"/>
          <w:sz w:val="28"/>
          <w:szCs w:val="28"/>
        </w:rPr>
      </w:pPr>
      <w:r w:rsidRPr="002A7AE8">
        <w:rPr>
          <w:rFonts w:cstheme="minorHAnsi"/>
          <w:sz w:val="28"/>
          <w:szCs w:val="28"/>
        </w:rPr>
        <w:t>Key words: 'patent' refers to the statutory right; 'invention' denotes the subject matter protected; 'granted' signifies it arises from official government action. A patent prevents others from making, using, selling, offering for sale, or importing the patented invention without authorisation.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Definition of invention – Section 2(1)(j)</w:t>
      </w:r>
    </w:p>
    <w:p w:rsidR="002A7AE8" w:rsidRPr="002A7AE8" w:rsidRDefault="002A7AE8" w:rsidP="002A7AE8">
      <w:pPr>
        <w:rPr>
          <w:rFonts w:cstheme="minorHAnsi"/>
          <w:sz w:val="28"/>
          <w:szCs w:val="28"/>
        </w:rPr>
      </w:pPr>
      <w:r w:rsidRPr="002A7AE8">
        <w:rPr>
          <w:rFonts w:cstheme="minorHAnsi"/>
          <w:sz w:val="28"/>
          <w:szCs w:val="28"/>
        </w:rPr>
        <w:t>Section 2(1)(j) states: "Invention means a new product or process involving an inventive step and capable of industrial application."</w:t>
      </w:r>
    </w:p>
    <w:p w:rsidR="002A7AE8" w:rsidRPr="002A7AE8" w:rsidRDefault="002A7AE8" w:rsidP="002A7AE8">
      <w:pPr>
        <w:rPr>
          <w:rFonts w:cstheme="minorHAnsi"/>
          <w:sz w:val="28"/>
          <w:szCs w:val="28"/>
        </w:rPr>
      </w:pPr>
      <w:r w:rsidRPr="002A7AE8">
        <w:rPr>
          <w:rFonts w:cstheme="minorHAnsi"/>
          <w:sz w:val="28"/>
          <w:szCs w:val="28"/>
        </w:rPr>
        <w:t>This definition sets out the three threshold criteria that every invention must satisfy to be eligible for patent protection: novelty, inventive step, and industrial applicability. The definition covers both product and process inventions.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Patentable inventions – essential criteria</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Novelty – Section 2(1)(l)</w:t>
      </w:r>
    </w:p>
    <w:p w:rsidR="002A7AE8" w:rsidRPr="002A7AE8" w:rsidRDefault="002A7AE8" w:rsidP="002A7AE8">
      <w:pPr>
        <w:rPr>
          <w:rFonts w:cstheme="minorHAnsi"/>
          <w:sz w:val="28"/>
          <w:szCs w:val="28"/>
        </w:rPr>
      </w:pPr>
      <w:r w:rsidRPr="002A7AE8">
        <w:rPr>
          <w:rFonts w:cstheme="minorHAnsi"/>
          <w:sz w:val="28"/>
          <w:szCs w:val="28"/>
        </w:rPr>
        <w:t>Section 2(1)(l) defines 'new invention' as one that has not been anticipated by publication in any document or used in the country or elsewhere in the world before the date of filing. The invention must not form part of the state of the art. Prior publication, prior use, or public disclosure before the priority date destroys novelty.</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Inventive step – Section 2(1)(ja)</w:t>
      </w:r>
    </w:p>
    <w:p w:rsidR="002A7AE8" w:rsidRPr="002A7AE8" w:rsidRDefault="002A7AE8" w:rsidP="002A7AE8">
      <w:pPr>
        <w:rPr>
          <w:rFonts w:cstheme="minorHAnsi"/>
          <w:sz w:val="28"/>
          <w:szCs w:val="28"/>
        </w:rPr>
      </w:pPr>
      <w:r w:rsidRPr="002A7AE8">
        <w:rPr>
          <w:rFonts w:cstheme="minorHAnsi"/>
          <w:sz w:val="28"/>
          <w:szCs w:val="28"/>
        </w:rPr>
        <w:t>Section 2(1)(ja) states: "Inventive step means a feature of an invention that involves technical advance as compared to the existing knowledge or having economic significance or both and that makes the invention not obvious to a person skilled in the art." The test is whether an ordinarily skilled person in the relevant field would find the invention obvious from prior art.</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Industrial applicability – Section 2(1)(ac)</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Section 2(1)(ac) provides: "'Capable of industrial application', in relation to an invention, means that the invention is capable of being made or used in an industry." The invention must have practical utility and must not be purely theoretical.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Non-patentable inventions – Section 3</w:t>
      </w:r>
    </w:p>
    <w:p w:rsidR="002A7AE8" w:rsidRPr="002A7AE8" w:rsidRDefault="002A7AE8" w:rsidP="002A7AE8">
      <w:pPr>
        <w:rPr>
          <w:rFonts w:cstheme="minorHAnsi"/>
          <w:sz w:val="28"/>
          <w:szCs w:val="28"/>
        </w:rPr>
      </w:pPr>
      <w:r w:rsidRPr="002A7AE8">
        <w:rPr>
          <w:rFonts w:cstheme="minorHAnsi"/>
          <w:sz w:val="28"/>
          <w:szCs w:val="28"/>
        </w:rPr>
        <w:t>Section 3 lists the following subject matters that are not inventions within the meaning of the Act and hence not patentable: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Section 3(a) – Frivolous or contrary to natural laws</w:t>
      </w:r>
    </w:p>
    <w:p w:rsidR="002A7AE8" w:rsidRPr="002A7AE8" w:rsidRDefault="002A7AE8" w:rsidP="002A7AE8">
      <w:pPr>
        <w:rPr>
          <w:rFonts w:cstheme="minorHAnsi"/>
          <w:sz w:val="28"/>
          <w:szCs w:val="28"/>
        </w:rPr>
      </w:pPr>
      <w:r w:rsidRPr="002A7AE8">
        <w:rPr>
          <w:rFonts w:cstheme="minorHAnsi"/>
          <w:sz w:val="28"/>
          <w:szCs w:val="28"/>
        </w:rPr>
        <w:t>An invention which is frivolous or which claims anything obviously contrary to well-established natural laws is not patentable. A machine claiming to produce energy from nothing violates laws of thermodynamics and cannot be patented.</w:t>
      </w:r>
    </w:p>
    <w:p w:rsidR="002A7AE8" w:rsidRPr="002A7AE8" w:rsidRDefault="002A7AE8" w:rsidP="002A7AE8">
      <w:pPr>
        <w:rPr>
          <w:rFonts w:cstheme="minorHAnsi"/>
          <w:sz w:val="28"/>
          <w:szCs w:val="28"/>
        </w:rPr>
      </w:pPr>
      <w:r w:rsidRPr="002A7AE8">
        <w:rPr>
          <w:rFonts w:cstheme="minorHAnsi"/>
          <w:sz w:val="28"/>
          <w:szCs w:val="28"/>
        </w:rPr>
        <w:t>Section 3(b) – Contrary to public order or morality</w:t>
      </w:r>
    </w:p>
    <w:p w:rsidR="002A7AE8" w:rsidRPr="002A7AE8" w:rsidRDefault="002A7AE8" w:rsidP="002A7AE8">
      <w:pPr>
        <w:rPr>
          <w:rFonts w:cstheme="minorHAnsi"/>
          <w:sz w:val="28"/>
          <w:szCs w:val="28"/>
        </w:rPr>
      </w:pPr>
      <w:r w:rsidRPr="002A7AE8">
        <w:rPr>
          <w:rFonts w:cstheme="minorHAnsi"/>
          <w:sz w:val="28"/>
          <w:szCs w:val="28"/>
        </w:rPr>
        <w:t>Section 3(b) provides: "An invention the primary or intended use or commercial exploitation of which would be contrary to public order or morality or which causes serious prejudice to human, animal or plant life or health or to the environment" is not patentable. Devices designed exclusively for criminal purposes fall within this exclusion.</w:t>
      </w:r>
    </w:p>
    <w:p w:rsidR="002A7AE8" w:rsidRPr="002A7AE8" w:rsidRDefault="002A7AE8" w:rsidP="002A7AE8">
      <w:pPr>
        <w:rPr>
          <w:rFonts w:cstheme="minorHAnsi"/>
          <w:sz w:val="28"/>
          <w:szCs w:val="28"/>
        </w:rPr>
      </w:pPr>
      <w:r w:rsidRPr="002A7AE8">
        <w:rPr>
          <w:rFonts w:cstheme="minorHAnsi"/>
          <w:sz w:val="28"/>
          <w:szCs w:val="28"/>
        </w:rPr>
        <w:t>Section 3(c) – Mere discovery of scientific principle</w:t>
      </w:r>
    </w:p>
    <w:p w:rsidR="002A7AE8" w:rsidRPr="002A7AE8" w:rsidRDefault="002A7AE8" w:rsidP="002A7AE8">
      <w:pPr>
        <w:rPr>
          <w:rFonts w:cstheme="minorHAnsi"/>
          <w:sz w:val="28"/>
          <w:szCs w:val="28"/>
        </w:rPr>
      </w:pPr>
      <w:r w:rsidRPr="002A7AE8">
        <w:rPr>
          <w:rFonts w:cstheme="minorHAnsi"/>
          <w:sz w:val="28"/>
          <w:szCs w:val="28"/>
        </w:rPr>
        <w:t>The mere discovery of a scientific principle, formulation of an abstract theory, or discovery of any living thing or non-living substance occurring in nature is excluded. Discovery of a naturally occurring plant or mineral does not constitute an invention.</w:t>
      </w:r>
    </w:p>
    <w:p w:rsidR="002A7AE8" w:rsidRPr="002A7AE8" w:rsidRDefault="002A7AE8" w:rsidP="002A7AE8">
      <w:pPr>
        <w:rPr>
          <w:rFonts w:cstheme="minorHAnsi"/>
          <w:sz w:val="28"/>
          <w:szCs w:val="28"/>
        </w:rPr>
      </w:pPr>
      <w:r w:rsidRPr="002A7AE8">
        <w:rPr>
          <w:rFonts w:cstheme="minorHAnsi"/>
          <w:sz w:val="28"/>
          <w:szCs w:val="28"/>
        </w:rPr>
        <w:t>Section 3(d) – New form of known substance</w:t>
      </w:r>
    </w:p>
    <w:p w:rsidR="002A7AE8" w:rsidRPr="002A7AE8" w:rsidRDefault="002A7AE8" w:rsidP="002A7AE8">
      <w:pPr>
        <w:rPr>
          <w:rFonts w:cstheme="minorHAnsi"/>
          <w:sz w:val="28"/>
          <w:szCs w:val="28"/>
        </w:rPr>
      </w:pPr>
      <w:r w:rsidRPr="002A7AE8">
        <w:rPr>
          <w:rFonts w:cstheme="minorHAnsi"/>
          <w:sz w:val="28"/>
          <w:szCs w:val="28"/>
        </w:rPr>
        <w:t xml:space="preserve">Section 3(d) provides: "The mere discovery of a new form of a known substance which does not result in the enhancement of the known efficacy of that substance" is not patentable. The Explanation states that salts, esters, ethers, polymorphs, metabolites, pure form, particle size, isomers, mixtures of isomers, complexes, combinations and other derivatives of known substances are considered the same substance unless they differ significantly in properties </w:t>
      </w:r>
      <w:r w:rsidRPr="002A7AE8">
        <w:rPr>
          <w:rFonts w:cstheme="minorHAnsi"/>
          <w:sz w:val="28"/>
          <w:szCs w:val="28"/>
        </w:rPr>
        <w:lastRenderedPageBreak/>
        <w:t>with regard to efficacy. This is the anti-evergreening provision crucial in pharmaceutical patent law.</w:t>
      </w:r>
    </w:p>
    <w:p w:rsidR="002A7AE8" w:rsidRPr="002A7AE8" w:rsidRDefault="002A7AE8" w:rsidP="002A7AE8">
      <w:pPr>
        <w:rPr>
          <w:rFonts w:cstheme="minorHAnsi"/>
          <w:sz w:val="28"/>
          <w:szCs w:val="28"/>
        </w:rPr>
      </w:pPr>
      <w:r w:rsidRPr="002A7AE8">
        <w:rPr>
          <w:rFonts w:cstheme="minorHAnsi"/>
          <w:sz w:val="28"/>
          <w:szCs w:val="28"/>
        </w:rPr>
        <w:t>Section 3(e) – Mere admixture</w:t>
      </w:r>
    </w:p>
    <w:p w:rsidR="002A7AE8" w:rsidRPr="002A7AE8" w:rsidRDefault="002A7AE8" w:rsidP="002A7AE8">
      <w:pPr>
        <w:rPr>
          <w:rFonts w:cstheme="minorHAnsi"/>
          <w:sz w:val="28"/>
          <w:szCs w:val="28"/>
        </w:rPr>
      </w:pPr>
      <w:r w:rsidRPr="002A7AE8">
        <w:rPr>
          <w:rFonts w:cstheme="minorHAnsi"/>
          <w:sz w:val="28"/>
          <w:szCs w:val="28"/>
        </w:rPr>
        <w:t>A substance obtained by mere admixture resulting only in aggregation of properties of its components, or a process for producing such a substance, is excluded. Simply combining two known medicines without producing any new or enhanced effect cannot be patented.</w:t>
      </w:r>
    </w:p>
    <w:p w:rsidR="002A7AE8" w:rsidRPr="002A7AE8" w:rsidRDefault="002A7AE8" w:rsidP="002A7AE8">
      <w:pPr>
        <w:rPr>
          <w:rFonts w:cstheme="minorHAnsi"/>
          <w:sz w:val="28"/>
          <w:szCs w:val="28"/>
        </w:rPr>
      </w:pPr>
      <w:r w:rsidRPr="002A7AE8">
        <w:rPr>
          <w:rFonts w:cstheme="minorHAnsi"/>
          <w:sz w:val="28"/>
          <w:szCs w:val="28"/>
        </w:rPr>
        <w:t>Section 3(f) – Mere arrangement of known devices</w:t>
      </w:r>
    </w:p>
    <w:p w:rsidR="002A7AE8" w:rsidRPr="002A7AE8" w:rsidRDefault="002A7AE8" w:rsidP="002A7AE8">
      <w:pPr>
        <w:rPr>
          <w:rFonts w:cstheme="minorHAnsi"/>
          <w:sz w:val="28"/>
          <w:szCs w:val="28"/>
        </w:rPr>
      </w:pPr>
      <w:r w:rsidRPr="002A7AE8">
        <w:rPr>
          <w:rFonts w:cstheme="minorHAnsi"/>
          <w:sz w:val="28"/>
          <w:szCs w:val="28"/>
        </w:rPr>
        <w:t>Mere arrangement, re-arrangement, or duplication of known devices each functioning independently in a known way is excluded. Combining existing machines in a straightforward manner without any new function or result is not patentable.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3(h) – Method of agriculture or horticulture</w:t>
      </w:r>
    </w:p>
    <w:p w:rsidR="002A7AE8" w:rsidRPr="002A7AE8" w:rsidRDefault="002A7AE8" w:rsidP="002A7AE8">
      <w:pPr>
        <w:rPr>
          <w:rFonts w:cstheme="minorHAnsi"/>
          <w:sz w:val="28"/>
          <w:szCs w:val="28"/>
        </w:rPr>
      </w:pPr>
      <w:r w:rsidRPr="002A7AE8">
        <w:rPr>
          <w:rFonts w:cstheme="minorHAnsi"/>
          <w:sz w:val="28"/>
          <w:szCs w:val="28"/>
        </w:rPr>
        <w:t>Any method of agriculture or horticulture is not patentable. A new method of growing plants faster cannot receive patent protection.</w:t>
      </w:r>
    </w:p>
    <w:p w:rsidR="002A7AE8" w:rsidRPr="002A7AE8" w:rsidRDefault="002A7AE8" w:rsidP="002A7AE8">
      <w:pPr>
        <w:rPr>
          <w:rFonts w:cstheme="minorHAnsi"/>
          <w:sz w:val="28"/>
          <w:szCs w:val="28"/>
        </w:rPr>
      </w:pPr>
      <w:r w:rsidRPr="002A7AE8">
        <w:rPr>
          <w:rFonts w:cstheme="minorHAnsi"/>
          <w:sz w:val="28"/>
          <w:szCs w:val="28"/>
        </w:rPr>
        <w:t>Section 3(i) – Methods of treatment</w:t>
      </w:r>
    </w:p>
    <w:p w:rsidR="002A7AE8" w:rsidRPr="002A7AE8" w:rsidRDefault="002A7AE8" w:rsidP="002A7AE8">
      <w:pPr>
        <w:rPr>
          <w:rFonts w:cstheme="minorHAnsi"/>
          <w:sz w:val="28"/>
          <w:szCs w:val="28"/>
        </w:rPr>
      </w:pPr>
      <w:r w:rsidRPr="002A7AE8">
        <w:rPr>
          <w:rFonts w:cstheme="minorHAnsi"/>
          <w:sz w:val="28"/>
          <w:szCs w:val="28"/>
        </w:rPr>
        <w:t>Any process for the medicinal, surgical, curative, prophylactic, diagnostic, or therapeutic treatment of human beings or any similar treatment of animals to render them free of disease or to increase their economic value is excluded. This exclusion protects the medical profession and ensures doctors can practise freely.</w:t>
      </w:r>
    </w:p>
    <w:p w:rsidR="002A7AE8" w:rsidRPr="002A7AE8" w:rsidRDefault="002A7AE8" w:rsidP="002A7AE8">
      <w:pPr>
        <w:rPr>
          <w:rFonts w:cstheme="minorHAnsi"/>
          <w:sz w:val="28"/>
          <w:szCs w:val="28"/>
        </w:rPr>
      </w:pPr>
      <w:r w:rsidRPr="002A7AE8">
        <w:rPr>
          <w:rFonts w:cstheme="minorHAnsi"/>
          <w:sz w:val="28"/>
          <w:szCs w:val="28"/>
        </w:rPr>
        <w:t>Section 3(j) – Plants, animals, and biological processes</w:t>
      </w:r>
    </w:p>
    <w:p w:rsidR="002A7AE8" w:rsidRPr="002A7AE8" w:rsidRDefault="002A7AE8" w:rsidP="002A7AE8">
      <w:pPr>
        <w:rPr>
          <w:rFonts w:cstheme="minorHAnsi"/>
          <w:sz w:val="28"/>
          <w:szCs w:val="28"/>
        </w:rPr>
      </w:pPr>
      <w:r w:rsidRPr="002A7AE8">
        <w:rPr>
          <w:rFonts w:cstheme="minorHAnsi"/>
          <w:sz w:val="28"/>
          <w:szCs w:val="28"/>
        </w:rPr>
        <w:t>Plants and animals in whole or any part thereof, other than micro-organisms, and essentially biological processes for production or propagation of plants and animals are excluded. Seeds, varieties, and species are not patentable. Micro-organisms may be patentable if they satisfy the requirements of novelty, inventive step, and industrial application.</w:t>
      </w:r>
    </w:p>
    <w:p w:rsidR="002A7AE8" w:rsidRPr="002A7AE8" w:rsidRDefault="002A7AE8" w:rsidP="002A7AE8">
      <w:pPr>
        <w:rPr>
          <w:rFonts w:cstheme="minorHAnsi"/>
          <w:sz w:val="28"/>
          <w:szCs w:val="28"/>
        </w:rPr>
      </w:pPr>
      <w:r w:rsidRPr="002A7AE8">
        <w:rPr>
          <w:rFonts w:cstheme="minorHAnsi"/>
          <w:sz w:val="28"/>
          <w:szCs w:val="28"/>
        </w:rPr>
        <w:t>Section 3(k) – Mathematical or business methods and computer programs</w:t>
      </w:r>
    </w:p>
    <w:p w:rsidR="002A7AE8" w:rsidRPr="002A7AE8" w:rsidRDefault="002A7AE8" w:rsidP="002A7AE8">
      <w:pPr>
        <w:rPr>
          <w:rFonts w:cstheme="minorHAnsi"/>
          <w:sz w:val="28"/>
          <w:szCs w:val="28"/>
        </w:rPr>
      </w:pPr>
      <w:r w:rsidRPr="002A7AE8">
        <w:rPr>
          <w:rFonts w:cstheme="minorHAnsi"/>
          <w:sz w:val="28"/>
          <w:szCs w:val="28"/>
        </w:rPr>
        <w:t xml:space="preserve">A mathematical or business method, a computer programme per se, or algorithms are not patentable. Mathematical formulae and software programs </w:t>
      </w:r>
      <w:r w:rsidRPr="002A7AE8">
        <w:rPr>
          <w:rFonts w:cstheme="minorHAnsi"/>
          <w:sz w:val="28"/>
          <w:szCs w:val="28"/>
        </w:rPr>
        <w:lastRenderedPageBreak/>
        <w:t>cannot be patented as standalone inventions, although inventions with a technical character involving software may receive protection.</w:t>
      </w:r>
    </w:p>
    <w:p w:rsidR="002A7AE8" w:rsidRPr="002A7AE8" w:rsidRDefault="002A7AE8" w:rsidP="002A7AE8">
      <w:pPr>
        <w:rPr>
          <w:rFonts w:cstheme="minorHAnsi"/>
          <w:sz w:val="28"/>
          <w:szCs w:val="28"/>
        </w:rPr>
      </w:pPr>
      <w:r w:rsidRPr="002A7AE8">
        <w:rPr>
          <w:rFonts w:cstheme="minorHAnsi"/>
          <w:sz w:val="28"/>
          <w:szCs w:val="28"/>
        </w:rPr>
        <w:t>Section 3(l) – Literary, dramatic, musical or artistic works</w:t>
      </w:r>
    </w:p>
    <w:p w:rsidR="002A7AE8" w:rsidRPr="002A7AE8" w:rsidRDefault="002A7AE8" w:rsidP="002A7AE8">
      <w:pPr>
        <w:rPr>
          <w:rFonts w:cstheme="minorHAnsi"/>
          <w:sz w:val="28"/>
          <w:szCs w:val="28"/>
        </w:rPr>
      </w:pPr>
      <w:r w:rsidRPr="002A7AE8">
        <w:rPr>
          <w:rFonts w:cstheme="minorHAnsi"/>
          <w:sz w:val="28"/>
          <w:szCs w:val="28"/>
        </w:rPr>
        <w:t>Literary, dramatic, musical, or artistic works and other aesthetic creations including cinematographic works and television productions are excluded from patent protection. These are instead protected under the Copyright Act, 1957.</w:t>
      </w:r>
    </w:p>
    <w:p w:rsidR="002A7AE8" w:rsidRPr="002A7AE8" w:rsidRDefault="002A7AE8" w:rsidP="002A7AE8">
      <w:pPr>
        <w:rPr>
          <w:rFonts w:cstheme="minorHAnsi"/>
          <w:sz w:val="28"/>
          <w:szCs w:val="28"/>
        </w:rPr>
      </w:pPr>
      <w:r w:rsidRPr="002A7AE8">
        <w:rPr>
          <w:rFonts w:cstheme="minorHAnsi"/>
          <w:sz w:val="28"/>
          <w:szCs w:val="28"/>
        </w:rPr>
        <w:t>Section 3(m) and 3(n) – Mental acts and presentation of information</w:t>
      </w:r>
    </w:p>
    <w:p w:rsidR="002A7AE8" w:rsidRPr="002A7AE8" w:rsidRDefault="002A7AE8" w:rsidP="002A7AE8">
      <w:pPr>
        <w:rPr>
          <w:rFonts w:cstheme="minorHAnsi"/>
          <w:sz w:val="28"/>
          <w:szCs w:val="28"/>
        </w:rPr>
      </w:pPr>
      <w:r w:rsidRPr="002A7AE8">
        <w:rPr>
          <w:rFonts w:cstheme="minorHAnsi"/>
          <w:sz w:val="28"/>
          <w:szCs w:val="28"/>
        </w:rPr>
        <w:t>A mere scheme, rule, or method of performing a mental act, method of playing a game, or a presentation of information is excluded. Presenting data in a new format or devising a new game rule cannot be patented.</w:t>
      </w:r>
    </w:p>
    <w:p w:rsidR="002A7AE8" w:rsidRPr="002A7AE8" w:rsidRDefault="002A7AE8" w:rsidP="002A7AE8">
      <w:pPr>
        <w:rPr>
          <w:rFonts w:cstheme="minorHAnsi"/>
          <w:sz w:val="28"/>
          <w:szCs w:val="28"/>
        </w:rPr>
      </w:pPr>
      <w:r w:rsidRPr="002A7AE8">
        <w:rPr>
          <w:rFonts w:cstheme="minorHAnsi"/>
          <w:sz w:val="28"/>
          <w:szCs w:val="28"/>
        </w:rPr>
        <w:t>Section 3(o) – Topography of integrated circuits</w:t>
      </w:r>
    </w:p>
    <w:p w:rsidR="002A7AE8" w:rsidRPr="002A7AE8" w:rsidRDefault="002A7AE8" w:rsidP="002A7AE8">
      <w:pPr>
        <w:rPr>
          <w:rFonts w:cstheme="minorHAnsi"/>
          <w:sz w:val="28"/>
          <w:szCs w:val="28"/>
        </w:rPr>
      </w:pPr>
      <w:r w:rsidRPr="002A7AE8">
        <w:rPr>
          <w:rFonts w:cstheme="minorHAnsi"/>
          <w:sz w:val="28"/>
          <w:szCs w:val="28"/>
        </w:rPr>
        <w:t>Topography of integrated circuits is excluded from patent protection and is instead protected under separate legislation.</w:t>
      </w:r>
    </w:p>
    <w:p w:rsidR="002A7AE8" w:rsidRPr="002A7AE8" w:rsidRDefault="002A7AE8" w:rsidP="002A7AE8">
      <w:pPr>
        <w:rPr>
          <w:rFonts w:cstheme="minorHAnsi"/>
          <w:sz w:val="28"/>
          <w:szCs w:val="28"/>
        </w:rPr>
      </w:pPr>
      <w:r w:rsidRPr="002A7AE8">
        <w:rPr>
          <w:rFonts w:cstheme="minorHAnsi"/>
          <w:sz w:val="28"/>
          <w:szCs w:val="28"/>
        </w:rPr>
        <w:t>Section 3(p) – Traditional knowledge</w:t>
      </w:r>
    </w:p>
    <w:p w:rsidR="002A7AE8" w:rsidRPr="002A7AE8" w:rsidRDefault="002A7AE8" w:rsidP="002A7AE8">
      <w:pPr>
        <w:rPr>
          <w:rFonts w:cstheme="minorHAnsi"/>
          <w:sz w:val="28"/>
          <w:szCs w:val="28"/>
        </w:rPr>
      </w:pPr>
      <w:r w:rsidRPr="002A7AE8">
        <w:rPr>
          <w:rFonts w:cstheme="minorHAnsi"/>
          <w:sz w:val="28"/>
          <w:szCs w:val="28"/>
        </w:rPr>
        <w:t>An invention which in effect is traditional knowledge or which is an aggregation or duplication of known properties of traditionally known components is not patentable. This provision protects India's biodiversity and traditional knowledge from misappropriation.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Section 4 – Inventions relating to atomic energy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4 provides that no patent shall be granted in respect of an invention relating to atomic energy falling within Section 20(1) of the Atomic Energy Act, 1962. This is an absolute exclusion based on national security considerations.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Comparative overview: patentable vs non-patentable inventions</w:t>
      </w:r>
    </w:p>
    <w:p w:rsidR="002A7AE8" w:rsidRPr="002A7AE8" w:rsidRDefault="002A7AE8" w:rsidP="002A7AE8">
      <w:pPr>
        <w:rPr>
          <w:rFonts w:cstheme="minorHAnsi"/>
          <w:sz w:val="28"/>
          <w:szCs w:val="28"/>
        </w:rPr>
      </w:pPr>
      <w:r w:rsidRPr="002A7AE8">
        <w:rPr>
          <w:rFonts w:cstheme="minorHAnsi"/>
          <w:sz w:val="28"/>
          <w:szCs w:val="28"/>
        </w:rPr>
        <w:t xml:space="preserve">A patentable invention is new, original, involves an inventive step, and is industrially useful. It demonstrates technical advancement over the prior art. A non-patentable subject matter is either already known, obvious, a mere discovery, contrary to public interest, or falls within the specific exclusions </w:t>
      </w:r>
      <w:r w:rsidRPr="002A7AE8">
        <w:rPr>
          <w:rFonts w:cstheme="minorHAnsi"/>
          <w:sz w:val="28"/>
          <w:szCs w:val="28"/>
        </w:rPr>
        <w:lastRenderedPageBreak/>
        <w:t>under Sections 3 and 4. The distinction rests primarily on whether the claimed subject matter produces a technical effect and satisfies the statutory criteria.</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 A patent is an exclusive statutory right granted under the Patents Act, 1970 for a limited term in exchange for full public disclosure of the invention. To qualify for protection, an invention must satisfy the three criteria of novelty, inventive step, and industrial applicability under Section 2(1)(j). Section 3 exhaustively lists non-patentable subject matters including mere discoveries, methods of treatment, traditional knowledge, and mathematical methods, while Section 4 absolutely excludes inventions relating to atomic energy. The grant of a patent does not guarantee its validity, and patents may be challenged for failure to satisfy the statutory criteria. The patentability framework balances the inventor's exclusive rights with the public interest in access to knowledge and technology.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Chapter 2: International patent application under the Patents Act, 1970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Patent protection is territorial in nature, meaning a patent granted in one country is enforceable only within that country's territory. With the growth of international trade and technology, inventors increasingly require protection across multiple jurisdictions. The Patent Cooperation Treaty (PCT) simplifies this by providing a single international filing procedure. In India, international patent applications are governed by Sections 7, 39, and Chapter XXII (Sections 133–139) of the Patents Act, 1970, read with the Patents Rules, 2003.</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Patent Cooperation Treaty (PCT)</w:t>
      </w:r>
    </w:p>
    <w:p w:rsidR="002A7AE8" w:rsidRPr="002A7AE8" w:rsidRDefault="002A7AE8" w:rsidP="002A7AE8">
      <w:pPr>
        <w:rPr>
          <w:rFonts w:cstheme="minorHAnsi"/>
          <w:sz w:val="28"/>
          <w:szCs w:val="28"/>
        </w:rPr>
      </w:pPr>
      <w:r w:rsidRPr="002A7AE8">
        <w:rPr>
          <w:rFonts w:cstheme="minorHAnsi"/>
          <w:sz w:val="28"/>
          <w:szCs w:val="28"/>
        </w:rPr>
        <w:t xml:space="preserve">The Patent Cooperation Treaty was signed in Washington in 1970 and entered into force in 1978. It is administered by the World Intellectual Property Organization (WIPO). India acceded to the PCT in 1998. The PCT does not create a single international patent; it provides a simplified procedure for filing in multiple member countries through a single application. The PCT system includes an International Filing, an International Search Report (ISR), and </w:t>
      </w:r>
      <w:r w:rsidRPr="002A7AE8">
        <w:rPr>
          <w:rFonts w:cstheme="minorHAnsi"/>
          <w:sz w:val="28"/>
          <w:szCs w:val="28"/>
        </w:rPr>
        <w:lastRenderedPageBreak/>
        <w:t>optionally an International Preliminary Report on Patentability (IPRP). These reports assist national patent offices in their examination.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Convention countries – Section 133</w:t>
      </w:r>
    </w:p>
    <w:p w:rsidR="002A7AE8" w:rsidRPr="002A7AE8" w:rsidRDefault="002A7AE8" w:rsidP="002A7AE8">
      <w:pPr>
        <w:rPr>
          <w:rFonts w:cstheme="minorHAnsi"/>
          <w:sz w:val="28"/>
          <w:szCs w:val="28"/>
        </w:rPr>
      </w:pPr>
      <w:r w:rsidRPr="002A7AE8">
        <w:rPr>
          <w:rFonts w:cstheme="minorHAnsi"/>
          <w:sz w:val="28"/>
          <w:szCs w:val="28"/>
        </w:rPr>
        <w:t>Section 133 states: "Any country, which is a signatory or party or a group of countries, union of countries or inter-governmental organisations which are signatories or parties to an international, regional or bi-lateral treaty, convention or arrangement to which India is also a signatory or party and which affords to the applicants for patents in India or to citizens of India similar privileges as are granted to their own citizens or citizens to their member countries in respect of the grant of patents and protection of patent rights shall be a convention country or convention countries for the purposes of this Act."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 convention country is one that extends reciprocal patent privileges to Indian applicants. The Central Government recognises such countries. This is the foundation for claiming priority under the Paris Convention system and for convention applications under Section 135.</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Convention applications – Section 135</w:t>
      </w:r>
    </w:p>
    <w:p w:rsidR="002A7AE8" w:rsidRPr="002A7AE8" w:rsidRDefault="002A7AE8" w:rsidP="002A7AE8">
      <w:pPr>
        <w:rPr>
          <w:rFonts w:cstheme="minorHAnsi"/>
          <w:sz w:val="28"/>
          <w:szCs w:val="28"/>
        </w:rPr>
      </w:pPr>
      <w:r w:rsidRPr="002A7AE8">
        <w:rPr>
          <w:rFonts w:cstheme="minorHAnsi"/>
          <w:sz w:val="28"/>
          <w:szCs w:val="28"/>
        </w:rPr>
        <w:t>Section 135(1) provides that where a person has made an application for a patent in a convention country (the 'basic application'), and that person or their legal representative or assignee makes an application under the Indian Act within twelve months after the date of the basic application, the priority date of a claim of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complete specification based on matter disclosed in the basic application shall be the date of the basic application. The twelve-month priority period is counted from the date of the earliest basic application where applications have been made in more than one convention country.</w:t>
      </w:r>
    </w:p>
    <w:p w:rsidR="002A7AE8" w:rsidRPr="002A7AE8" w:rsidRDefault="002A7AE8" w:rsidP="002A7AE8">
      <w:pPr>
        <w:rPr>
          <w:rFonts w:cstheme="minorHAnsi"/>
          <w:sz w:val="28"/>
          <w:szCs w:val="28"/>
        </w:rPr>
      </w:pPr>
      <w:r w:rsidRPr="002A7AE8">
        <w:rPr>
          <w:rFonts w:cstheme="minorHAnsi"/>
          <w:sz w:val="28"/>
          <w:szCs w:val="28"/>
        </w:rPr>
        <w:t xml:space="preserve">A convention application must be accompanied by a complete specification, must specify the date and country of the basic application, and must state that </w:t>
      </w:r>
      <w:r w:rsidRPr="002A7AE8">
        <w:rPr>
          <w:rFonts w:cstheme="minorHAnsi"/>
          <w:sz w:val="28"/>
          <w:szCs w:val="28"/>
        </w:rPr>
        <w:lastRenderedPageBreak/>
        <w:t>no earlier application was made in a convention country before that date. Section 136 governs the formal requirements for convention applications.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Form of application – Section 7</w:t>
      </w:r>
    </w:p>
    <w:p w:rsidR="002A7AE8" w:rsidRPr="002A7AE8" w:rsidRDefault="002A7AE8" w:rsidP="002A7AE8">
      <w:pPr>
        <w:rPr>
          <w:rFonts w:cstheme="minorHAnsi"/>
          <w:sz w:val="28"/>
          <w:szCs w:val="28"/>
        </w:rPr>
      </w:pPr>
      <w:r w:rsidRPr="002A7AE8">
        <w:rPr>
          <w:rFonts w:cstheme="minorHAnsi"/>
          <w:sz w:val="28"/>
          <w:szCs w:val="28"/>
        </w:rPr>
        <w:t>Section 7(1) states: "Every application for a patent shall be for one invention only and shall be made in the prescribed form and filed in the patent office." Section 7(1A) provides that every international application under the Patent Cooperation Treaty for a patent designating India shall be deemed to be an application under the Indian Act if a corresponding application has also been filed before the Controller in India.</w:t>
      </w:r>
    </w:p>
    <w:p w:rsidR="002A7AE8" w:rsidRPr="002A7AE8" w:rsidRDefault="002A7AE8" w:rsidP="002A7AE8">
      <w:pPr>
        <w:rPr>
          <w:rFonts w:cstheme="minorHAnsi"/>
          <w:sz w:val="28"/>
          <w:szCs w:val="28"/>
        </w:rPr>
      </w:pPr>
      <w:r w:rsidRPr="002A7AE8">
        <w:rPr>
          <w:rFonts w:cstheme="minorHAnsi"/>
          <w:sz w:val="28"/>
          <w:szCs w:val="28"/>
        </w:rPr>
        <w:t>Section 7(1B) provides that the filing date of such an application processed by the patent office as designated or elected office shall be the international filing date under the PCT.</w:t>
      </w:r>
    </w:p>
    <w:p w:rsidR="002A7AE8" w:rsidRPr="002A7AE8" w:rsidRDefault="002A7AE8" w:rsidP="002A7AE8">
      <w:pPr>
        <w:rPr>
          <w:rFonts w:cstheme="minorHAnsi"/>
          <w:sz w:val="28"/>
          <w:szCs w:val="28"/>
        </w:rPr>
      </w:pPr>
      <w:r w:rsidRPr="002A7AE8">
        <w:rPr>
          <w:rFonts w:cstheme="minorHAnsi"/>
          <w:sz w:val="28"/>
          <w:szCs w:val="28"/>
        </w:rPr>
        <w:t>An application must include the applicant's details, description of the invention, claims, drawings (if necessary), abstract, and declaration of inventorship. A PCT application designating India undergoes a national phase entry procedure in India.</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Residents not to apply for patents outside India without prior permission –Section 39</w:t>
      </w:r>
    </w:p>
    <w:p w:rsidR="002A7AE8" w:rsidRPr="002A7AE8" w:rsidRDefault="002A7AE8" w:rsidP="002A7AE8">
      <w:pPr>
        <w:rPr>
          <w:rFonts w:cstheme="minorHAnsi"/>
          <w:sz w:val="28"/>
          <w:szCs w:val="28"/>
        </w:rPr>
      </w:pPr>
      <w:r w:rsidRPr="002A7AE8">
        <w:rPr>
          <w:rFonts w:cstheme="minorHAnsi"/>
          <w:sz w:val="28"/>
          <w:szCs w:val="28"/>
        </w:rPr>
        <w:t>Section 39(1) provides: "No person resident in India shall, except under the authority of a written permit sought in the manner prescribed and granted by or on behalf of the Controller, make or cause to be made any application outside India for the grant of a patent for an invention unless— (a) an application for a patent for the same invention has been made in India, not less than six weeks before the application outside India; and (b) either no direction has been given under sub-section (1) of section 35 in relation to the application in India, or all such directions have been revoked."</w:t>
      </w:r>
    </w:p>
    <w:p w:rsidR="002A7AE8" w:rsidRPr="002A7AE8" w:rsidRDefault="002A7AE8" w:rsidP="002A7AE8">
      <w:pPr>
        <w:rPr>
          <w:rFonts w:cstheme="minorHAnsi"/>
          <w:sz w:val="28"/>
          <w:szCs w:val="28"/>
        </w:rPr>
      </w:pPr>
      <w:r w:rsidRPr="002A7AE8">
        <w:rPr>
          <w:rFonts w:cstheme="minorHAnsi"/>
          <w:sz w:val="28"/>
          <w:szCs w:val="28"/>
        </w:rPr>
        <w:t xml:space="preserve">This provision requires Indian residents to either obtain a foreign filing licence (FFL) from the Controller or first file in India and wait six weeks before applying abroad. The purpose is to protect national security by allowing the government to impose secrecy directions under Section 35 before the invention is disclosed in a foreign country. The Controller must dispose of every permit application within the prescribed period, and prior consent of the Central Government is </w:t>
      </w:r>
      <w:r w:rsidRPr="002A7AE8">
        <w:rPr>
          <w:rFonts w:cstheme="minorHAnsi"/>
          <w:sz w:val="28"/>
          <w:szCs w:val="28"/>
        </w:rPr>
        <w:lastRenderedPageBreak/>
        <w:t>required if the invention relates to defence or atomic energy. Contravention of Section 39 renders the Indian patent application liable to be deemed abandoned and any patent granted liable to revocation under Section 64(1)(n).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Multiple priorities – Section 137</w:t>
      </w:r>
    </w:p>
    <w:p w:rsidR="002A7AE8" w:rsidRPr="002A7AE8" w:rsidRDefault="002A7AE8" w:rsidP="002A7AE8">
      <w:pPr>
        <w:rPr>
          <w:rFonts w:cstheme="minorHAnsi"/>
          <w:sz w:val="28"/>
          <w:szCs w:val="28"/>
        </w:rPr>
      </w:pPr>
      <w:r w:rsidRPr="002A7AE8">
        <w:rPr>
          <w:rFonts w:cstheme="minorHAnsi"/>
          <w:sz w:val="28"/>
          <w:szCs w:val="28"/>
        </w:rPr>
        <w:t>Section 137 provides that where applications have been made in one or more convention countries in respect of two or more related inventions, a single convention application may be filed in India within twelve months of the earliest basic application, covering the inventions disclosed in the various basic applications. The priority date of each claim is the date on which the relevant matter was first disclosed in the corresponding basic application. This enables an applicant to consolidate related inventions into a single Indian application while preserving the correct priority dates for each claim.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Special provisions for convention applications – Section 136</w:t>
      </w:r>
    </w:p>
    <w:p w:rsidR="002A7AE8" w:rsidRPr="002A7AE8" w:rsidRDefault="002A7AE8" w:rsidP="002A7AE8">
      <w:pPr>
        <w:rPr>
          <w:rFonts w:cstheme="minorHAnsi"/>
          <w:sz w:val="28"/>
          <w:szCs w:val="28"/>
        </w:rPr>
      </w:pPr>
      <w:r w:rsidRPr="002A7AE8">
        <w:rPr>
          <w:rFonts w:cstheme="minorHAnsi"/>
          <w:sz w:val="28"/>
          <w:szCs w:val="28"/>
        </w:rPr>
        <w:t>Section 136 sets out specific requirements for convention applications: the application must be accompanied by a complete specification; it must specify the date and convention country of the first application; and it must declare that no earlier application was made in any convention country before that date. Section 138 requires the applicant to furnish copies of specifications filed in the convention country when required by the Controller, along with verified translations where the document is in a foreign language.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International application under PCT – Section 138(4) to (6)</w:t>
      </w:r>
    </w:p>
    <w:p w:rsidR="002A7AE8" w:rsidRPr="002A7AE8" w:rsidRDefault="002A7AE8" w:rsidP="002A7AE8">
      <w:pPr>
        <w:rPr>
          <w:rFonts w:cstheme="minorHAnsi"/>
          <w:sz w:val="28"/>
          <w:szCs w:val="28"/>
        </w:rPr>
      </w:pPr>
      <w:r w:rsidRPr="002A7AE8">
        <w:rPr>
          <w:rFonts w:cstheme="minorHAnsi"/>
          <w:sz w:val="28"/>
          <w:szCs w:val="28"/>
        </w:rPr>
        <w:t>Section 138(4) provides that an international application filed under the PCT designating India shall have the effect of filing an application under Section 7, Section 54 (patents of addition), or Section 135, as the case may be. The title, description, claims, abstract, and drawings of the international application are taken as the complete specification for Indian purposes. Section 138(5) provides that the filing date of such an application is the international filing date. Section 138(6) allows amendments proposed by the applicant before the international searching or preliminary examination authority to be treated as amendments made before the Indian patent office if the applicant so desires.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Priority date – Section 11</w:t>
      </w:r>
    </w:p>
    <w:p w:rsidR="002A7AE8" w:rsidRPr="002A7AE8" w:rsidRDefault="002A7AE8" w:rsidP="002A7AE8">
      <w:pPr>
        <w:rPr>
          <w:rFonts w:cstheme="minorHAnsi"/>
          <w:sz w:val="28"/>
          <w:szCs w:val="28"/>
        </w:rPr>
      </w:pPr>
      <w:r w:rsidRPr="002A7AE8">
        <w:rPr>
          <w:rFonts w:cstheme="minorHAnsi"/>
          <w:sz w:val="28"/>
          <w:szCs w:val="28"/>
        </w:rPr>
        <w:t>Section 11 governs priority dates for claims of a complete specification. For a convention application, the priority date of a claim based on matter disclosed in the basic application is the date of the basic application. For a PCT application designating India, the priority date corresponds to the international filing date. The priority date is crucial because it determines the prior art available against the application, and earlier priority dates protect the applicant against intervening publications.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 The Patents Act, 1970 integrates India's obligations under the Patent Cooperation Treaty through Sections 7, 39, and Chapter XXII (Sections 133–139). An Indian resident must obtain a Foreign Filing Licence or first file in India and wait six weeks before applying abroad under Section 39, in order to safeguard national security interests. Convention applications under Section 135 allow priority to be claimed from a basic application filed in a convention country within twelve months. The PCT system provides a streamlined route for international protection through a single application, with the international filing date serving as the priority date for Indian purposes under Section 138. These provisions collectively enable Indian inventors to seek patent protection globally while fulfilling India's international treaty obligations.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Chapter 3: TRIPS Agreement on patents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The Agreement on Trade-Related Aspects of Intellectual Property Rights (TRIPS) is a multilateral agreement forming Annex 1C to the Agreement Establishing the World Trade Organization. It came into force on 1 January 1995 and establishes minimum global standards for the protection and enforcement of intellectual property rights, including patents, for all WTO member states. India became a member of the WTO and is bound by TRIPS obligations.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2.</w:t>
      </w:r>
      <w:r w:rsidRPr="002A7AE8">
        <w:rPr>
          <w:rFonts w:cstheme="minorHAnsi"/>
          <w:sz w:val="28"/>
          <w:szCs w:val="28"/>
        </w:rPr>
        <w:tab/>
        <w:t>Background and history</w:t>
      </w:r>
    </w:p>
    <w:p w:rsidR="002A7AE8" w:rsidRPr="002A7AE8" w:rsidRDefault="002A7AE8" w:rsidP="002A7AE8">
      <w:pPr>
        <w:rPr>
          <w:rFonts w:cstheme="minorHAnsi"/>
          <w:sz w:val="28"/>
          <w:szCs w:val="28"/>
        </w:rPr>
      </w:pPr>
      <w:r w:rsidRPr="002A7AE8">
        <w:rPr>
          <w:rFonts w:cstheme="minorHAnsi"/>
          <w:sz w:val="28"/>
          <w:szCs w:val="28"/>
        </w:rPr>
        <w:t>Before TRIPS, international patent protection was primarily governed by the Paris Convention, 1883, which lacked strong enforcement mechanisms and permitted widely differing national standards. During the Uruguay Round of the General Agreement on Tariffs and Trade (GATT), developed countries pushed for stronger IP protection to address free-riding in international trade. Negotiations concluded in 1994 and TRIPS came into force in 1995. Developing countries including India were given transitional periods to comply. India undertook three amendments to the Patents Act, 1970 in 1999, 2002, and 2005 to achieve full compliance.</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TRIPS provisions on patents – Articles 27 to 34 Article 27 – Patentable subject matter</w:t>
      </w:r>
    </w:p>
    <w:p w:rsidR="002A7AE8" w:rsidRPr="002A7AE8" w:rsidRDefault="002A7AE8" w:rsidP="002A7AE8">
      <w:pPr>
        <w:rPr>
          <w:rFonts w:cstheme="minorHAnsi"/>
          <w:sz w:val="28"/>
          <w:szCs w:val="28"/>
        </w:rPr>
      </w:pPr>
      <w:r w:rsidRPr="002A7AE8">
        <w:rPr>
          <w:rFonts w:cstheme="minorHAnsi"/>
          <w:sz w:val="28"/>
          <w:szCs w:val="28"/>
        </w:rPr>
        <w:t>Patents must be available for inventions in all fields of technology, whether products or processes, provided they are new, involve an inventive step, and are capable of industrial application. Member states may exclude inventions from patentability on grounds of public order, morality, health, or environmental protection.</w:t>
      </w:r>
    </w:p>
    <w:p w:rsidR="002A7AE8" w:rsidRPr="002A7AE8" w:rsidRDefault="002A7AE8" w:rsidP="002A7AE8">
      <w:pPr>
        <w:rPr>
          <w:rFonts w:cstheme="minorHAnsi"/>
          <w:sz w:val="28"/>
          <w:szCs w:val="28"/>
        </w:rPr>
      </w:pPr>
      <w:r w:rsidRPr="002A7AE8">
        <w:rPr>
          <w:rFonts w:cstheme="minorHAnsi"/>
          <w:sz w:val="28"/>
          <w:szCs w:val="28"/>
        </w:rPr>
        <w:t>Discrimination based on the field of technology, the place of invention, or whether products are imported or locally produced is prohibited. This article was given effect in India through Section 2(1)(j) and Section 3 of the Patents Act.</w:t>
      </w:r>
    </w:p>
    <w:p w:rsidR="002A7AE8" w:rsidRPr="002A7AE8" w:rsidRDefault="002A7AE8" w:rsidP="002A7AE8">
      <w:pPr>
        <w:rPr>
          <w:rFonts w:cstheme="minorHAnsi"/>
          <w:sz w:val="28"/>
          <w:szCs w:val="28"/>
        </w:rPr>
      </w:pPr>
      <w:r w:rsidRPr="002A7AE8">
        <w:rPr>
          <w:rFonts w:cstheme="minorHAnsi"/>
          <w:sz w:val="28"/>
          <w:szCs w:val="28"/>
        </w:rPr>
        <w:t>Article 28 – Rights conferred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 patent confers on the owner the exclusive right to prevent third parties from making, using, offering for sale, selling, or importing the patented product or process. Where the subject matter is a process, protection extends to the product directly obtained by the process. This is directly reflected in Section 48 of the Patents Act, 1970.</w:t>
      </w:r>
    </w:p>
    <w:p w:rsidR="002A7AE8" w:rsidRPr="002A7AE8" w:rsidRDefault="002A7AE8" w:rsidP="002A7AE8">
      <w:pPr>
        <w:rPr>
          <w:rFonts w:cstheme="minorHAnsi"/>
          <w:sz w:val="28"/>
          <w:szCs w:val="28"/>
        </w:rPr>
      </w:pPr>
      <w:r w:rsidRPr="002A7AE8">
        <w:rPr>
          <w:rFonts w:cstheme="minorHAnsi"/>
          <w:sz w:val="28"/>
          <w:szCs w:val="28"/>
        </w:rPr>
        <w:t>Article 29 – Disclosure requirement</w:t>
      </w:r>
    </w:p>
    <w:p w:rsidR="002A7AE8" w:rsidRPr="002A7AE8" w:rsidRDefault="002A7AE8" w:rsidP="002A7AE8">
      <w:pPr>
        <w:rPr>
          <w:rFonts w:cstheme="minorHAnsi"/>
          <w:sz w:val="28"/>
          <w:szCs w:val="28"/>
        </w:rPr>
      </w:pPr>
      <w:r w:rsidRPr="002A7AE8">
        <w:rPr>
          <w:rFonts w:cstheme="minorHAnsi"/>
          <w:sz w:val="28"/>
          <w:szCs w:val="28"/>
        </w:rPr>
        <w:t>The patent applicant must disclose the invention in a manner sufficiently clear and complete for the invention to be carried out by a person skilled in the art. The applicant may also be required to indicate the best mode of performing the</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invention. This requirement is mirrored in Section 10(4) of the Patents Act, which requires full and particular description and disclosure of the best method known to the applicant.</w:t>
      </w:r>
    </w:p>
    <w:p w:rsidR="002A7AE8" w:rsidRPr="002A7AE8" w:rsidRDefault="002A7AE8" w:rsidP="002A7AE8">
      <w:pPr>
        <w:rPr>
          <w:rFonts w:cstheme="minorHAnsi"/>
          <w:sz w:val="28"/>
          <w:szCs w:val="28"/>
        </w:rPr>
      </w:pPr>
      <w:r w:rsidRPr="002A7AE8">
        <w:rPr>
          <w:rFonts w:cstheme="minorHAnsi"/>
          <w:sz w:val="28"/>
          <w:szCs w:val="28"/>
        </w:rPr>
        <w:t>Article 30 – Exceptions to rights conferred</w:t>
      </w:r>
    </w:p>
    <w:p w:rsidR="002A7AE8" w:rsidRPr="002A7AE8" w:rsidRDefault="002A7AE8" w:rsidP="002A7AE8">
      <w:pPr>
        <w:rPr>
          <w:rFonts w:cstheme="minorHAnsi"/>
          <w:sz w:val="28"/>
          <w:szCs w:val="28"/>
        </w:rPr>
      </w:pPr>
      <w:r w:rsidRPr="002A7AE8">
        <w:rPr>
          <w:rFonts w:cstheme="minorHAnsi"/>
          <w:sz w:val="28"/>
          <w:szCs w:val="28"/>
        </w:rPr>
        <w:t>Member states may provide limited exceptions to the exclusive rights conferred by a patent, provided that such exceptions do not unreasonably conflict with normal exploitation of the patent and do not unreasonably prejudice the legitimate interests of the patent owner, taking account of the legitimate interests of third parties. This provision is implemented through Section 47 (government use) and Section 107A (Bolar exception) of the Indian Act.</w:t>
      </w:r>
    </w:p>
    <w:p w:rsidR="002A7AE8" w:rsidRPr="002A7AE8" w:rsidRDefault="002A7AE8" w:rsidP="002A7AE8">
      <w:pPr>
        <w:rPr>
          <w:rFonts w:cstheme="minorHAnsi"/>
          <w:sz w:val="28"/>
          <w:szCs w:val="28"/>
        </w:rPr>
      </w:pPr>
      <w:r w:rsidRPr="002A7AE8">
        <w:rPr>
          <w:rFonts w:cstheme="minorHAnsi"/>
          <w:sz w:val="28"/>
          <w:szCs w:val="28"/>
        </w:rPr>
        <w:t>Article 31 – Compulsory licensing</w:t>
      </w:r>
    </w:p>
    <w:p w:rsidR="002A7AE8" w:rsidRPr="002A7AE8" w:rsidRDefault="002A7AE8" w:rsidP="002A7AE8">
      <w:pPr>
        <w:rPr>
          <w:rFonts w:cstheme="minorHAnsi"/>
          <w:sz w:val="28"/>
          <w:szCs w:val="28"/>
        </w:rPr>
      </w:pPr>
      <w:r w:rsidRPr="002A7AE8">
        <w:rPr>
          <w:rFonts w:cstheme="minorHAnsi"/>
          <w:sz w:val="28"/>
          <w:szCs w:val="28"/>
        </w:rPr>
        <w:t>Where the law of a member permits use of a patent without authorisation of the rights holder, several conditions must be met: prior negotiation with the rights holder for a voluntary licence on reasonable commercial terms (except in emergencies); use must be non-exclusive and non-assignable; scope and duration must be limited; adequate remuneration must be paid; and the licence must be predominantly for supply to the domestic market. These requirements are implemented through Sections 84, 87, 88, 89, 90, 91, and 92 of the Patents Act, 1970.</w:t>
      </w:r>
    </w:p>
    <w:p w:rsidR="002A7AE8" w:rsidRPr="002A7AE8" w:rsidRDefault="002A7AE8" w:rsidP="002A7AE8">
      <w:pPr>
        <w:rPr>
          <w:rFonts w:cstheme="minorHAnsi"/>
          <w:sz w:val="28"/>
          <w:szCs w:val="28"/>
        </w:rPr>
      </w:pPr>
      <w:r w:rsidRPr="002A7AE8">
        <w:rPr>
          <w:rFonts w:cstheme="minorHAnsi"/>
          <w:sz w:val="28"/>
          <w:szCs w:val="28"/>
        </w:rPr>
        <w:t>Article 32 – Revocation</w:t>
      </w:r>
    </w:p>
    <w:p w:rsidR="002A7AE8" w:rsidRPr="002A7AE8" w:rsidRDefault="002A7AE8" w:rsidP="002A7AE8">
      <w:pPr>
        <w:rPr>
          <w:rFonts w:cstheme="minorHAnsi"/>
          <w:sz w:val="28"/>
          <w:szCs w:val="28"/>
        </w:rPr>
      </w:pPr>
      <w:r w:rsidRPr="002A7AE8">
        <w:rPr>
          <w:rFonts w:cstheme="minorHAnsi"/>
          <w:sz w:val="28"/>
          <w:szCs w:val="28"/>
        </w:rPr>
        <w:t>An opportunity for judicial review must be available in respect of any decision to revoke or forfeit a patent. This is implemented through Section 64 (revocation by the High Court) and Section 117A (appeals to the High Court) of the Indian Act.</w:t>
      </w:r>
    </w:p>
    <w:p w:rsidR="002A7AE8" w:rsidRPr="002A7AE8" w:rsidRDefault="002A7AE8" w:rsidP="002A7AE8">
      <w:pPr>
        <w:rPr>
          <w:rFonts w:cstheme="minorHAnsi"/>
          <w:sz w:val="28"/>
          <w:szCs w:val="28"/>
        </w:rPr>
      </w:pPr>
      <w:r w:rsidRPr="002A7AE8">
        <w:rPr>
          <w:rFonts w:cstheme="minorHAnsi"/>
          <w:sz w:val="28"/>
          <w:szCs w:val="28"/>
        </w:rPr>
        <w:t>Article 33 – Term of protection</w:t>
      </w:r>
    </w:p>
    <w:p w:rsidR="002A7AE8" w:rsidRPr="002A7AE8" w:rsidRDefault="002A7AE8" w:rsidP="002A7AE8">
      <w:pPr>
        <w:rPr>
          <w:rFonts w:cstheme="minorHAnsi"/>
          <w:sz w:val="28"/>
          <w:szCs w:val="28"/>
        </w:rPr>
      </w:pPr>
      <w:r w:rsidRPr="002A7AE8">
        <w:rPr>
          <w:rFonts w:cstheme="minorHAnsi"/>
          <w:sz w:val="28"/>
          <w:szCs w:val="28"/>
        </w:rPr>
        <w:t>The term of patent protection shall not end before the expiration of twenty years counted from the filing date. Section 53(1) of the Patents Act, 1970, as amended in 2002, gives effect to this by providing a uniform term of twenty years from the date of filing.</w:t>
      </w:r>
    </w:p>
    <w:p w:rsidR="002A7AE8" w:rsidRPr="002A7AE8" w:rsidRDefault="002A7AE8" w:rsidP="002A7AE8">
      <w:pPr>
        <w:rPr>
          <w:rFonts w:cstheme="minorHAnsi"/>
          <w:sz w:val="28"/>
          <w:szCs w:val="28"/>
        </w:rPr>
      </w:pPr>
      <w:r w:rsidRPr="002A7AE8">
        <w:rPr>
          <w:rFonts w:cstheme="minorHAnsi"/>
          <w:sz w:val="28"/>
          <w:szCs w:val="28"/>
        </w:rPr>
        <w:t>Article 34 – Process patents: burden of proof</w:t>
      </w:r>
    </w:p>
    <w:p w:rsidR="002A7AE8" w:rsidRPr="002A7AE8" w:rsidRDefault="002A7AE8" w:rsidP="002A7AE8">
      <w:pPr>
        <w:rPr>
          <w:rFonts w:cstheme="minorHAnsi"/>
          <w:sz w:val="28"/>
          <w:szCs w:val="28"/>
        </w:rPr>
      </w:pPr>
      <w:r w:rsidRPr="002A7AE8">
        <w:rPr>
          <w:rFonts w:cstheme="minorHAnsi"/>
          <w:sz w:val="28"/>
          <w:szCs w:val="28"/>
        </w:rPr>
        <w:lastRenderedPageBreak/>
        <w:t>In proceedings concerning infringement of a process patent, courts may direct the defendant to prove that the process used to obtain an identical product is different from the patented process, in cases where the product is new or where there is a substantial likelihood that the identical product was made by the patented process. Section 104A of the Patents Act incorporates this reverse burden of proof.</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India's amendments to comply with TRIPS</w:t>
      </w:r>
    </w:p>
    <w:p w:rsidR="002A7AE8" w:rsidRPr="002A7AE8" w:rsidRDefault="002A7AE8" w:rsidP="002A7AE8">
      <w:pPr>
        <w:rPr>
          <w:rFonts w:cstheme="minorHAnsi"/>
          <w:sz w:val="28"/>
          <w:szCs w:val="28"/>
        </w:rPr>
      </w:pPr>
      <w:r w:rsidRPr="002A7AE8">
        <w:rPr>
          <w:rFonts w:cstheme="minorHAnsi"/>
          <w:sz w:val="28"/>
          <w:szCs w:val="28"/>
        </w:rPr>
        <w:t>The Patents (Amendment) Act, 1999 introduced a mailbox mechanism for pharmaceutical and agrochemical patent applications and provided for exclusive marketing rights. The Patents (Amendment) Act, 2002 introduced a uniform twenty-year patent term, expanded patentable subject matter, and streamlined examination procedures. The Patents (Amendment) Act, 2005 introduced product patent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protection for pharmaceutical, chemical, and food inventions (previously only process patents were allowed in these fields), in compliance with Article 27 of TRIPS.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Doha Declaration on TRIPS and public health, 2001</w:t>
      </w:r>
    </w:p>
    <w:p w:rsidR="002A7AE8" w:rsidRPr="002A7AE8" w:rsidRDefault="002A7AE8" w:rsidP="002A7AE8">
      <w:pPr>
        <w:rPr>
          <w:rFonts w:cstheme="minorHAnsi"/>
          <w:sz w:val="28"/>
          <w:szCs w:val="28"/>
        </w:rPr>
      </w:pPr>
      <w:r w:rsidRPr="002A7AE8">
        <w:rPr>
          <w:rFonts w:cstheme="minorHAnsi"/>
          <w:sz w:val="28"/>
          <w:szCs w:val="28"/>
        </w:rPr>
        <w:t>The Doha Ministerial Declaration on the TRIPS Agreement and Public Health, adopted on 14 November 2001, clarified that TRIPS should not prevent member governments from taking measures to protect public health. The Declaration confirmed that each WTO member has the right to grant compulsory licences and the freedom to determine the grounds on which such licences are granted. It confirmed that TRIPS flexibilities including compulsory licensing and parallel imports are available to protect public health, especially regarding access to medicines for HIV/AIDS, tuberculosis, malaria, and other epidemics. Section 92A of the Patents Act, inserted in 2005, implements the Decision of 30 August 2003 allowing export of pharmaceutical products under compulsory licence to countries lacking manufacturing capacity.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Relationship between TRIPS and Section 3(d)</w:t>
      </w:r>
    </w:p>
    <w:p w:rsidR="002A7AE8" w:rsidRPr="002A7AE8" w:rsidRDefault="002A7AE8" w:rsidP="002A7AE8">
      <w:pPr>
        <w:rPr>
          <w:rFonts w:cstheme="minorHAnsi"/>
          <w:sz w:val="28"/>
          <w:szCs w:val="28"/>
        </w:rPr>
      </w:pPr>
      <w:r w:rsidRPr="002A7AE8">
        <w:rPr>
          <w:rFonts w:cstheme="minorHAnsi"/>
          <w:sz w:val="28"/>
          <w:szCs w:val="28"/>
        </w:rPr>
        <w:lastRenderedPageBreak/>
        <w:t>Section 3(d) of the Patents Act, 1970, which prevents the grant of patents for new forms of known substances without enhanced efficacy, is an important TRIPS-compliant safeguard against evergreening. TRIPS Article 27 permits states to apply a stricter definition of inventive step. The Supreme Court in Novartis AG v. Union of India (2013) upheld Section 3(d) as consistent with India's TRIPS obligations, confirming that India's higher threshold for patentability of pharmaceutical substances is permissible.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Key TRIPS flexibilities used in Indian patent law</w:t>
      </w:r>
    </w:p>
    <w:p w:rsidR="002A7AE8" w:rsidRPr="002A7AE8" w:rsidRDefault="002A7AE8" w:rsidP="002A7AE8">
      <w:pPr>
        <w:rPr>
          <w:rFonts w:cstheme="minorHAnsi"/>
          <w:sz w:val="28"/>
          <w:szCs w:val="28"/>
        </w:rPr>
      </w:pPr>
      <w:r w:rsidRPr="002A7AE8">
        <w:rPr>
          <w:rFonts w:cstheme="minorHAnsi"/>
          <w:sz w:val="28"/>
          <w:szCs w:val="28"/>
        </w:rPr>
        <w:t>India uses several TRIPS flexibilities: compulsory licensing under Sections 84 and 92 to address public health emergencies and ensure affordability; the Bolar exception under Section 107A permitting pre-launch regulatory testing; parallel imports under Section 107A(b) allowing import from authorised sources; and anti-evergreening under Section 3(d). These flexibilities allow India to balance patent protection with public interest, particularly access to affordable medicines.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 The TRIPS Agreement sets minimum global standards for patent protection that all WTO member states, including India, must observe. Articles 27 to 34 govern patentable subject matter, rights conferred, disclosure requirements, exceptions, compulsory licensing, revocation, term of protection, and burden of proof in process patent cases. India achieved TRIPS compliance through three amendments in 1999, 2002, and 2005, introducing a uniform twenty-year patent term, product patent protection in all fields, and procedural reforms. India strategically employs TRIPS flexibilities including compulsory licensing, the Bolar exception, and the anti-evergreening provision under Section 3(d) to balance patent protection with public health objectives. The Doha Declaration of 2001 affirmed each member state's right to use these flexibilities to protect public health.</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Chapter 4: Registration and procedure for grant of patent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lastRenderedPageBreak/>
        <w:t>Patent rights are not automatic. An inventor must follow the statutory procedure under the Patents Act, 1970 to obtain a patent. The process involves filing an application, examination, publication, opposition, and grant. The key provisions are Sections 6, 7, 9, 10, 11A, 11B, 12, 14, 15, 25, and 43 of the Act.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Persons entitled to apply – Section 6</w:t>
      </w:r>
    </w:p>
    <w:p w:rsidR="002A7AE8" w:rsidRPr="002A7AE8" w:rsidRDefault="002A7AE8" w:rsidP="002A7AE8">
      <w:pPr>
        <w:rPr>
          <w:rFonts w:cstheme="minorHAnsi"/>
          <w:sz w:val="28"/>
          <w:szCs w:val="28"/>
        </w:rPr>
      </w:pPr>
      <w:r w:rsidRPr="002A7AE8">
        <w:rPr>
          <w:rFonts w:cstheme="minorHAnsi"/>
          <w:sz w:val="28"/>
          <w:szCs w:val="28"/>
        </w:rPr>
        <w:t>Section 6(1) provides that an application for a patent may be made by: (a) any person claiming to be the true and first inventor of the invention; (b) any person being the assignee of the person claiming to be the true and first inventor in respect of the right to make such an application; or (c) the legal representative of any deceased person who immediately before death was entitled to make such an application.</w:t>
      </w:r>
    </w:p>
    <w:p w:rsidR="002A7AE8" w:rsidRPr="002A7AE8" w:rsidRDefault="002A7AE8" w:rsidP="002A7AE8">
      <w:pPr>
        <w:rPr>
          <w:rFonts w:cstheme="minorHAnsi"/>
          <w:sz w:val="28"/>
          <w:szCs w:val="28"/>
        </w:rPr>
      </w:pPr>
      <w:r w:rsidRPr="002A7AE8">
        <w:rPr>
          <w:rFonts w:cstheme="minorHAnsi"/>
          <w:sz w:val="28"/>
          <w:szCs w:val="28"/>
        </w:rPr>
        <w:t>Section 6(2) permits applications by any of the above persons either alone or jointly with any other person.</w:t>
      </w:r>
    </w:p>
    <w:p w:rsidR="002A7AE8" w:rsidRPr="002A7AE8" w:rsidRDefault="002A7AE8" w:rsidP="002A7AE8">
      <w:pPr>
        <w:rPr>
          <w:rFonts w:cstheme="minorHAnsi"/>
          <w:sz w:val="28"/>
          <w:szCs w:val="28"/>
        </w:rPr>
      </w:pPr>
      <w:r w:rsidRPr="002A7AE8">
        <w:rPr>
          <w:rFonts w:cstheme="minorHAnsi"/>
          <w:sz w:val="28"/>
          <w:szCs w:val="28"/>
        </w:rPr>
        <w:t>The 'true and first inventor' is the person who actually created the invention. Section 2(1)(y) clarifies that the true and first inventor does not include the first importer of an invention into India or a person to whom it is first communicated from outside India.</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Form of application – Section 7</w:t>
      </w:r>
    </w:p>
    <w:p w:rsidR="002A7AE8" w:rsidRPr="002A7AE8" w:rsidRDefault="002A7AE8" w:rsidP="002A7AE8">
      <w:pPr>
        <w:rPr>
          <w:rFonts w:cstheme="minorHAnsi"/>
          <w:sz w:val="28"/>
          <w:szCs w:val="28"/>
        </w:rPr>
      </w:pPr>
      <w:r w:rsidRPr="002A7AE8">
        <w:rPr>
          <w:rFonts w:cstheme="minorHAnsi"/>
          <w:sz w:val="28"/>
          <w:szCs w:val="28"/>
        </w:rPr>
        <w:t>Section 7(1) states: "Every application for a patent shall be for one invention only and shall be made in the prescribed form and filed in the patent office." The one-invention rule promotes clarity in claims. Where there is more than one invention, a divisional application under Section 16 may be filed. An application must name the person claiming to be the true and first inventor, and where that person is not the applicant, must contain a declaration that the applicant believes the named person to be the true and first inventor.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Provisional and complete specification – Section 9</w:t>
      </w:r>
    </w:p>
    <w:p w:rsidR="002A7AE8" w:rsidRPr="002A7AE8" w:rsidRDefault="002A7AE8" w:rsidP="002A7AE8">
      <w:pPr>
        <w:rPr>
          <w:rFonts w:cstheme="minorHAnsi"/>
          <w:sz w:val="28"/>
          <w:szCs w:val="28"/>
        </w:rPr>
      </w:pPr>
      <w:r w:rsidRPr="002A7AE8">
        <w:rPr>
          <w:rFonts w:cstheme="minorHAnsi"/>
          <w:sz w:val="28"/>
          <w:szCs w:val="28"/>
        </w:rPr>
        <w:t xml:space="preserve">Section 9(1) provides that where an application is accompanied by a provisional specification, a complete specification must be filed within twelve months from the date of filing, failing which the application is deemed abandoned. A provisional specification secures a priority date and gives the </w:t>
      </w:r>
      <w:r w:rsidRPr="002A7AE8">
        <w:rPr>
          <w:rFonts w:cstheme="minorHAnsi"/>
          <w:sz w:val="28"/>
          <w:szCs w:val="28"/>
        </w:rPr>
        <w:lastRenderedPageBreak/>
        <w:t>inventor time to refine the invention. Section 9(3) allows the Controller to treat a complete specification as a provisional specification on request by the applicant within twelve months of filing. Section 9(4) allows cancellation of the provisional specification and post-dating to the filing date of the complete specification.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Contents of complete specification – Section 10</w:t>
      </w:r>
    </w:p>
    <w:p w:rsidR="002A7AE8" w:rsidRPr="002A7AE8" w:rsidRDefault="002A7AE8" w:rsidP="002A7AE8">
      <w:pPr>
        <w:rPr>
          <w:rFonts w:cstheme="minorHAnsi"/>
          <w:sz w:val="28"/>
          <w:szCs w:val="28"/>
        </w:rPr>
      </w:pPr>
      <w:r w:rsidRPr="002A7AE8">
        <w:rPr>
          <w:rFonts w:cstheme="minorHAnsi"/>
          <w:sz w:val="28"/>
          <w:szCs w:val="28"/>
        </w:rPr>
        <w:t>Section 10(4) requires that every complete specification shall: (a) fully and particularly describe the invention and its operation or use and the method by which it is to be performed; (b) disclose the best method of performing the invention known to the applicant and for which he is entitled to claim protection; (c) end with a claim or claims defining the scope of the invention for which protection is claimed; and (d) be accompanied by an abstract providing technical information. Section 10(5) requires claims to relate to a single invention or a group of inventions forming a single inventive concept, and to be clear, succinct, and fairly based on the matter disclosed.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Publication of application – Section 11A</w:t>
      </w:r>
    </w:p>
    <w:p w:rsidR="002A7AE8" w:rsidRPr="002A7AE8" w:rsidRDefault="002A7AE8" w:rsidP="002A7AE8">
      <w:pPr>
        <w:rPr>
          <w:rFonts w:cstheme="minorHAnsi"/>
          <w:sz w:val="28"/>
          <w:szCs w:val="28"/>
        </w:rPr>
      </w:pPr>
      <w:r w:rsidRPr="002A7AE8">
        <w:rPr>
          <w:rFonts w:cstheme="minorHAnsi"/>
          <w:sz w:val="28"/>
          <w:szCs w:val="28"/>
        </w:rPr>
        <w:t>Section 11A(1) states that no application shall ordinarily be open to the public for such period as may be prescribed (currently eighteen months from the date of filing or priority date). The applicant may request early publication under Section 11A(2). Section 11A(3) requires every application to be published on expiry of the prescribed period, except where a secrecy direction is in force, the application has been abandoned, or it has been withdrawn three months before that period. Upon publication under Section 11A(7), the applicant acquires provisional protection equivalent to patent rights, though infringement proceedings cannot be initiated until the patent is actually granted.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Request for examination – Section 11B</w:t>
      </w:r>
    </w:p>
    <w:p w:rsidR="002A7AE8" w:rsidRPr="002A7AE8" w:rsidRDefault="002A7AE8" w:rsidP="002A7AE8">
      <w:pPr>
        <w:rPr>
          <w:rFonts w:cstheme="minorHAnsi"/>
          <w:sz w:val="28"/>
          <w:szCs w:val="28"/>
        </w:rPr>
      </w:pPr>
      <w:r w:rsidRPr="002A7AE8">
        <w:rPr>
          <w:rFonts w:cstheme="minorHAnsi"/>
          <w:sz w:val="28"/>
          <w:szCs w:val="28"/>
        </w:rPr>
        <w:t xml:space="preserve">Section 11B(1) provides that no application shall be examined unless the applicant or any other interested person makes a request for examination in the prescribed manner within the prescribed period. If no request is made within that period, the application is treated as withdrawn. The applicant may </w:t>
      </w:r>
      <w:r w:rsidRPr="002A7AE8">
        <w:rPr>
          <w:rFonts w:cstheme="minorHAnsi"/>
          <w:sz w:val="28"/>
          <w:szCs w:val="28"/>
        </w:rPr>
        <w:lastRenderedPageBreak/>
        <w:t>withdraw the application at any time before grant by making a request in the prescribed manner. Where a secrecy direction under Section 35 has been issued, the examination request may be made within the prescribed period from the date of revocation of the secrecy direction.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Examination – Section 12</w:t>
      </w:r>
    </w:p>
    <w:p w:rsidR="002A7AE8" w:rsidRPr="002A7AE8" w:rsidRDefault="002A7AE8" w:rsidP="002A7AE8">
      <w:pPr>
        <w:rPr>
          <w:rFonts w:cstheme="minorHAnsi"/>
          <w:sz w:val="28"/>
          <w:szCs w:val="28"/>
        </w:rPr>
      </w:pPr>
      <w:r w:rsidRPr="002A7AE8">
        <w:rPr>
          <w:rFonts w:cstheme="minorHAnsi"/>
          <w:sz w:val="28"/>
          <w:szCs w:val="28"/>
        </w:rPr>
        <w:t>Section 12(1) provides that when a request for examination has been made, the application, specification, and related documents shall be referred by the Controller to an examiner for a report on whether the application complies with the requirements of the Act and Rules, whether there is any lawful ground of objection to the grant, the results of searches under Section 13, and any other prescribed matters. Section 14 requires the Controller to communicate the gist of any objections to the applicant and, if the applicant so requires, to give an opportunity of being heard before proceeding to dispose of the application.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Power of Controller to refuse or require amendment – Section 15</w:t>
      </w:r>
    </w:p>
    <w:p w:rsidR="002A7AE8" w:rsidRPr="002A7AE8" w:rsidRDefault="002A7AE8" w:rsidP="002A7AE8">
      <w:pPr>
        <w:rPr>
          <w:rFonts w:cstheme="minorHAnsi"/>
          <w:sz w:val="28"/>
          <w:szCs w:val="28"/>
        </w:rPr>
      </w:pPr>
      <w:r w:rsidRPr="002A7AE8">
        <w:rPr>
          <w:rFonts w:cstheme="minorHAnsi"/>
          <w:sz w:val="28"/>
          <w:szCs w:val="28"/>
        </w:rPr>
        <w:t>Section 15 provides: "Where the Controller is satisfied that the application or any specification or any other document filed in pursuance thereof does not comply with the requirements of this Act or of any rules made thereunder, the Controller may refuse the application or may require the application, specification or the other documents, as the case may be, to be amended to his satisfaction before he proceeds with the application and refuse the application on failure to do so." This provision gives the Controller discretion to insist on compliance as a condition for proceeding.</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Opposition proceedings – Section 25</w:t>
      </w:r>
    </w:p>
    <w:p w:rsidR="002A7AE8" w:rsidRPr="002A7AE8" w:rsidRDefault="002A7AE8" w:rsidP="002A7AE8">
      <w:pPr>
        <w:rPr>
          <w:rFonts w:cstheme="minorHAnsi"/>
          <w:sz w:val="28"/>
          <w:szCs w:val="28"/>
        </w:rPr>
      </w:pPr>
      <w:r w:rsidRPr="002A7AE8">
        <w:rPr>
          <w:rFonts w:cstheme="minorHAnsi"/>
          <w:sz w:val="28"/>
          <w:szCs w:val="28"/>
        </w:rPr>
        <w:t xml:space="preserve">Section 25(1) provides for pre-grant opposition: where an application has been published but a patent has not been granted, any person may represent by way of opposition to the Controller against the grant on specified grounds including wrongful obtaining, prior publication, prior claim, prior public knowledge or use, obviousness, non-patentability, insufficient disclosure, failure to disclose information under Section 8, and anticipation by traditional knowledge. Section 25(2) provides for post-grant opposition: within one year </w:t>
      </w:r>
      <w:r w:rsidRPr="002A7AE8">
        <w:rPr>
          <w:rFonts w:cstheme="minorHAnsi"/>
          <w:sz w:val="28"/>
          <w:szCs w:val="28"/>
        </w:rPr>
        <w:lastRenderedPageBreak/>
        <w:t>from the date of publication of the grant, any person interested may give notice of opposition on the same grounds. The Controller constitutes an Opposition Board under Section 25(3) to examine the opposition and submit recommendations before the Controller issues an order to maintain, amend, or revoke the patent.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11.</w:t>
      </w:r>
      <w:r w:rsidRPr="002A7AE8">
        <w:rPr>
          <w:rFonts w:cstheme="minorHAnsi"/>
          <w:sz w:val="28"/>
          <w:szCs w:val="28"/>
        </w:rPr>
        <w:tab/>
        <w:t>Grant of patent – Section 43</w:t>
      </w:r>
    </w:p>
    <w:p w:rsidR="002A7AE8" w:rsidRPr="002A7AE8" w:rsidRDefault="002A7AE8" w:rsidP="002A7AE8">
      <w:pPr>
        <w:rPr>
          <w:rFonts w:cstheme="minorHAnsi"/>
          <w:sz w:val="28"/>
          <w:szCs w:val="28"/>
        </w:rPr>
      </w:pPr>
      <w:r w:rsidRPr="002A7AE8">
        <w:rPr>
          <w:rFonts w:cstheme="minorHAnsi"/>
          <w:sz w:val="28"/>
          <w:szCs w:val="28"/>
        </w:rPr>
        <w:t>Section 43(1) provides: "Where an application for a patent has been found to be in order for grant of the patent and either (a) the application has not been refused by the Controller by virtue of any power vested in him by this Act; or (b) the application has not been found to be in contravention of any of the provisions of this Act, the patent shall be granted as expeditiously as possible to the applicant or, in the case of a joint application, to the applicants jointly, with the seal of the patent office and the date on which the patent is granted shall be entered in the register." Upon grant, the application, specification, and related documents become open for public inspection.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12.</w:t>
      </w:r>
      <w:r w:rsidRPr="002A7AE8">
        <w:rPr>
          <w:rFonts w:cstheme="minorHAnsi"/>
          <w:sz w:val="28"/>
          <w:szCs w:val="28"/>
        </w:rPr>
        <w:tab/>
        <w:t>Date of patent and term – Sections 45 and 53</w:t>
      </w:r>
    </w:p>
    <w:p w:rsidR="002A7AE8" w:rsidRPr="002A7AE8" w:rsidRDefault="002A7AE8" w:rsidP="002A7AE8">
      <w:pPr>
        <w:rPr>
          <w:rFonts w:cstheme="minorHAnsi"/>
          <w:sz w:val="28"/>
          <w:szCs w:val="28"/>
        </w:rPr>
      </w:pPr>
      <w:r w:rsidRPr="002A7AE8">
        <w:rPr>
          <w:rFonts w:cstheme="minorHAnsi"/>
          <w:sz w:val="28"/>
          <w:szCs w:val="28"/>
        </w:rPr>
        <w:t>Section 45(1) provides that every patent is dated as of the date on which the application was filed. Section 53(1) provides that the term of every patent is twenty years from the date of filing. A patent ceases to have effect on non-payment of renewal fees. Section 53(4) states that on cessation of patent rights due to non-payment of renewal fees or expiry of term, the subject matter is not entitled to any protection under any other law.</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Relevant Case Laws on Registration &amp; Procedure for Grant of Patent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Bishwanath Prasad Radhey Shyam v. Hindustan Metal Industries Citation: AIR 1982 SC 1444; (1979) 2 SCC 511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Hindustan Metal Industries obtained a patent relating to a device used for manufacturing utensils.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plaintiff claimed exclusive rights over the invention after the grant of patent.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Bishwanath Prasad challenged the validity of the patent on the ground that the invention lacked novelty and inventive step.</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was argued that the alleged invention was already known and did not qualify for patent protection.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the patent granted satisfied the essential requirements of novelty and inventive step.</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mere improvement or workshop modification could qualify as an invention.</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Whether the grant of patent by the Patent Office automatically proves validity.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held that the patent was invalid as it lacked inventive step.</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A patent cannot be granted for something that is obvious to a person skilled in the field.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Mere changes or improvements without real inventive contribution cannot receive patent protection.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observed that the grant of a patent does not guarantee its validity and it may still be challenged.</w:t>
      </w:r>
    </w:p>
    <w:p w:rsidR="002A7AE8" w:rsidRPr="002A7AE8" w:rsidRDefault="002A7AE8" w:rsidP="002A7AE8">
      <w:pPr>
        <w:rPr>
          <w:rFonts w:cstheme="minorHAnsi"/>
          <w:sz w:val="28"/>
          <w:szCs w:val="28"/>
        </w:rPr>
      </w:pPr>
      <w:r w:rsidRPr="002A7AE8">
        <w:rPr>
          <w:rFonts w:cstheme="minorHAnsi"/>
          <w:sz w:val="28"/>
          <w:szCs w:val="28"/>
        </w:rPr>
        <w:t>Principle Laid Down:</w:t>
      </w:r>
    </w:p>
    <w:p w:rsidR="002A7AE8" w:rsidRPr="002A7AE8" w:rsidRDefault="002A7AE8" w:rsidP="002A7AE8">
      <w:pPr>
        <w:rPr>
          <w:rFonts w:cstheme="minorHAnsi"/>
          <w:sz w:val="28"/>
          <w:szCs w:val="28"/>
        </w:rPr>
      </w:pPr>
      <w:r w:rsidRPr="002A7AE8">
        <w:rPr>
          <w:rFonts w:cstheme="minorHAnsi"/>
          <w:sz w:val="28"/>
          <w:szCs w:val="28"/>
        </w:rPr>
        <w:t>For grant and registration of a patent, an invention must satisfy the requirements of novelty, inventive step, and industrial application.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2.</w:t>
      </w:r>
      <w:r w:rsidRPr="002A7AE8">
        <w:rPr>
          <w:rFonts w:cstheme="minorHAnsi"/>
          <w:sz w:val="28"/>
          <w:szCs w:val="28"/>
        </w:rPr>
        <w:tab/>
        <w:t>Novartis AG v. Union of India Citation: (2013) 6 SCC 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Novartis filed a patent application in India for the beta crystalline form of</w:t>
      </w:r>
    </w:p>
    <w:p w:rsidR="002A7AE8" w:rsidRPr="002A7AE8" w:rsidRDefault="002A7AE8" w:rsidP="002A7AE8">
      <w:pPr>
        <w:rPr>
          <w:rFonts w:cstheme="minorHAnsi"/>
          <w:sz w:val="28"/>
          <w:szCs w:val="28"/>
        </w:rPr>
      </w:pPr>
      <w:r w:rsidRPr="002A7AE8">
        <w:rPr>
          <w:rFonts w:cstheme="minorHAnsi"/>
          <w:sz w:val="28"/>
          <w:szCs w:val="28"/>
        </w:rPr>
        <w:t>Imatinib Mesylate, a drug used for treating cancer.</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Patent Office rejected the application on the ground that it did not satisfy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requirements under the Patents Act.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application was rejected particularly under Section 3(d), which prevents patenting of new forms of known substances unless they show enhanced efficacy.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Novartis challenged the rejection.</w:t>
      </w: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the invention claimed by Novartis fulfilled the requirements for the grant of patent.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the new form of an existing substance showed enhanced therapeutic efficacy under Section 3(d).</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Whether the refusal of patent registration was valid.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rejected Novartis’ patent application.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held that the claimed invention failed to prove enhanced therapeutic efficacy as required under Section 3(d).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Mere discovery of a new form of a known substance without significant improvement cannot be patented.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upheld the rejection by the Patent Office.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Principle Laid Down:</w:t>
      </w:r>
    </w:p>
    <w:p w:rsidR="002A7AE8" w:rsidRPr="002A7AE8" w:rsidRDefault="002A7AE8" w:rsidP="002A7AE8">
      <w:pPr>
        <w:rPr>
          <w:rFonts w:cstheme="minorHAnsi"/>
          <w:sz w:val="28"/>
          <w:szCs w:val="28"/>
        </w:rPr>
      </w:pPr>
      <w:r w:rsidRPr="002A7AE8">
        <w:rPr>
          <w:rFonts w:cstheme="minorHAnsi"/>
          <w:sz w:val="28"/>
          <w:szCs w:val="28"/>
        </w:rPr>
        <w:t>Patent registration is granted only when the invention satisfies statutory conditions of patentability; minor modifications of existing substances cannot receive protection.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 Patent rights are obtained through a structured statutory procedure governed by the Patents Act, 1970. The process commences with an application by an entitled person under Section 6, filed for a single invention as required by Section 7, accompanied by a complete or provisional specification. Publication occurs automatically eighteen months from the filing date under Section 11A, after which examination is conducted on request under Section 11B. The Controller may refuse or require amendment under Section 15 following examination, and any person may oppose the grant under Section 25. A patent is formally granted under Section 43, dated as of the application date under Section 45, and confers rights for twenty years from the date of filing under Section 53. Compliance with every procedural requirement is mandatory, and failure at any stage may result in abandonment, refusal, or invalidity of the patent.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Chapter 5: Product patent and process patent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The Patents Act, 1970 protects two fundamental categories of inventions: product inventions and process inventions. A product patent protects the invention itself, while a process patent protects the method of making or obtaining it. The distinction is of critical importance in pharmaceuticals, chemicals, and biotechnology. Prior to the Patents (Amendment) Act, 2005, Indian law permitted only process patents in certain fields; product patents are now available in all fields following TRIPS compliance.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Definition of invention – Section 2(1)(j)</w:t>
      </w:r>
    </w:p>
    <w:p w:rsidR="002A7AE8" w:rsidRPr="002A7AE8" w:rsidRDefault="002A7AE8" w:rsidP="002A7AE8">
      <w:pPr>
        <w:rPr>
          <w:rFonts w:cstheme="minorHAnsi"/>
          <w:sz w:val="28"/>
          <w:szCs w:val="28"/>
        </w:rPr>
      </w:pPr>
      <w:r w:rsidRPr="002A7AE8">
        <w:rPr>
          <w:rFonts w:cstheme="minorHAnsi"/>
          <w:sz w:val="28"/>
          <w:szCs w:val="28"/>
        </w:rPr>
        <w:t xml:space="preserve">Section 2(1)(j) defines: "Invention means a new product or process involving an inventive step and capable of industrial application." This definition explicitly </w:t>
      </w:r>
      <w:r w:rsidRPr="002A7AE8">
        <w:rPr>
          <w:rFonts w:cstheme="minorHAnsi"/>
          <w:sz w:val="28"/>
          <w:szCs w:val="28"/>
        </w:rPr>
        <w:lastRenderedPageBreak/>
        <w:t>recognises both product and process inventions, confirming that the Indian patent system provides protection for both categories. Both must satisfy novelty, inventive step, and industrial applicability.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Product patent</w:t>
      </w:r>
    </w:p>
    <w:p w:rsidR="002A7AE8" w:rsidRPr="002A7AE8" w:rsidRDefault="002A7AE8" w:rsidP="002A7AE8">
      <w:pPr>
        <w:rPr>
          <w:rFonts w:cstheme="minorHAnsi"/>
          <w:sz w:val="28"/>
          <w:szCs w:val="28"/>
        </w:rPr>
      </w:pPr>
      <w:r w:rsidRPr="002A7AE8">
        <w:rPr>
          <w:rFonts w:cstheme="minorHAnsi"/>
          <w:sz w:val="28"/>
          <w:szCs w:val="28"/>
        </w:rPr>
        <w:t>A product patent protects a newly invented product, substance, machine, device, or composition itself, irrespective of the method used to produce it. Once a product patent is obtained, no one may make, use, sell, offer for sale, or import the product without the patentee's consent, regardless of whether they employ a different manufacturing process. Product patents provide broader protection than process patents.</w:t>
      </w:r>
    </w:p>
    <w:p w:rsidR="002A7AE8" w:rsidRPr="002A7AE8" w:rsidRDefault="002A7AE8" w:rsidP="002A7AE8">
      <w:pPr>
        <w:rPr>
          <w:rFonts w:cstheme="minorHAnsi"/>
          <w:sz w:val="28"/>
          <w:szCs w:val="28"/>
        </w:rPr>
      </w:pPr>
      <w:r w:rsidRPr="002A7AE8">
        <w:rPr>
          <w:rFonts w:cstheme="minorHAnsi"/>
          <w:sz w:val="28"/>
          <w:szCs w:val="28"/>
        </w:rPr>
        <w:t>Rights under product patent – Section 48(a)</w:t>
      </w:r>
    </w:p>
    <w:p w:rsidR="002A7AE8" w:rsidRPr="002A7AE8" w:rsidRDefault="002A7AE8" w:rsidP="002A7AE8">
      <w:pPr>
        <w:rPr>
          <w:rFonts w:cstheme="minorHAnsi"/>
          <w:sz w:val="28"/>
          <w:szCs w:val="28"/>
        </w:rPr>
      </w:pPr>
      <w:r w:rsidRPr="002A7AE8">
        <w:rPr>
          <w:rFonts w:cstheme="minorHAnsi"/>
          <w:sz w:val="28"/>
          <w:szCs w:val="28"/>
        </w:rPr>
        <w:t>Section 48 provides: "Subject to the other provisions contained in this Act and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conditions specified in section 47, a patent granted under this Act shall confer upon the patentee — (a) where the subject matter of the patent is a product, the exclusive right to prevent third parties, who do not have his consent, from the act of making, using, offering for sale, selling or importing for those purposes that product in India." This gives the patent holder control over all commercial acts with respect to the product in India, regardless of how the product is made.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Process patent</w:t>
      </w:r>
    </w:p>
    <w:p w:rsidR="002A7AE8" w:rsidRPr="002A7AE8" w:rsidRDefault="002A7AE8" w:rsidP="002A7AE8">
      <w:pPr>
        <w:rPr>
          <w:rFonts w:cstheme="minorHAnsi"/>
          <w:sz w:val="28"/>
          <w:szCs w:val="28"/>
        </w:rPr>
      </w:pPr>
      <w:r w:rsidRPr="002A7AE8">
        <w:rPr>
          <w:rFonts w:cstheme="minorHAnsi"/>
          <w:sz w:val="28"/>
          <w:szCs w:val="28"/>
        </w:rPr>
        <w:t>A process patent protects a particular method, technique, or procedure used for creating a product. The protection attaches to the process, not to the end product itself. If another party independently develops a different process to make the same product, they do not infringe the process patent (unless a product patent separately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exists). Process patents require stronger enforcement mechanisms because the method of manufacturing is often not visible from the final product.</w:t>
      </w:r>
    </w:p>
    <w:p w:rsidR="002A7AE8" w:rsidRPr="002A7AE8" w:rsidRDefault="002A7AE8" w:rsidP="002A7AE8">
      <w:pPr>
        <w:rPr>
          <w:rFonts w:cstheme="minorHAnsi"/>
          <w:sz w:val="28"/>
          <w:szCs w:val="28"/>
        </w:rPr>
      </w:pPr>
      <w:r w:rsidRPr="002A7AE8">
        <w:rPr>
          <w:rFonts w:cstheme="minorHAnsi"/>
          <w:sz w:val="28"/>
          <w:szCs w:val="28"/>
        </w:rPr>
        <w:lastRenderedPageBreak/>
        <w:t>Rights under process patent – Section 48(b)</w:t>
      </w:r>
    </w:p>
    <w:p w:rsidR="002A7AE8" w:rsidRPr="002A7AE8" w:rsidRDefault="002A7AE8" w:rsidP="002A7AE8">
      <w:pPr>
        <w:rPr>
          <w:rFonts w:cstheme="minorHAnsi"/>
          <w:sz w:val="28"/>
          <w:szCs w:val="28"/>
        </w:rPr>
      </w:pPr>
      <w:r w:rsidRPr="002A7AE8">
        <w:rPr>
          <w:rFonts w:cstheme="minorHAnsi"/>
          <w:sz w:val="28"/>
          <w:szCs w:val="28"/>
        </w:rPr>
        <w:t>Section 48(b) provides that where the subject matter of the patent is a process, the patentee has "the exclusive right to prevent third parties, who do not have his consent, from the act of using that process, and from the act of using, offering for sale, selling or importing for those purposes the product obtained directly by that process in India." Protection thus extends not only to use of the process but also to the product directly obtained by that process, closing the most obvious avenue of evasion.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Burden of proof in process patent cases – Section 104A</w:t>
      </w:r>
    </w:p>
    <w:p w:rsidR="002A7AE8" w:rsidRPr="002A7AE8" w:rsidRDefault="002A7AE8" w:rsidP="002A7AE8">
      <w:pPr>
        <w:rPr>
          <w:rFonts w:cstheme="minorHAnsi"/>
          <w:sz w:val="28"/>
          <w:szCs w:val="28"/>
        </w:rPr>
      </w:pPr>
      <w:r w:rsidRPr="002A7AE8">
        <w:rPr>
          <w:rFonts w:cstheme="minorHAnsi"/>
          <w:sz w:val="28"/>
          <w:szCs w:val="28"/>
        </w:rPr>
        <w:t>Section 104A(1) provides that in a suit for infringement of a process patent, the court may direct the defendant to prove that the process used to obtain an identical product is different from the patented process if: (a) the subject matter of the patent is a process for obtaining a new product; or (b) there is a substantial likelihood that the identical product is made by the patented process and the patentee has been unable through reasonable efforts to determine the process actually used. The patentee must first prove that the product is identical to the product directly obtained by the patented process. Section 104A(2) protects defendants from being required to disclose manufacturing or commercial secrets where it would be unreasonable to do so.</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Conditions in Section 47 applicable to both patents</w:t>
      </w:r>
    </w:p>
    <w:p w:rsidR="002A7AE8" w:rsidRPr="002A7AE8" w:rsidRDefault="002A7AE8" w:rsidP="002A7AE8">
      <w:pPr>
        <w:rPr>
          <w:rFonts w:cstheme="minorHAnsi"/>
          <w:sz w:val="28"/>
          <w:szCs w:val="28"/>
        </w:rPr>
      </w:pPr>
      <w:r w:rsidRPr="002A7AE8">
        <w:rPr>
          <w:rFonts w:cstheme="minorHAnsi"/>
          <w:sz w:val="28"/>
          <w:szCs w:val="28"/>
        </w:rPr>
        <w:t>Section 47 subjects the grant of every patent to conditions that allow: (1) use by or on behalf of the Government for its own purposes; (2) use for research, experiment, or instruction; and (3) importation of medicines or drugs by the Government for its own use or for distribution in public health institutions. These conditions apply equally to product and process patents and represent the legislature's reservation of space for non-commercial and public interest activities.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Distinction between product and process patents</w:t>
      </w:r>
    </w:p>
    <w:p w:rsidR="002A7AE8" w:rsidRPr="002A7AE8" w:rsidRDefault="002A7AE8" w:rsidP="002A7AE8">
      <w:pPr>
        <w:rPr>
          <w:rFonts w:cstheme="minorHAnsi"/>
          <w:sz w:val="28"/>
          <w:szCs w:val="28"/>
        </w:rPr>
      </w:pPr>
      <w:r w:rsidRPr="002A7AE8">
        <w:rPr>
          <w:rFonts w:cstheme="minorHAnsi"/>
          <w:sz w:val="28"/>
          <w:szCs w:val="28"/>
        </w:rPr>
        <w:lastRenderedPageBreak/>
        <w:t>A product patent confers protection over the product itself regardless of the method used to make it. A process patent protects only the method and the product directly obtained thereby. Product patents are generally wider in scope and more valuable commercially. Process patents require additional legal tools such as the reverse burden of proof under Section 104A to be effectively enforced. In pharmaceutical litigation, whether a patent is a product or a process patent significantly affects the scope of protection and enforcement strategies available to the patentee.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Historical context: pre-2005 position</w:t>
      </w:r>
    </w:p>
    <w:p w:rsidR="002A7AE8" w:rsidRPr="002A7AE8" w:rsidRDefault="002A7AE8" w:rsidP="002A7AE8">
      <w:pPr>
        <w:rPr>
          <w:rFonts w:cstheme="minorHAnsi"/>
          <w:sz w:val="28"/>
          <w:szCs w:val="28"/>
        </w:rPr>
      </w:pPr>
      <w:r w:rsidRPr="002A7AE8">
        <w:rPr>
          <w:rFonts w:cstheme="minorHAnsi"/>
          <w:sz w:val="28"/>
          <w:szCs w:val="28"/>
        </w:rPr>
        <w:t>Before the Patents (Amendment) Act, 2005, Section 5 of the Act (now omitted) restricted patents in food, medicines, drugs, and chemical compounds to process patents only. This meant Indian companies could manufacture patented drugs through different processes, enabling the development of India's generic pharmaceutical industry. After 2005, product patents became available in all fields, introducing significant changes in the pharmaceutical industry and increasing the importance of provisions like Section 3(d) as a check on evergreening.</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 The Patents Act, 1970 protects both product and process inventions under Section 2(1)(j), with distinct rights and enforcement mechanisms under Section</w:t>
      </w:r>
    </w:p>
    <w:p w:rsidR="002A7AE8" w:rsidRPr="002A7AE8" w:rsidRDefault="002A7AE8" w:rsidP="002A7AE8">
      <w:pPr>
        <w:rPr>
          <w:rFonts w:cstheme="minorHAnsi"/>
          <w:sz w:val="28"/>
          <w:szCs w:val="28"/>
        </w:rPr>
      </w:pPr>
      <w:r w:rsidRPr="002A7AE8">
        <w:rPr>
          <w:rFonts w:cstheme="minorHAnsi"/>
          <w:sz w:val="28"/>
          <w:szCs w:val="28"/>
        </w:rPr>
        <w:t>48. A product patent confers the broadest protection, covering all acts involving the patented product regardless of the manufacturing method employed. A process patent is narrower in scope, protecting the specific method and the product directly obtained thereby under Section 48(b). The reverse burden of proof mechanism under Section 104A strengthens the enforceability of process patents. Prior to the Patents (Amendment) Act, 2005, pharmaceutical and chemical inventions were limited to process patent protection; product patents are now available in all fields following TRIPS compliance. The conditions under Section 47 apply equally to both categories, preserving space for government use, research, and public health purposes.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Chapter 6: Rights and obligations of a patentee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Meaning of patentee – Section 2(1)(p)</w:t>
      </w:r>
    </w:p>
    <w:p w:rsidR="002A7AE8" w:rsidRPr="002A7AE8" w:rsidRDefault="002A7AE8" w:rsidP="002A7AE8">
      <w:pPr>
        <w:rPr>
          <w:rFonts w:cstheme="minorHAnsi"/>
          <w:sz w:val="28"/>
          <w:szCs w:val="28"/>
        </w:rPr>
      </w:pPr>
      <w:r w:rsidRPr="002A7AE8">
        <w:rPr>
          <w:rFonts w:cstheme="minorHAnsi"/>
          <w:sz w:val="28"/>
          <w:szCs w:val="28"/>
        </w:rPr>
        <w:t>Section 2(1)(p) defines: "Patentee means the person for the time being entered on the register as the grantee or proprietor of the patent." The patentee is the registered legal owner of the patent whose name appears in the register maintained at the Patent Office. A patentee may be the original inventor, an assignee, or a legal representative.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Part I – Rights of a patentee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Exclusive rights – Section 48</w:t>
      </w:r>
    </w:p>
    <w:p w:rsidR="002A7AE8" w:rsidRPr="002A7AE8" w:rsidRDefault="002A7AE8" w:rsidP="002A7AE8">
      <w:pPr>
        <w:rPr>
          <w:rFonts w:cstheme="minorHAnsi"/>
          <w:sz w:val="28"/>
          <w:szCs w:val="28"/>
        </w:rPr>
      </w:pPr>
      <w:r w:rsidRPr="002A7AE8">
        <w:rPr>
          <w:rFonts w:cstheme="minorHAnsi"/>
          <w:sz w:val="28"/>
          <w:szCs w:val="28"/>
        </w:rPr>
        <w:t>Section 48 provides: "Subject to the other provisions contained in this Act and the conditions specified in section 47, a patent granted under this Act shall confer upon the patentee — (a) where the subject matter of the patent is a product, the exclusive right to prevent third parties, who do not have his consent, from the act of making, using, offering for sale, selling or importing for those purposes that product in India;</w:t>
      </w:r>
    </w:p>
    <w:p w:rsidR="002A7AE8" w:rsidRPr="002A7AE8" w:rsidRDefault="002A7AE8" w:rsidP="002A7AE8">
      <w:pPr>
        <w:rPr>
          <w:rFonts w:cstheme="minorHAnsi"/>
          <w:sz w:val="28"/>
          <w:szCs w:val="28"/>
        </w:rPr>
      </w:pPr>
      <w:r w:rsidRPr="002A7AE8">
        <w:rPr>
          <w:rFonts w:cstheme="minorHAnsi"/>
          <w:sz w:val="28"/>
          <w:szCs w:val="28"/>
        </w:rPr>
        <w:t>(b) where the subject matter of the patent is a process, the exclusive right to prevent third parties, who do not have his consent, from the act of using that process, and from the act of using, offering for sale, selling or importing for those purposes the product obtained directly by that process in India." These exclusive rights are the core of the patent monopoly granted to the patentee.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Right to assign – Section 68</w:t>
      </w:r>
    </w:p>
    <w:p w:rsidR="002A7AE8" w:rsidRPr="002A7AE8" w:rsidRDefault="002A7AE8" w:rsidP="002A7AE8">
      <w:pPr>
        <w:rPr>
          <w:rFonts w:cstheme="minorHAnsi"/>
          <w:sz w:val="28"/>
          <w:szCs w:val="28"/>
        </w:rPr>
      </w:pPr>
      <w:r w:rsidRPr="002A7AE8">
        <w:rPr>
          <w:rFonts w:cstheme="minorHAnsi"/>
          <w:sz w:val="28"/>
          <w:szCs w:val="28"/>
        </w:rPr>
        <w:t>Section 68 provides: "An assignment of a patent or of a share in a patent, a mortgage, licence or the creation of any other interest in a patent shall not be valid unless the same were in writing and the agreement between the parties concerned is reduced to the form of a document embodying all the terms and conditions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lastRenderedPageBreak/>
        <w:t>governing their rights and obligations and duly executed." A patent is movable property and may be assigned absolutely or partially. An unregistered assignment has limited evidentiary value under Section 69(5).</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Rights of co-owners – Section 50</w:t>
      </w:r>
    </w:p>
    <w:p w:rsidR="002A7AE8" w:rsidRPr="002A7AE8" w:rsidRDefault="002A7AE8" w:rsidP="002A7AE8">
      <w:pPr>
        <w:rPr>
          <w:rFonts w:cstheme="minorHAnsi"/>
          <w:sz w:val="28"/>
          <w:szCs w:val="28"/>
        </w:rPr>
      </w:pPr>
      <w:r w:rsidRPr="002A7AE8">
        <w:rPr>
          <w:rFonts w:cstheme="minorHAnsi"/>
          <w:sz w:val="28"/>
          <w:szCs w:val="28"/>
        </w:rPr>
        <w:t>Section 50(1) provides that where a patent is granted to two or more persons, each is entitled to an equal undivided share unless a contrary agreement is in force. Section 50(2) allows each co-owner to exercise the rights under Section 48 for their own benefit without accounting to the others. However, Section 50(3) requires the consent of all co-owners for granting licences or assigning shares. Section 51 empowers the Controller to give directions on disputes between co-owners regarding sale, lease, or licensing of the patent.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Right to sue for infringement – Sections 104 and 108</w:t>
      </w:r>
    </w:p>
    <w:p w:rsidR="002A7AE8" w:rsidRPr="002A7AE8" w:rsidRDefault="002A7AE8" w:rsidP="002A7AE8">
      <w:pPr>
        <w:rPr>
          <w:rFonts w:cstheme="minorHAnsi"/>
          <w:sz w:val="28"/>
          <w:szCs w:val="28"/>
        </w:rPr>
      </w:pPr>
      <w:r w:rsidRPr="002A7AE8">
        <w:rPr>
          <w:rFonts w:cstheme="minorHAnsi"/>
          <w:sz w:val="28"/>
          <w:szCs w:val="28"/>
        </w:rPr>
        <w:t>A patentee has the right to institute a civil suit for infringement in the District Court or High Court. Section 104 provides that no suit for infringement shall be instituted in any court inferior to the District Court. Section 108 provides that the court may grant an injunction, and at the option of the plaintiff, either damages or an account of profits. The court may also order seizure, forfeiture, or destruction of infringing goods under Section 108(2).</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Part II – Obligations of a patentee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Obligation to work the patent – Section 83</w:t>
      </w:r>
    </w:p>
    <w:p w:rsidR="002A7AE8" w:rsidRPr="002A7AE8" w:rsidRDefault="002A7AE8" w:rsidP="002A7AE8">
      <w:pPr>
        <w:rPr>
          <w:rFonts w:cstheme="minorHAnsi"/>
          <w:sz w:val="28"/>
          <w:szCs w:val="28"/>
        </w:rPr>
      </w:pPr>
      <w:r w:rsidRPr="002A7AE8">
        <w:rPr>
          <w:rFonts w:cstheme="minorHAnsi"/>
          <w:sz w:val="28"/>
          <w:szCs w:val="28"/>
        </w:rPr>
        <w:t>Section 83 sets out general principles for working of patented inventions: patents are not granted merely to enable patentees to enjoy a monopoly for importation; they must be worked in India on a commercial scale to the fullest extent reasonably practicable; and the benefit of patented inventions must be made available at reasonably affordable prices. These principles are enforceable through the compulsory licensing mechanism under Section 84.</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Obligation to disclose information – Section 8</w:t>
      </w:r>
    </w:p>
    <w:p w:rsidR="002A7AE8" w:rsidRPr="002A7AE8" w:rsidRDefault="002A7AE8" w:rsidP="002A7AE8">
      <w:pPr>
        <w:rPr>
          <w:rFonts w:cstheme="minorHAnsi"/>
          <w:sz w:val="28"/>
          <w:szCs w:val="28"/>
        </w:rPr>
      </w:pPr>
      <w:r w:rsidRPr="002A7AE8">
        <w:rPr>
          <w:rFonts w:cstheme="minorHAnsi"/>
          <w:sz w:val="28"/>
          <w:szCs w:val="28"/>
        </w:rPr>
        <w:lastRenderedPageBreak/>
        <w:t>Section 8(1) requires the applicant to file, along with the application or within the prescribed period, a statement setting out detailed particulars of any corresponding foreign patent application and an undertaking to keep the Controller informed of the status of foreign applications up to the date of grant of the Indian patent. Section 8(2) empowers the Controller to require the applicant to furnish details relating to the processing of applications in any country outside India. Failure to comply is a ground for revocation under Section 64(1)(m).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Obligation to pay renewal fees – Section 53(2)</w:t>
      </w:r>
    </w:p>
    <w:p w:rsidR="002A7AE8" w:rsidRPr="002A7AE8" w:rsidRDefault="002A7AE8" w:rsidP="002A7AE8">
      <w:pPr>
        <w:rPr>
          <w:rFonts w:cstheme="minorHAnsi"/>
          <w:sz w:val="28"/>
          <w:szCs w:val="28"/>
        </w:rPr>
      </w:pPr>
      <w:r w:rsidRPr="002A7AE8">
        <w:rPr>
          <w:rFonts w:cstheme="minorHAnsi"/>
          <w:sz w:val="28"/>
          <w:szCs w:val="28"/>
        </w:rPr>
        <w:t>Section 53(2) provides that a patent ceases to have effect on expiration of the period prescribed for payment of any renewal fee, if that fee is not paid within the prescribed period or the extended period. The patentee must therefore maintain the patent in force by paying renewal fees annually. Failure results in lapse of the patent, though restoration is possible under Chapter XI within eighteen months of lapse.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Obligation to furnish working statements – Section 146</w:t>
      </w:r>
    </w:p>
    <w:p w:rsidR="002A7AE8" w:rsidRPr="002A7AE8" w:rsidRDefault="002A7AE8" w:rsidP="002A7AE8">
      <w:pPr>
        <w:rPr>
          <w:rFonts w:cstheme="minorHAnsi"/>
          <w:sz w:val="28"/>
          <w:szCs w:val="28"/>
        </w:rPr>
      </w:pPr>
      <w:r w:rsidRPr="002A7AE8">
        <w:rPr>
          <w:rFonts w:cstheme="minorHAnsi"/>
          <w:sz w:val="28"/>
          <w:szCs w:val="28"/>
        </w:rPr>
        <w:t>Section 146(1) empowers the Controller to require a patentee or licensee to furnish information regarding the extent to which the patented invention has been commercially worked in India. Section 146(2) requires every patentee and licensee to furnish working statements at prescribed intervals of not less than six months. Failure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to comply attracts penalties under Section 122. This obligation ensures transparency and enables the government to identify patents that are not being worked.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Obligation not to abuse patent rights – Section 84</w:t>
      </w:r>
    </w:p>
    <w:p w:rsidR="002A7AE8" w:rsidRPr="002A7AE8" w:rsidRDefault="002A7AE8" w:rsidP="002A7AE8">
      <w:pPr>
        <w:rPr>
          <w:rFonts w:cstheme="minorHAnsi"/>
          <w:sz w:val="28"/>
          <w:szCs w:val="28"/>
        </w:rPr>
      </w:pPr>
      <w:r w:rsidRPr="002A7AE8">
        <w:rPr>
          <w:rFonts w:cstheme="minorHAnsi"/>
          <w:sz w:val="28"/>
          <w:szCs w:val="28"/>
        </w:rPr>
        <w:t xml:space="preserve">Section 84(1) allows any person interested, after expiry of three years from the date of grant, to apply to the Controller for a compulsory licence if: (a) the reasonable requirements of the public are not satisfied; (b) the patented </w:t>
      </w:r>
      <w:r w:rsidRPr="002A7AE8">
        <w:rPr>
          <w:rFonts w:cstheme="minorHAnsi"/>
          <w:sz w:val="28"/>
          <w:szCs w:val="28"/>
        </w:rPr>
        <w:lastRenderedPageBreak/>
        <w:t>invention is not available at a reasonably affordable price; or (c) the patent is not worked in India.</w:t>
      </w:r>
    </w:p>
    <w:p w:rsidR="002A7AE8" w:rsidRPr="002A7AE8" w:rsidRDefault="002A7AE8" w:rsidP="002A7AE8">
      <w:pPr>
        <w:rPr>
          <w:rFonts w:cstheme="minorHAnsi"/>
          <w:sz w:val="28"/>
          <w:szCs w:val="28"/>
        </w:rPr>
      </w:pPr>
      <w:r w:rsidRPr="002A7AE8">
        <w:rPr>
          <w:rFonts w:cstheme="minorHAnsi"/>
          <w:sz w:val="28"/>
          <w:szCs w:val="28"/>
        </w:rPr>
        <w:t>This provision imposes an implicit obligation on patentees to actively work their inventions and to make them accessible. The six-month 'reasonable period' for negotiating a voluntary licence before applying for compulsory licence is provided in the Explanation to Section 84(6)(iv).</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 A patentee, as defined under Section 2(1)(p), holds both exclusive rights and statutory obligations under the Patents Act, 1970. The core right under Section 48 is the exclusive right to prevent third parties from making, using, selling, offering for sale, or importing the patented product or process. The patentee may also assign, licence, or sue for infringement to enforce and exploit the patent commercially.</w:t>
      </w:r>
    </w:p>
    <w:p w:rsidR="002A7AE8" w:rsidRPr="002A7AE8" w:rsidRDefault="002A7AE8" w:rsidP="002A7AE8">
      <w:pPr>
        <w:rPr>
          <w:rFonts w:cstheme="minorHAnsi"/>
          <w:sz w:val="28"/>
          <w:szCs w:val="28"/>
        </w:rPr>
      </w:pPr>
      <w:r w:rsidRPr="002A7AE8">
        <w:rPr>
          <w:rFonts w:cstheme="minorHAnsi"/>
          <w:sz w:val="28"/>
          <w:szCs w:val="28"/>
        </w:rPr>
        <w:t>Corresponding obligations include full disclosure under Section 8, payment of renewal fees under Section 53, filing working statements under Section 146, and actively working the invention in India under Section 83. Failure to work the patent or to make it available at a reasonably affordable price exposes the patentee to compulsory licensing under Section 84. These obligations serve the public interest by ensuring that the patent monopoly is exercised responsibly and does not impede access to technology.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Chapter 7: Revocation of patents (Sections 63–66)</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Patent rights are not absolute and may be terminated before the expiry of the twenty-year term. The Patents Act, 1970 provides two modes for early termination: surrender (voluntary, by the patentee) and revocation (by the court or the Controller on specified grounds). These mechanisms ensure that patents are not maintained for inventions that do not satisfy legal requirements or that are being used against public interest.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Surrender of patent – Section 63</w:t>
      </w:r>
    </w:p>
    <w:p w:rsidR="002A7AE8" w:rsidRPr="002A7AE8" w:rsidRDefault="002A7AE8" w:rsidP="002A7AE8">
      <w:pPr>
        <w:rPr>
          <w:rFonts w:cstheme="minorHAnsi"/>
          <w:sz w:val="28"/>
          <w:szCs w:val="28"/>
        </w:rPr>
      </w:pPr>
      <w:r w:rsidRPr="002A7AE8">
        <w:rPr>
          <w:rFonts w:cstheme="minorHAnsi"/>
          <w:sz w:val="28"/>
          <w:szCs w:val="28"/>
        </w:rPr>
        <w:lastRenderedPageBreak/>
        <w:t>Section 63(1) provides: "A patentee may, at any time by giving notice in the prescribed manner to the Controller, offer to surrender his patent." Section 63(2) requires the Controller to publish the offer and notify all persons appearing in the register as having an interest in the patent. Section 63(3) allows any interested person to oppose surrender within the prescribed period. Section 63(4) empowers the Controller, if satisfied after hearing the patentee and any opponent, to accept the offer and revoke the patent by order.</w:t>
      </w:r>
    </w:p>
    <w:p w:rsidR="002A7AE8" w:rsidRPr="002A7AE8" w:rsidRDefault="002A7AE8" w:rsidP="002A7AE8">
      <w:pPr>
        <w:rPr>
          <w:rFonts w:cstheme="minorHAnsi"/>
          <w:sz w:val="28"/>
          <w:szCs w:val="28"/>
        </w:rPr>
      </w:pPr>
      <w:r w:rsidRPr="002A7AE8">
        <w:rPr>
          <w:rFonts w:cstheme="minorHAnsi"/>
          <w:sz w:val="28"/>
          <w:szCs w:val="28"/>
        </w:rPr>
        <w:t>Surrender is initiated voluntarily by the patentee, distinguishing it from revocation. Reasons include commercial obsolescence, high renewal costs, or strategic business decisions. Upon acceptance, patent rights terminate and the invention enters the public domain.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Revocation by the High Court – Section 64</w:t>
      </w:r>
    </w:p>
    <w:p w:rsidR="002A7AE8" w:rsidRPr="002A7AE8" w:rsidRDefault="002A7AE8" w:rsidP="002A7AE8">
      <w:pPr>
        <w:rPr>
          <w:rFonts w:cstheme="minorHAnsi"/>
          <w:sz w:val="28"/>
          <w:szCs w:val="28"/>
        </w:rPr>
      </w:pPr>
      <w:r w:rsidRPr="002A7AE8">
        <w:rPr>
          <w:rFonts w:cstheme="minorHAnsi"/>
          <w:sz w:val="28"/>
          <w:szCs w:val="28"/>
        </w:rPr>
        <w:t>Section 64(1) provides that a patent may be revoked on a petition of any person interested or of the Central Government, or on a counter-claim in a suit for infringement of the patent, by the High Court. The grounds of revocation are exhaustive. Revocation may be sought on the following grounds: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 The invention was claimed in a valid claim of earlier priority date in another Indian patent. (b) The applicant was not entitled to apply under the Act. (c) The patent was obtained wrongfully in contravention of another's rights. (d) The subject matter is not an invention within the Act. (e) Lack of novelty by prior publication or prior use. (f) Obviousness or absence of inventive step. (g) Inutility of the invention. (h) Insufficiency of disclosure or failure to disclose the best method. (i) Insufficiently or unclearly defined claims. (j) Grant obtained on false suggestion or representation. (k) The subject matter is not patentable. (l) Secret use before the priority date. (m) Failure to disclose information required under Section 8. (n) Contravention of secrecy directions under Section 35 or unauthorised foreign application under Section 39. (o) Fraud in obtaining leave to amend under Sections 57 or 58. (p) Failure to disclose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source or geographical origin of biological material. (q) Anticipation based on traditional knowledge.</w:t>
      </w:r>
    </w:p>
    <w:p w:rsidR="002A7AE8" w:rsidRPr="002A7AE8" w:rsidRDefault="002A7AE8" w:rsidP="002A7AE8">
      <w:pPr>
        <w:rPr>
          <w:rFonts w:cstheme="minorHAnsi"/>
          <w:sz w:val="28"/>
          <w:szCs w:val="28"/>
        </w:rPr>
      </w:pPr>
      <w:r w:rsidRPr="002A7AE8">
        <w:rPr>
          <w:rFonts w:cstheme="minorHAnsi"/>
          <w:sz w:val="28"/>
          <w:szCs w:val="28"/>
        </w:rPr>
        <w:lastRenderedPageBreak/>
        <w:t>Section 64(2) provides that for grounds (e) and (f), personal documents, secret trials, and secret use are not considered. Section 64(4) allows the High Court to revoke a patent on petition of the Central Government if the patentee has without reasonable cause failed to comply with a request to work the invention for Government purposes under Section 99.</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Revocation in atomic energy cases – Section 65</w:t>
      </w:r>
    </w:p>
    <w:p w:rsidR="002A7AE8" w:rsidRPr="002A7AE8" w:rsidRDefault="002A7AE8" w:rsidP="002A7AE8">
      <w:pPr>
        <w:rPr>
          <w:rFonts w:cstheme="minorHAnsi"/>
          <w:sz w:val="28"/>
          <w:szCs w:val="28"/>
        </w:rPr>
      </w:pPr>
      <w:r w:rsidRPr="002A7AE8">
        <w:rPr>
          <w:rFonts w:cstheme="minorHAnsi"/>
          <w:sz w:val="28"/>
          <w:szCs w:val="28"/>
        </w:rPr>
        <w:t>Section 65(1) empowers the Central Government to direct the Controller to revoke a patent if satisfied that the patent relates to atomic energy for which no patent can be granted under Section 20(1) of the Atomic Energy Act, 1962. Before revocation, the Controller must give notice and an opportunity to be heard to the patentee and all persons registered as having an interest in the patent. Section 65(2) allows the Controller to permit amendment of the complete specification instead of revocation.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Revocation in public interest – Section 66</w:t>
      </w:r>
    </w:p>
    <w:p w:rsidR="002A7AE8" w:rsidRPr="002A7AE8" w:rsidRDefault="002A7AE8" w:rsidP="002A7AE8">
      <w:pPr>
        <w:rPr>
          <w:rFonts w:cstheme="minorHAnsi"/>
          <w:sz w:val="28"/>
          <w:szCs w:val="28"/>
        </w:rPr>
      </w:pPr>
      <w:r w:rsidRPr="002A7AE8">
        <w:rPr>
          <w:rFonts w:cstheme="minorHAnsi"/>
          <w:sz w:val="28"/>
          <w:szCs w:val="28"/>
        </w:rPr>
        <w:t>Section 66 provides: "Where the Central Government is of opinion that a patent or the mode in which it is exercised is mischievous to the State or generally prejudicial to the public, it may, after giving the patentee an opportunity to be heard, make a declaration to that effect in the Official Gazette and thereupon the patent shall be deemed to be revoked." This provision allows executive action against patents that are being exercised in a manner harmful to the public or the state, distinct from Section 64 which requires judicial proceedings.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Distinction between revocation and surrender</w:t>
      </w:r>
    </w:p>
    <w:p w:rsidR="002A7AE8" w:rsidRPr="002A7AE8" w:rsidRDefault="002A7AE8" w:rsidP="002A7AE8">
      <w:pPr>
        <w:rPr>
          <w:rFonts w:cstheme="minorHAnsi"/>
          <w:sz w:val="28"/>
          <w:szCs w:val="28"/>
        </w:rPr>
      </w:pPr>
      <w:r w:rsidRPr="002A7AE8">
        <w:rPr>
          <w:rFonts w:cstheme="minorHAnsi"/>
          <w:sz w:val="28"/>
          <w:szCs w:val="28"/>
        </w:rPr>
        <w:t>Revocation is involuntary cancellation initiated by a third party, the Central Government, or by counter-claim in infringement proceedings, before the High Court or the Controller, based on legal grounds. Surrender is voluntary abandonment by the patentee by notice to the Controller, for any reason the patentee chooses. Both result in termination of the patent, but revocation may be opposed by the patentee whereas surrender may be opposed by persons having an interest in the patent. The applicable sections are Sections 63 (surrender) and Sections 64, 65, and 66 (revocation).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Relevant Case Laws on Revocation &amp; Surrender of Patents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Enercon (India) Ltd. v. Aloys Wobben Citation: (2014) 5 SCC 1</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Relevant Provisions: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64, Patents Act, 1970 – Revocation of Patents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25 – Opposition to Patent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Aloys Wobben owned several patents relating to wind turbine technology.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Enercon (India) Ltd. challenged the validity of these patents.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Multiple proceedings were initiated, including revocation petitions before the Intellectual Property Appellate Board (IPAB) and counterclaims in infringement suits.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dispute involved the procedure and grounds for challenging the validity of granted patents.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a granted patent can be revoked under Section 64 of the Patents Act, 1970.</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multiple remedies challenging validity of a patent can proceed simultaneously.</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What is the proper procedure for revocation proceedings.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The Supreme Court held that the Patents Act provides specific mechanisms for challenging the validity of patents.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A person interested may seek revocation of a patent under Section 64.</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However, parallel proceedings challenging the same patent rights should be controlled to avoid conflicting decisions.</w:t>
      </w:r>
    </w:p>
    <w:p w:rsidR="002A7AE8" w:rsidRPr="002A7AE8" w:rsidRDefault="002A7AE8" w:rsidP="002A7AE8">
      <w:pPr>
        <w:rPr>
          <w:rFonts w:cstheme="minorHAnsi"/>
          <w:sz w:val="28"/>
          <w:szCs w:val="28"/>
        </w:rPr>
      </w:pPr>
      <w:r w:rsidRPr="002A7AE8">
        <w:rPr>
          <w:rFonts w:cstheme="minorHAnsi"/>
          <w:sz w:val="28"/>
          <w:szCs w:val="28"/>
        </w:rPr>
        <w:t>Principle Laid Down:</w:t>
      </w:r>
    </w:p>
    <w:p w:rsidR="002A7AE8" w:rsidRPr="002A7AE8" w:rsidRDefault="002A7AE8" w:rsidP="002A7AE8">
      <w:pPr>
        <w:rPr>
          <w:rFonts w:cstheme="minorHAnsi"/>
          <w:sz w:val="28"/>
          <w:szCs w:val="28"/>
        </w:rPr>
      </w:pPr>
      <w:r w:rsidRPr="002A7AE8">
        <w:rPr>
          <w:rFonts w:cstheme="minorHAnsi"/>
          <w:sz w:val="28"/>
          <w:szCs w:val="28"/>
        </w:rPr>
        <w:t>A patent granted under the Act is not absolute and may be revoked if it fails to satisfy statutory requirements.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Bishwanath Prasad Radhey Shyam v. Hindustan Metal Industries Citation: AIR 1982 SC 1444; (1979) 2 SCC 511</w:t>
      </w:r>
    </w:p>
    <w:p w:rsidR="002A7AE8" w:rsidRPr="002A7AE8" w:rsidRDefault="002A7AE8" w:rsidP="002A7AE8">
      <w:pPr>
        <w:rPr>
          <w:rFonts w:cstheme="minorHAnsi"/>
          <w:sz w:val="28"/>
          <w:szCs w:val="28"/>
        </w:rPr>
      </w:pPr>
      <w:r w:rsidRPr="002A7AE8">
        <w:rPr>
          <w:rFonts w:cstheme="minorHAnsi"/>
          <w:sz w:val="28"/>
          <w:szCs w:val="28"/>
        </w:rPr>
        <w:t>Relevant Provisions: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64 – Revocation of Patents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2(1)(j) – Invention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2(1)(ja) – Inventive Step</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Hindustan Metal Industries obtained a patent relating to a device used in manufacturing utensils.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Bishwanath Prasad challenged the validity of the patent.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It was argued that the alleged invention was already known and lacked novelty and inventive step.</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the granted patent was valid.</w:t>
      </w:r>
    </w:p>
    <w:p w:rsidR="002A7AE8" w:rsidRPr="002A7AE8" w:rsidRDefault="002A7AE8" w:rsidP="002A7AE8">
      <w:pPr>
        <w:rPr>
          <w:rFonts w:cstheme="minorHAnsi"/>
          <w:sz w:val="28"/>
          <w:szCs w:val="28"/>
        </w:rPr>
      </w:pPr>
      <w:r w:rsidRPr="002A7AE8">
        <w:rPr>
          <w:rFonts w:cstheme="minorHAnsi"/>
          <w:sz w:val="28"/>
          <w:szCs w:val="28"/>
        </w:rPr>
        <w:lastRenderedPageBreak/>
        <w:t>2.</w:t>
      </w:r>
      <w:r w:rsidRPr="002A7AE8">
        <w:rPr>
          <w:rFonts w:cstheme="minorHAnsi"/>
          <w:sz w:val="28"/>
          <w:szCs w:val="28"/>
        </w:rPr>
        <w:tab/>
        <w:t>Whether lack of novelty and inventive step could become grounds for revocation.</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Whether a mere workshop improvement could receive patent protection.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revoked the patent because it lacked an inventive step.</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held that a patent must involve genuine invention and not merely ordinary improvements.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grant of a patent does not guarantee its validity and it can be challenged later.</w:t>
      </w:r>
    </w:p>
    <w:p w:rsidR="002A7AE8" w:rsidRPr="002A7AE8" w:rsidRDefault="002A7AE8" w:rsidP="002A7AE8">
      <w:pPr>
        <w:rPr>
          <w:rFonts w:cstheme="minorHAnsi"/>
          <w:sz w:val="28"/>
          <w:szCs w:val="28"/>
        </w:rPr>
      </w:pPr>
      <w:r w:rsidRPr="002A7AE8">
        <w:rPr>
          <w:rFonts w:cstheme="minorHAnsi"/>
          <w:sz w:val="28"/>
          <w:szCs w:val="28"/>
        </w:rPr>
        <w:t>Principle Laid Down:</w:t>
      </w:r>
    </w:p>
    <w:p w:rsidR="002A7AE8" w:rsidRPr="002A7AE8" w:rsidRDefault="002A7AE8" w:rsidP="002A7AE8">
      <w:pPr>
        <w:rPr>
          <w:rFonts w:cstheme="minorHAnsi"/>
          <w:sz w:val="28"/>
          <w:szCs w:val="28"/>
        </w:rPr>
      </w:pPr>
      <w:r w:rsidRPr="002A7AE8">
        <w:rPr>
          <w:rFonts w:cstheme="minorHAnsi"/>
          <w:sz w:val="28"/>
          <w:szCs w:val="28"/>
        </w:rPr>
        <w:t>A patent may be revoked when the invention lacks novelty, inventive step, or does not satisfy patentability requirements.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 The Patents Act, 1970 provides for early termination of patent rights through voluntary surrender under Section 63 and involuntary revocation under Sections 64, 65, and 66. Revocation by the High Court under Section 64 may be sought on any of the exhaustively listed grounds, including lack of novelty, absence of inventive step, wrongful obtaining, insufficient disclosure, and anticipation by traditional knowledge. Revocation in atomic energy cases under Section 65 proceeds by Central Government direction, while Section 66 empowers the Central Government to revoke patents whose exercise is mischievous to the state or prejudicial to the public. The availability of revocation on multiple grounds ensures that patents failing to satisfy statutory requirements do not enjoy an unwarranted monopoly. The grant of a patent is prima facie proof of validity but does not preclude subsequent challenge and revocation.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Chapter 8: Assignment and licensing of patents (Sections 68–103)</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1.</w:t>
      </w:r>
      <w:r w:rsidRPr="002A7AE8">
        <w:rPr>
          <w:rFonts w:cstheme="minorHAnsi"/>
          <w:sz w:val="28"/>
          <w:szCs w:val="28"/>
        </w:rPr>
        <w:tab/>
        <w:t>Assignment of patents – Section 68</w:t>
      </w:r>
    </w:p>
    <w:p w:rsidR="002A7AE8" w:rsidRPr="002A7AE8" w:rsidRDefault="002A7AE8" w:rsidP="002A7AE8">
      <w:pPr>
        <w:rPr>
          <w:rFonts w:cstheme="minorHAnsi"/>
          <w:sz w:val="28"/>
          <w:szCs w:val="28"/>
        </w:rPr>
      </w:pPr>
      <w:r w:rsidRPr="002A7AE8">
        <w:rPr>
          <w:rFonts w:cstheme="minorHAnsi"/>
          <w:sz w:val="28"/>
          <w:szCs w:val="28"/>
        </w:rPr>
        <w:t>Section 68 provides: "An assignment of a patent or of a share in a patent, a mortgage, licence or the creation of any other interest in a patent shall not be valid unless the same were in writing and the agreement between the parties concerned is reduced to the form of a document embodying all the terms and conditions governing their rights and obligations and duly executed." The key requirements are: the transaction must be in writing; it must embody all terms and conditions; and it must be duly executed. An oral assignment is void.</w:t>
      </w:r>
    </w:p>
    <w:p w:rsidR="002A7AE8" w:rsidRPr="002A7AE8" w:rsidRDefault="002A7AE8" w:rsidP="002A7AE8">
      <w:pPr>
        <w:rPr>
          <w:rFonts w:cstheme="minorHAnsi"/>
          <w:sz w:val="28"/>
          <w:szCs w:val="28"/>
        </w:rPr>
      </w:pPr>
      <w:r w:rsidRPr="002A7AE8">
        <w:rPr>
          <w:rFonts w:cstheme="minorHAnsi"/>
          <w:sz w:val="28"/>
          <w:szCs w:val="28"/>
        </w:rPr>
        <w:t>Section 69(1) requires any person entitled by assignment, transmission, or operation of law to a patent or any interest therein to apply in writing to the Controller for registration. Section 69(5) provides that an unregistered assignment is not admissible by the Controller or any court as evidence of title unless directed otherwise.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Types of licences</w:t>
      </w:r>
    </w:p>
    <w:p w:rsidR="002A7AE8" w:rsidRPr="002A7AE8" w:rsidRDefault="002A7AE8" w:rsidP="002A7AE8">
      <w:pPr>
        <w:rPr>
          <w:rFonts w:cstheme="minorHAnsi"/>
          <w:sz w:val="28"/>
          <w:szCs w:val="28"/>
        </w:rPr>
      </w:pPr>
      <w:r w:rsidRPr="002A7AE8">
        <w:rPr>
          <w:rFonts w:cstheme="minorHAnsi"/>
          <w:sz w:val="28"/>
          <w:szCs w:val="28"/>
        </w:rPr>
        <w:t>The Patents Act recognises three principal categories of licences. An exclusive licence, defined under Section 2(1)(f), confers upon the licensee, to the exclusion of all persons including the patentee, the right to work the patented invention. A non-exclusive licence permits the licensee to work the invention alongside other licensees and the patentee. A statutory or compulsory licence is one granted by the Controller under Chapters XVI or XVII without the voluntary consent of the patentee.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General principles for working patented inventions – Section 83</w:t>
      </w:r>
    </w:p>
    <w:p w:rsidR="002A7AE8" w:rsidRPr="002A7AE8" w:rsidRDefault="002A7AE8" w:rsidP="002A7AE8">
      <w:pPr>
        <w:rPr>
          <w:rFonts w:cstheme="minorHAnsi"/>
          <w:sz w:val="28"/>
          <w:szCs w:val="28"/>
        </w:rPr>
      </w:pPr>
      <w:r w:rsidRPr="002A7AE8">
        <w:rPr>
          <w:rFonts w:cstheme="minorHAnsi"/>
          <w:sz w:val="28"/>
          <w:szCs w:val="28"/>
        </w:rPr>
        <w:t>Section 83 sets out the general principles applicable to the exercise of powers under Chapter XVI. Patents are granted to encourage inventions and to secure that they are worked in India on a commercial scale; they are not granted merely to enable patentees to enjoy a monopoly for importation. Patent rights must contribute to</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technological innovation and technology transfer to the mutual advantage of producers and users. Patents must not impede protection of public health. The patent right must not be abused. Patented inventions must be made available </w:t>
      </w:r>
      <w:r w:rsidRPr="002A7AE8">
        <w:rPr>
          <w:rFonts w:cstheme="minorHAnsi"/>
          <w:sz w:val="28"/>
          <w:szCs w:val="28"/>
        </w:rPr>
        <w:lastRenderedPageBreak/>
        <w:t>at reasonably affordable prices to the public. These principles guide the Controller's exercise of compulsory licensing powers.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Compulsory licences – Section 84</w:t>
      </w:r>
    </w:p>
    <w:p w:rsidR="002A7AE8" w:rsidRPr="002A7AE8" w:rsidRDefault="002A7AE8" w:rsidP="002A7AE8">
      <w:pPr>
        <w:rPr>
          <w:rFonts w:cstheme="minorHAnsi"/>
          <w:sz w:val="28"/>
          <w:szCs w:val="28"/>
        </w:rPr>
      </w:pPr>
      <w:r w:rsidRPr="002A7AE8">
        <w:rPr>
          <w:rFonts w:cstheme="minorHAnsi"/>
          <w:sz w:val="28"/>
          <w:szCs w:val="28"/>
        </w:rPr>
        <w:t>Section 84(1) provides: "At any time after the expiration of three years from the date of the grant of patent, any person interested may make an application to the Controller for grant of compulsory licence on patent on any of the following grounds, namely: (a) that the reasonable requirements of the public with respect to the patented invention have not been satisfied, or (b) that the patented invention is not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available to the public at a reasonably affordable price, or (c) that the patented invention is not worked in the territory of India." Section 84(6) requires the Controller to consider factors including the nature of the invention, the time elapsed since grant, the applicant's ability to work the invention, and efforts made to obtain a voluntary licence. The Explanation to Section 84(6)(iv) defines 'reasonable period' as not ordinarily exceeding six months.</w:t>
      </w:r>
    </w:p>
    <w:p w:rsidR="002A7AE8" w:rsidRPr="002A7AE8" w:rsidRDefault="002A7AE8" w:rsidP="002A7AE8">
      <w:pPr>
        <w:rPr>
          <w:rFonts w:cstheme="minorHAnsi"/>
          <w:sz w:val="28"/>
          <w:szCs w:val="28"/>
        </w:rPr>
      </w:pPr>
      <w:r w:rsidRPr="002A7AE8">
        <w:rPr>
          <w:rFonts w:cstheme="minorHAnsi"/>
          <w:sz w:val="28"/>
          <w:szCs w:val="28"/>
        </w:rPr>
        <w:t>Section 84(7) specifies when the reasonable requirements of the public are not satisfied, including where the patentee refuses licences on reasonable terms causing prejudice to industry, where demand is not met, where export markets are not being supplied, or where the patent is not being worked in India on a commercial scale.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Terms of compulsory licences – Section 90</w:t>
      </w:r>
    </w:p>
    <w:p w:rsidR="002A7AE8" w:rsidRPr="002A7AE8" w:rsidRDefault="002A7AE8" w:rsidP="002A7AE8">
      <w:pPr>
        <w:rPr>
          <w:rFonts w:cstheme="minorHAnsi"/>
          <w:sz w:val="28"/>
          <w:szCs w:val="28"/>
        </w:rPr>
      </w:pPr>
      <w:r w:rsidRPr="002A7AE8">
        <w:rPr>
          <w:rFonts w:cstheme="minorHAnsi"/>
          <w:sz w:val="28"/>
          <w:szCs w:val="28"/>
        </w:rPr>
        <w:t>Section 90(1) requires the Controller, in settling terms and conditions, to secure: reasonable royalty having regard to the nature of the invention and expenditure incurred; working of the patent to the fullest extent; availability of patented articles at reasonably affordable prices; a non-exclusive licence; non-assignable rights; the licence is for the balance term unless a shorter period serves public interest; the licence is predominantly for supply in the Indian market; and in semi-conductor technology cases, the licence is for public non-commercial use.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6.</w:t>
      </w:r>
      <w:r w:rsidRPr="002A7AE8">
        <w:rPr>
          <w:rFonts w:cstheme="minorHAnsi"/>
          <w:sz w:val="28"/>
          <w:szCs w:val="28"/>
        </w:rPr>
        <w:tab/>
        <w:t>Compulsory licences in national emergency – Section 92</w:t>
      </w:r>
    </w:p>
    <w:p w:rsidR="002A7AE8" w:rsidRPr="002A7AE8" w:rsidRDefault="002A7AE8" w:rsidP="002A7AE8">
      <w:pPr>
        <w:rPr>
          <w:rFonts w:cstheme="minorHAnsi"/>
          <w:sz w:val="28"/>
          <w:szCs w:val="28"/>
        </w:rPr>
      </w:pPr>
      <w:r w:rsidRPr="002A7AE8">
        <w:rPr>
          <w:rFonts w:cstheme="minorHAnsi"/>
          <w:sz w:val="28"/>
          <w:szCs w:val="28"/>
        </w:rPr>
        <w:t>Section 92(1) empowers the Central Government to make a notification in the Official Gazette authorising grant of compulsory licences at any time after grant of a patent in circumstances of national emergency, extreme urgency, or public non-commercial use. In such cases, the Controller shall grant a licence on application. Section 92(3) provides that in circumstances of national emergency, extreme urgency, or public non-commercial use, including public health crises relating to AIDS, HIV, tuberculosis, malaria, and other epidemics, the procedure under Section 87 (prior negotiation) need not be followed.</w:t>
      </w:r>
    </w:p>
    <w:p w:rsidR="002A7AE8" w:rsidRPr="002A7AE8" w:rsidRDefault="002A7AE8" w:rsidP="002A7AE8">
      <w:pPr>
        <w:rPr>
          <w:rFonts w:cstheme="minorHAnsi"/>
          <w:sz w:val="28"/>
          <w:szCs w:val="28"/>
        </w:rPr>
      </w:pPr>
      <w:r w:rsidRPr="002A7AE8">
        <w:rPr>
          <w:rFonts w:cstheme="minorHAnsi"/>
          <w:sz w:val="28"/>
          <w:szCs w:val="28"/>
        </w:rPr>
        <w:t>Section 92A – Compulsory licence for export</w:t>
      </w:r>
    </w:p>
    <w:p w:rsidR="002A7AE8" w:rsidRPr="002A7AE8" w:rsidRDefault="002A7AE8" w:rsidP="002A7AE8">
      <w:pPr>
        <w:rPr>
          <w:rFonts w:cstheme="minorHAnsi"/>
          <w:sz w:val="28"/>
          <w:szCs w:val="28"/>
        </w:rPr>
      </w:pPr>
      <w:r w:rsidRPr="002A7AE8">
        <w:rPr>
          <w:rFonts w:cstheme="minorHAnsi"/>
          <w:sz w:val="28"/>
          <w:szCs w:val="28"/>
        </w:rPr>
        <w:t>Section 92A(1) provides: "Compulsory licence shall be available for manufacture and export of patented pharmaceutical products to any country having insufficient or no manufacturing capacity in the pharmaceutical sector for the concerned product to address public health problems, provided compulsory licence has been granted by such country or such country has, by notification or otherwise, allowed importation of the patented pharmaceutical products from India." This implements the Doha Declaration and the WTO Decision of 2003 enabling export of generic medicines to developing countries.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Government use of patents – Sections 99–103</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99 defines 'use of invention for purposes of Government' as making, using, exercising, or vending an invention for the purposes of the Central Government, a State Government, or a Government undertaking. Section 100(1) empowers the Central Government or any person authorised in writing to use any invention for Government purposes at any time after filing of the application. Section 100(3) requires payment of reasonable remuneration to the patentee unless the invention was recorded or tested by the Government before the priority date. Section 100(5) requires notification to the patentee of government use, except in emergencies and non-commercial use cases. Section 103 provides for reference of disputes on government use or acquisition to the High Court.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Relevant Case Laws on Assignment &amp; Licensing of Patents</w:t>
      </w:r>
    </w:p>
    <w:p w:rsidR="002A7AE8" w:rsidRPr="002A7AE8" w:rsidRDefault="002A7AE8" w:rsidP="002A7AE8">
      <w:pPr>
        <w:rPr>
          <w:rFonts w:cstheme="minorHAnsi"/>
          <w:sz w:val="28"/>
          <w:szCs w:val="28"/>
        </w:rPr>
      </w:pPr>
      <w:r w:rsidRPr="002A7AE8">
        <w:rPr>
          <w:rFonts w:cstheme="minorHAnsi"/>
          <w:sz w:val="28"/>
          <w:szCs w:val="28"/>
        </w:rPr>
        <w:t>(Format: Facts – Issues – Held)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National Research Development Corporation of India v. ABS Plastics Ltd. Citation: 2000 (20) PTC 659 (Del)</w:t>
      </w:r>
    </w:p>
    <w:p w:rsidR="002A7AE8" w:rsidRPr="002A7AE8" w:rsidRDefault="002A7AE8" w:rsidP="002A7AE8">
      <w:pPr>
        <w:rPr>
          <w:rFonts w:cstheme="minorHAnsi"/>
          <w:sz w:val="28"/>
          <w:szCs w:val="28"/>
        </w:rPr>
      </w:pPr>
      <w:r w:rsidRPr="002A7AE8">
        <w:rPr>
          <w:rFonts w:cstheme="minorHAnsi"/>
          <w:sz w:val="28"/>
          <w:szCs w:val="28"/>
        </w:rPr>
        <w:t>Relevant Provisions: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68, Patents Act, 1970 – Assignment must be in writing and registered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69 – Registration of assignments and licences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70 – Power of registered grantee or proprietor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National Research Development Corporation (NRDC) owned rights relating to certain patented technology.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NRDC entered into a licence agreement with ABS Plastics Ltd. permitting the use of the technology.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A dispute arose regarding the obligations under the licence agreement and use of the patented invention.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plaintiff sought enforcement of contractual and patent-related rights.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rights relating to patented technology can be transferred through a licence agreement.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the licensee is bound by the conditions mentioned in the patent licence.</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Whether contractual obligations relating to patent rights are enforceable.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Delhi High Court recognized that patent rights are valuable intellectual property rights capable of commercial exploitation through licences.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A licensee using patented technology must comply with the terms of the licence agreement.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Violation of licence conditions may result in legal consequences.</w:t>
      </w:r>
    </w:p>
    <w:p w:rsidR="002A7AE8" w:rsidRPr="002A7AE8" w:rsidRDefault="002A7AE8" w:rsidP="002A7AE8">
      <w:pPr>
        <w:rPr>
          <w:rFonts w:cstheme="minorHAnsi"/>
          <w:sz w:val="28"/>
          <w:szCs w:val="28"/>
        </w:rPr>
      </w:pPr>
      <w:r w:rsidRPr="002A7AE8">
        <w:rPr>
          <w:rFonts w:cstheme="minorHAnsi"/>
          <w:sz w:val="28"/>
          <w:szCs w:val="28"/>
        </w:rPr>
        <w:t>Principle Laid Down:</w:t>
      </w:r>
    </w:p>
    <w:p w:rsidR="002A7AE8" w:rsidRPr="002A7AE8" w:rsidRDefault="002A7AE8" w:rsidP="002A7AE8">
      <w:pPr>
        <w:rPr>
          <w:rFonts w:cstheme="minorHAnsi"/>
          <w:sz w:val="28"/>
          <w:szCs w:val="28"/>
        </w:rPr>
      </w:pPr>
      <w:r w:rsidRPr="002A7AE8">
        <w:rPr>
          <w:rFonts w:cstheme="minorHAnsi"/>
          <w:sz w:val="28"/>
          <w:szCs w:val="28"/>
        </w:rPr>
        <w:t>Patent owners may assign or license their patent rights, and such agreements create enforceable rights and obligations between parties.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&lt;br&gt;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Sergi Transformer Explosion Prevention Technologies Pvt. Ltd. v. CTR Manufacturing Industries Ltd.</w:t>
      </w:r>
    </w:p>
    <w:p w:rsidR="002A7AE8" w:rsidRPr="002A7AE8" w:rsidRDefault="002A7AE8" w:rsidP="002A7AE8">
      <w:pPr>
        <w:rPr>
          <w:rFonts w:cstheme="minorHAnsi"/>
          <w:sz w:val="28"/>
          <w:szCs w:val="28"/>
        </w:rPr>
      </w:pPr>
      <w:r w:rsidRPr="002A7AE8">
        <w:rPr>
          <w:rFonts w:cstheme="minorHAnsi"/>
          <w:sz w:val="28"/>
          <w:szCs w:val="28"/>
        </w:rPr>
        <w:t>Citation: 2015 (63) PTC 1 (Del)</w:t>
      </w:r>
    </w:p>
    <w:p w:rsidR="002A7AE8" w:rsidRPr="002A7AE8" w:rsidRDefault="002A7AE8" w:rsidP="002A7AE8">
      <w:pPr>
        <w:rPr>
          <w:rFonts w:cstheme="minorHAnsi"/>
          <w:sz w:val="28"/>
          <w:szCs w:val="28"/>
        </w:rPr>
      </w:pPr>
      <w:r w:rsidRPr="002A7AE8">
        <w:rPr>
          <w:rFonts w:cstheme="minorHAnsi"/>
          <w:sz w:val="28"/>
          <w:szCs w:val="28"/>
        </w:rPr>
        <w:t>Relevant Provisions: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68 – Assignment of patents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69 – Registration of assignment/licence</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109 – Rights of exclusive licensee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Sergi Transformer claimed rights relating to patented technology used for transformer explosion prevention systems.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dispute involved ownership, licensing rights, and authority to enforce patent rights.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Questions arose regarding the rights available to a person claiming interest through patent agreements.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an assignee or exclusive licensee can enforce patent rights.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transfer of patent rights must comply with statutory requirements under the Patents Act.</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Whether registration of patent agreements is important for recognition of rights.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held that patent rights are statutory rights and their transfer must comply with the requirements of the Patents Act.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Assignment or licensing documents must clearly establish the rights transferred.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A person claiming rights through assignment or licence must prove valid entitlement.</w:t>
      </w:r>
    </w:p>
    <w:p w:rsidR="002A7AE8" w:rsidRPr="002A7AE8" w:rsidRDefault="002A7AE8" w:rsidP="002A7AE8">
      <w:pPr>
        <w:rPr>
          <w:rFonts w:cstheme="minorHAnsi"/>
          <w:sz w:val="28"/>
          <w:szCs w:val="28"/>
        </w:rPr>
      </w:pPr>
      <w:r w:rsidRPr="002A7AE8">
        <w:rPr>
          <w:rFonts w:cstheme="minorHAnsi"/>
          <w:sz w:val="28"/>
          <w:szCs w:val="28"/>
        </w:rPr>
        <w:t>Principle Laid Down:</w:t>
      </w:r>
    </w:p>
    <w:p w:rsidR="002A7AE8" w:rsidRPr="002A7AE8" w:rsidRDefault="002A7AE8" w:rsidP="002A7AE8">
      <w:pPr>
        <w:rPr>
          <w:rFonts w:cstheme="minorHAnsi"/>
          <w:sz w:val="28"/>
          <w:szCs w:val="28"/>
        </w:rPr>
      </w:pPr>
      <w:r w:rsidRPr="002A7AE8">
        <w:rPr>
          <w:rFonts w:cstheme="minorHAnsi"/>
          <w:sz w:val="28"/>
          <w:szCs w:val="28"/>
        </w:rPr>
        <w:t>Assignment and licensing of patents must follow statutory procedures, and valid assignees or exclusive licensees may enforce patent rights.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 Patent rights are commercially exploitable through assignment and licensing as governed by Sections 68 to 103 of the Patents Act, 1970. An assignment must be in writing and duly executed under Section 68, and must be registered under Section 69 for full evidentiary value. Licences may be exclusive, non-exclusive, or compulsory, each conferring different rights and obligations upon the parties.</w:t>
      </w:r>
    </w:p>
    <w:p w:rsidR="002A7AE8" w:rsidRPr="002A7AE8" w:rsidRDefault="002A7AE8" w:rsidP="002A7AE8">
      <w:pPr>
        <w:rPr>
          <w:rFonts w:cstheme="minorHAnsi"/>
          <w:sz w:val="28"/>
          <w:szCs w:val="28"/>
        </w:rPr>
      </w:pPr>
      <w:r w:rsidRPr="002A7AE8">
        <w:rPr>
          <w:rFonts w:cstheme="minorHAnsi"/>
          <w:sz w:val="28"/>
          <w:szCs w:val="28"/>
        </w:rPr>
        <w:t>Compulsory licences under Section 84 are available after three years from the date of grant on grounds of non-working, unaffordability, or unmet public demand.</w:t>
      </w:r>
    </w:p>
    <w:p w:rsidR="002A7AE8" w:rsidRPr="002A7AE8" w:rsidRDefault="002A7AE8" w:rsidP="002A7AE8">
      <w:pPr>
        <w:rPr>
          <w:rFonts w:cstheme="minorHAnsi"/>
          <w:sz w:val="28"/>
          <w:szCs w:val="28"/>
        </w:rPr>
      </w:pPr>
      <w:r w:rsidRPr="002A7AE8">
        <w:rPr>
          <w:rFonts w:cstheme="minorHAnsi"/>
          <w:sz w:val="28"/>
          <w:szCs w:val="28"/>
        </w:rPr>
        <w:t>Emergency compulsory licences may be granted under Section 92 without prior negotiation in circumstances of national emergency or public health crises.</w:t>
      </w:r>
    </w:p>
    <w:p w:rsidR="002A7AE8" w:rsidRPr="002A7AE8" w:rsidRDefault="002A7AE8" w:rsidP="002A7AE8">
      <w:pPr>
        <w:rPr>
          <w:rFonts w:cstheme="minorHAnsi"/>
          <w:sz w:val="28"/>
          <w:szCs w:val="28"/>
        </w:rPr>
      </w:pPr>
      <w:r w:rsidRPr="002A7AE8">
        <w:rPr>
          <w:rFonts w:cstheme="minorHAnsi"/>
          <w:sz w:val="28"/>
          <w:szCs w:val="28"/>
        </w:rPr>
        <w:lastRenderedPageBreak/>
        <w:t>Government use under Sections 99 to 103 enables the state to work patented inventions for public purposes on payment of reasonable remuneration. These provisions collectively ensure that patent rights are exercised in a manner consistent with the public interest.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Chapter 9: Infringement of patents and remedies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Patent infringement occurs when a person exercises any of the exclusive rights conferred upon a patentee by Section 48 without the patentee's consent and without authorisation under the Act. The Patents Act, 1970 provides a comprehensive civil enforcement mechanism through Sections 104 to 115. Criminal liability arises separately for offences under Chapter XX.</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Rights of patentee – Section 48</w:t>
      </w:r>
    </w:p>
    <w:p w:rsidR="002A7AE8" w:rsidRPr="002A7AE8" w:rsidRDefault="002A7AE8" w:rsidP="002A7AE8">
      <w:pPr>
        <w:rPr>
          <w:rFonts w:cstheme="minorHAnsi"/>
          <w:sz w:val="28"/>
          <w:szCs w:val="28"/>
        </w:rPr>
      </w:pPr>
      <w:r w:rsidRPr="002A7AE8">
        <w:rPr>
          <w:rFonts w:cstheme="minorHAnsi"/>
          <w:sz w:val="28"/>
          <w:szCs w:val="28"/>
        </w:rPr>
        <w:t>Section 48 provides: "Subject to the other provisions contained in this Act and the conditions specified in section 47, a patent granted under this Act shall confer upon the patentee — (a) where the subject matter of the patent is a product, the exclusive right to prevent third parties, who do not have his consent, from the act of making, using, offering for sale, selling or importing for those purposes that product in India;</w:t>
      </w:r>
    </w:p>
    <w:p w:rsidR="002A7AE8" w:rsidRPr="002A7AE8" w:rsidRDefault="002A7AE8" w:rsidP="002A7AE8">
      <w:pPr>
        <w:rPr>
          <w:rFonts w:cstheme="minorHAnsi"/>
          <w:sz w:val="28"/>
          <w:szCs w:val="28"/>
        </w:rPr>
      </w:pPr>
      <w:r w:rsidRPr="002A7AE8">
        <w:rPr>
          <w:rFonts w:cstheme="minorHAnsi"/>
          <w:sz w:val="28"/>
          <w:szCs w:val="28"/>
        </w:rPr>
        <w:t>(b) where the subject matter of the patent is a process, the exclusive right to prevent third parties, who do not have his consent, from the act of using that process, and from the act of using, offering for sale, selling or importing for those purposes the product obtained directly by that process in India." Infringement is the violation of these exclusive rights without consent or statutory authorisation.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Essential elements of infringement</w:t>
      </w:r>
    </w:p>
    <w:p w:rsidR="002A7AE8" w:rsidRPr="002A7AE8" w:rsidRDefault="002A7AE8" w:rsidP="002A7AE8">
      <w:pPr>
        <w:rPr>
          <w:rFonts w:cstheme="minorHAnsi"/>
          <w:sz w:val="28"/>
          <w:szCs w:val="28"/>
        </w:rPr>
      </w:pPr>
      <w:r w:rsidRPr="002A7AE8">
        <w:rPr>
          <w:rFonts w:cstheme="minorHAnsi"/>
          <w:sz w:val="28"/>
          <w:szCs w:val="28"/>
        </w:rPr>
        <w:t xml:space="preserve">To establish infringement, the patentee must prove: (i) existence of a valid and subsisting patent; (ii) the act complained of falls within the exclusive rights </w:t>
      </w:r>
      <w:r w:rsidRPr="002A7AE8">
        <w:rPr>
          <w:rFonts w:cstheme="minorHAnsi"/>
          <w:sz w:val="28"/>
          <w:szCs w:val="28"/>
        </w:rPr>
        <w:lastRenderedPageBreak/>
        <w:t>conferred by Section 48; (iii) the act was performed within India, as patent rights are territorial;</w:t>
      </w:r>
    </w:p>
    <w:p w:rsidR="002A7AE8" w:rsidRPr="002A7AE8" w:rsidRDefault="002A7AE8" w:rsidP="002A7AE8">
      <w:pPr>
        <w:rPr>
          <w:rFonts w:cstheme="minorHAnsi"/>
          <w:sz w:val="28"/>
          <w:szCs w:val="28"/>
        </w:rPr>
      </w:pPr>
      <w:r w:rsidRPr="002A7AE8">
        <w:rPr>
          <w:rFonts w:cstheme="minorHAnsi"/>
          <w:sz w:val="28"/>
          <w:szCs w:val="28"/>
        </w:rPr>
        <w:t>(iv) the act occurred during the term of the patent (twenty years from filing date under Section 53); and (v) the act was performed without the consent or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authorisation of the patentee.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Jurisdiction – Section 104</w:t>
      </w:r>
    </w:p>
    <w:p w:rsidR="002A7AE8" w:rsidRPr="002A7AE8" w:rsidRDefault="002A7AE8" w:rsidP="002A7AE8">
      <w:pPr>
        <w:rPr>
          <w:rFonts w:cstheme="minorHAnsi"/>
          <w:sz w:val="28"/>
          <w:szCs w:val="28"/>
        </w:rPr>
      </w:pPr>
      <w:r w:rsidRPr="002A7AE8">
        <w:rPr>
          <w:rFonts w:cstheme="minorHAnsi"/>
          <w:sz w:val="28"/>
          <w:szCs w:val="28"/>
        </w:rPr>
        <w:t>Section 104 provides: "No suit for a declaration under section 105 or for any relief under section 106 or for infringement of a patent shall be instituted in any court inferior to a district court having jurisdiction to try the suit: Provided that where a counter-claim for revocation of the patent is made by the defendant, the suit, along with the counter-claim, shall be transferred to the High Court for decision." Patent infringement suits must therefore be filed at the level of the District Court or above. Where the defendant files a counter-claim for revocation, the entire matter is transferred to the High Court.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Burden of proof in process patent cases – Section 104A</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104A(1) provides that in a suit for infringement involving a process patent, the court may direct the defendant to prove that the process used to obtain an identical product is different from the patented process where: (a) the patent is for a process for obtaining a new product; or (b) there is a substantial likelihood that the identical product was made by the patented process and the patentee has been unable through reasonable efforts to determine the actual process. The patentee must first prove that the product is identical to the product directly obtained by the patented process. Section 104A(2) protects defendants from disclosure of manufacturing or commercial secrets where it would be unreasonable.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Acts not constituting infringement – Section 107A</w:t>
      </w:r>
    </w:p>
    <w:p w:rsidR="002A7AE8" w:rsidRPr="002A7AE8" w:rsidRDefault="002A7AE8" w:rsidP="002A7AE8">
      <w:pPr>
        <w:rPr>
          <w:rFonts w:cstheme="minorHAnsi"/>
          <w:sz w:val="28"/>
          <w:szCs w:val="28"/>
        </w:rPr>
      </w:pPr>
      <w:r w:rsidRPr="002A7AE8">
        <w:rPr>
          <w:rFonts w:cstheme="minorHAnsi"/>
          <w:sz w:val="28"/>
          <w:szCs w:val="28"/>
        </w:rPr>
        <w:lastRenderedPageBreak/>
        <w:t>Section 107A provides that certain acts shall not be considered infringement: (a) any act of making, constructing, using, selling, or importing a patented invention solely for uses reasonably related to the development and submission of information required under any law for the time being in force in India or in any other country that regulates manufacture, construction, use, sale, or import of any product (the Bolar or regulatory exception); and (b) importation of patented products by any person from a person who is duly authorised under the law to produce and sell or distribute the product (parallel imports). These provisions enable generic drug manufacturers to commence regulatory testing and approval before patent expiry, and allow importation from legitimate sources.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Defences in infringement suits – Section 107</w:t>
      </w:r>
    </w:p>
    <w:p w:rsidR="002A7AE8" w:rsidRPr="002A7AE8" w:rsidRDefault="002A7AE8" w:rsidP="002A7AE8">
      <w:pPr>
        <w:rPr>
          <w:rFonts w:cstheme="minorHAnsi"/>
          <w:sz w:val="28"/>
          <w:szCs w:val="28"/>
        </w:rPr>
      </w:pPr>
      <w:r w:rsidRPr="002A7AE8">
        <w:rPr>
          <w:rFonts w:cstheme="minorHAnsi"/>
          <w:sz w:val="28"/>
          <w:szCs w:val="28"/>
        </w:rPr>
        <w:t>Section 107(1) provides that in any suit for infringement, every ground on which the patent may be revoked under Section 64 is available as a ground of defence. Section 107(2) provides that it is a defence that the making, using, or importing of the patented article or the use of the patented process is in accordance with any condition specified in Section 47 (government use, research, or experimental use). A defendant may also raise invalidity of the patent on grounds of lack of novelty, obviousness, insufficient disclosure, or any other ground under Section 64.</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Relief for infringement – Section 108</w:t>
      </w:r>
    </w:p>
    <w:p w:rsidR="002A7AE8" w:rsidRPr="002A7AE8" w:rsidRDefault="002A7AE8" w:rsidP="002A7AE8">
      <w:pPr>
        <w:rPr>
          <w:rFonts w:cstheme="minorHAnsi"/>
          <w:sz w:val="28"/>
          <w:szCs w:val="28"/>
        </w:rPr>
      </w:pPr>
      <w:r w:rsidRPr="002A7AE8">
        <w:rPr>
          <w:rFonts w:cstheme="minorHAnsi"/>
          <w:sz w:val="28"/>
          <w:szCs w:val="28"/>
        </w:rPr>
        <w:t>Section 108(1) provides: "The reliefs which a court may grant in any suit for infringement include an injunction (subject to such terms, if any, as the court thinks fit) and, at the option of the plaintiff, either damages or an account of profits." The plaintiff may elect between damages (compensating actual loss) or account of profits (recovery of the infringer's gains). Section 108(2) further provides that the court may order seizure, forfeiture, or destruction of infringing goods and materials or implements whose predominant use is in creating infringing goods.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Restrictions on damages – Section 111</w:t>
      </w:r>
    </w:p>
    <w:p w:rsidR="002A7AE8" w:rsidRPr="002A7AE8" w:rsidRDefault="002A7AE8" w:rsidP="002A7AE8">
      <w:pPr>
        <w:rPr>
          <w:rFonts w:cstheme="minorHAnsi"/>
          <w:sz w:val="28"/>
          <w:szCs w:val="28"/>
        </w:rPr>
      </w:pPr>
      <w:r w:rsidRPr="002A7AE8">
        <w:rPr>
          <w:rFonts w:cstheme="minorHAnsi"/>
          <w:sz w:val="28"/>
          <w:szCs w:val="28"/>
        </w:rPr>
        <w:lastRenderedPageBreak/>
        <w:t>Section 111(1) provides that damages or an account of profits shall not be granted against a defendant who proves that at the date of infringement they were not aware and had no reasonable grounds for believing that the patent existed. The mere use of words like 'patent' or 'patented' on an article does not constitute constructive notice unless the patent number accompanies those words. Section 111(2) allows the court to refuse damages for infringement committed after failure to pay renewal fees and before extension of that period. Section 111(3) restricts recovery in respect of use before the date of allowance of an amendment of the specification.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Power of court regarding groundless threats – Section 106</w:t>
      </w:r>
    </w:p>
    <w:p w:rsidR="002A7AE8" w:rsidRPr="002A7AE8" w:rsidRDefault="002A7AE8" w:rsidP="002A7AE8">
      <w:pPr>
        <w:rPr>
          <w:rFonts w:cstheme="minorHAnsi"/>
          <w:sz w:val="28"/>
          <w:szCs w:val="28"/>
        </w:rPr>
      </w:pPr>
      <w:r w:rsidRPr="002A7AE8">
        <w:rPr>
          <w:rFonts w:cstheme="minorHAnsi"/>
          <w:sz w:val="28"/>
          <w:szCs w:val="28"/>
        </w:rPr>
        <w:t>Section 106(1) provides that where any person threatens another with infringement proceedings, whether by circulars, advertisements, or communications, any aggrieved person may bring a suit for: (a) a declaration that the threats are unjustifiable; (b) an injunction against continuation of the threats; and (c) damages sustained. The Explanation clarifies that a mere notification of the existence of a patent does not constitute a threat. This provision protects businesses from being intimidated by unfounded threats of patent litigation.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11.</w:t>
      </w:r>
      <w:r w:rsidRPr="002A7AE8">
        <w:rPr>
          <w:rFonts w:cstheme="minorHAnsi"/>
          <w:sz w:val="28"/>
          <w:szCs w:val="28"/>
        </w:rPr>
        <w:tab/>
        <w:t>Scientific advisers – Section 115</w:t>
      </w:r>
    </w:p>
    <w:p w:rsidR="002A7AE8" w:rsidRPr="002A7AE8" w:rsidRDefault="002A7AE8" w:rsidP="002A7AE8">
      <w:pPr>
        <w:rPr>
          <w:rFonts w:cstheme="minorHAnsi"/>
          <w:sz w:val="28"/>
          <w:szCs w:val="28"/>
        </w:rPr>
      </w:pPr>
      <w:r w:rsidRPr="002A7AE8">
        <w:rPr>
          <w:rFonts w:cstheme="minorHAnsi"/>
          <w:sz w:val="28"/>
          <w:szCs w:val="28"/>
        </w:rPr>
        <w:t>Section 115(1) empowers a court in any infringement suit or proceeding under the Act to appoint an independent scientific adviser to assist the court or to inquire and report on any question of fact or opinion not involving interpretation of law. Section 115(2) provides that the remuneration of the scientific adviser is fixed by the court and defrayed from parliamentary funds. This provision acknowledges the technical complexity of patent disputes and enables courts to obtain specialist assistance.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Relevant Case Laws on Infringement of Patents &amp; Remedies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1.</w:t>
      </w:r>
      <w:r w:rsidRPr="002A7AE8">
        <w:rPr>
          <w:rFonts w:cstheme="minorHAnsi"/>
          <w:sz w:val="28"/>
          <w:szCs w:val="28"/>
        </w:rPr>
        <w:tab/>
        <w:t>F. Hoffmann-La Roche Ltd. v. Cipla Ltd. Citation: 2015 (63) PTC 257 (Del) (DB)</w:t>
      </w:r>
    </w:p>
    <w:p w:rsidR="002A7AE8" w:rsidRPr="002A7AE8" w:rsidRDefault="002A7AE8" w:rsidP="002A7AE8">
      <w:pPr>
        <w:rPr>
          <w:rFonts w:cstheme="minorHAnsi"/>
          <w:sz w:val="28"/>
          <w:szCs w:val="28"/>
        </w:rPr>
      </w:pPr>
      <w:r w:rsidRPr="002A7AE8">
        <w:rPr>
          <w:rFonts w:cstheme="minorHAnsi"/>
          <w:sz w:val="28"/>
          <w:szCs w:val="28"/>
        </w:rPr>
        <w:t>Relevant Provisions: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48, Patents Act, 1970 – Rights of Patentee</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104 – Jurisdiction</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108 – Reliefs in suits for infringement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F. Hoffmann-La Roche owned a patent for the cancer drug Erlotinib Hydrochloride, marketed as Tarceva.</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Cipla launched a generic version of the drug under the name Erlocip.</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Roche filed a patent infringement suit alleging that Cipla had violated its exclusive patent rights.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Cipla challenged the validity of Roche’s patent and denied infringement.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Cipla’s manufacture and sale of Erlocip amounted to infringement of Roche’s patent.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Roche was entitled to remedies such as injunction and damages.</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Whether public interest considerations could affect the grant of injunction.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Delhi High Court held that Cipla had infringed Roche’s patent.</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recognized the exclusive rights of a patentee under Section 48 of the Patents Act, 1970.</w:t>
      </w:r>
    </w:p>
    <w:p w:rsidR="002A7AE8" w:rsidRPr="002A7AE8" w:rsidRDefault="002A7AE8" w:rsidP="002A7AE8">
      <w:pPr>
        <w:rPr>
          <w:rFonts w:cstheme="minorHAnsi"/>
          <w:sz w:val="28"/>
          <w:szCs w:val="28"/>
        </w:rPr>
      </w:pPr>
      <w:r w:rsidRPr="002A7AE8">
        <w:rPr>
          <w:rFonts w:cstheme="minorHAnsi"/>
          <w:sz w:val="28"/>
          <w:szCs w:val="28"/>
        </w:rPr>
        <w:lastRenderedPageBreak/>
        <w:t>•</w:t>
      </w:r>
      <w:r w:rsidRPr="002A7AE8">
        <w:rPr>
          <w:rFonts w:cstheme="minorHAnsi"/>
          <w:sz w:val="28"/>
          <w:szCs w:val="28"/>
        </w:rPr>
        <w:tab/>
        <w:t>However, while granting remedies, courts must consider factors such as public interest and accessibility of medicines.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awarded appropriate relief to the patent holder.</w:t>
      </w:r>
    </w:p>
    <w:p w:rsidR="002A7AE8" w:rsidRPr="002A7AE8" w:rsidRDefault="002A7AE8" w:rsidP="002A7AE8">
      <w:pPr>
        <w:rPr>
          <w:rFonts w:cstheme="minorHAnsi"/>
          <w:sz w:val="28"/>
          <w:szCs w:val="28"/>
        </w:rPr>
      </w:pPr>
      <w:r w:rsidRPr="002A7AE8">
        <w:rPr>
          <w:rFonts w:cstheme="minorHAnsi"/>
          <w:sz w:val="28"/>
          <w:szCs w:val="28"/>
        </w:rPr>
        <w:t>Principle Laid Down:</w:t>
      </w:r>
    </w:p>
    <w:p w:rsidR="002A7AE8" w:rsidRPr="002A7AE8" w:rsidRDefault="002A7AE8" w:rsidP="002A7AE8">
      <w:pPr>
        <w:rPr>
          <w:rFonts w:cstheme="minorHAnsi"/>
          <w:sz w:val="28"/>
          <w:szCs w:val="28"/>
        </w:rPr>
      </w:pPr>
      <w:r w:rsidRPr="002A7AE8">
        <w:rPr>
          <w:rFonts w:cstheme="minorHAnsi"/>
          <w:sz w:val="28"/>
          <w:szCs w:val="28"/>
        </w:rPr>
        <w:t>Unauthorized making, using, selling, or distributing a patented invention amounts to infringement, and the patentee can claim remedies under the Patents Act.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Bajaj Auto Ltd. v. TVS Motor Company Ltd. Citation: (2009) 9 SCC 797</w:t>
      </w:r>
    </w:p>
    <w:p w:rsidR="002A7AE8" w:rsidRPr="002A7AE8" w:rsidRDefault="002A7AE8" w:rsidP="002A7AE8">
      <w:pPr>
        <w:rPr>
          <w:rFonts w:cstheme="minorHAnsi"/>
          <w:sz w:val="28"/>
          <w:szCs w:val="28"/>
        </w:rPr>
      </w:pPr>
      <w:r w:rsidRPr="002A7AE8">
        <w:rPr>
          <w:rFonts w:cstheme="minorHAnsi"/>
          <w:sz w:val="28"/>
          <w:szCs w:val="28"/>
        </w:rPr>
        <w:t>Relevant Provisions: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48 – Rights of Patentees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Section 108 – Reliefs in Suit for Infringement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Bajaj Auto obtained a patent relating to DTS-i (Digital Twin Spark Ignition) technology used in motorcycles.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TVS introduced motorcycles using a similar technology.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Bajaj filed a suit claiming that TVS had infringed its patented technology.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TVS denied infringement and challenged the validity of Bajaj’s patent.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Whether TVS had infringed Bajaj’s patented technology.</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Whether Bajaj was entitled to an injunction restraining TVS from manufacturing and selling the disputed products.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What principles should courts follow while granting interim relief in patent disputes.</w:t>
      </w:r>
    </w:p>
    <w:p w:rsidR="002A7AE8" w:rsidRPr="002A7AE8" w:rsidRDefault="002A7AE8" w:rsidP="002A7AE8">
      <w:pPr>
        <w:rPr>
          <w:rFonts w:cstheme="minorHAnsi"/>
          <w:sz w:val="28"/>
          <w:szCs w:val="28"/>
        </w:rPr>
      </w:pPr>
      <w:r w:rsidRPr="002A7AE8">
        <w:rPr>
          <w:rFonts w:cstheme="minorHAnsi"/>
          <w:sz w:val="28"/>
          <w:szCs w:val="28"/>
        </w:rPr>
        <w:t>s</w:t>
      </w:r>
    </w:p>
    <w:p w:rsidR="002A7AE8" w:rsidRPr="002A7AE8" w:rsidRDefault="002A7AE8" w:rsidP="002A7AE8">
      <w:pPr>
        <w:rPr>
          <w:rFonts w:cstheme="minorHAnsi"/>
          <w:sz w:val="28"/>
          <w:szCs w:val="28"/>
        </w:rPr>
      </w:pPr>
      <w:r w:rsidRPr="002A7AE8">
        <w:rPr>
          <w:rFonts w:cstheme="minorHAnsi"/>
          <w:sz w:val="28"/>
          <w:szCs w:val="28"/>
        </w:rPr>
        <w:lastRenderedPageBreak/>
        <w:t>Held:</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Supreme Court emphasized speedy disposal of patent infringement matters.</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The Court held that while granting injunctions, courts must examine:</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Prima facie case;</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Balance of convenience;</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Irreparable injury.</w:t>
      </w:r>
    </w:p>
    <w:p w:rsidR="002A7AE8" w:rsidRPr="002A7AE8" w:rsidRDefault="002A7AE8" w:rsidP="002A7AE8">
      <w:pPr>
        <w:rPr>
          <w:rFonts w:cstheme="minorHAnsi"/>
          <w:sz w:val="28"/>
          <w:szCs w:val="28"/>
        </w:rPr>
      </w:pPr>
      <w:r w:rsidRPr="002A7AE8">
        <w:rPr>
          <w:rFonts w:cstheme="minorHAnsi"/>
          <w:sz w:val="28"/>
          <w:szCs w:val="28"/>
        </w:rPr>
        <w:t>•</w:t>
      </w:r>
      <w:r w:rsidRPr="002A7AE8">
        <w:rPr>
          <w:rFonts w:cstheme="minorHAnsi"/>
          <w:sz w:val="28"/>
          <w:szCs w:val="28"/>
        </w:rPr>
        <w:tab/>
        <w:t>Patent disputes should not remain pending for long because they involve commercial rights and technological development.</w:t>
      </w:r>
    </w:p>
    <w:p w:rsidR="002A7AE8" w:rsidRPr="002A7AE8" w:rsidRDefault="002A7AE8" w:rsidP="002A7AE8">
      <w:pPr>
        <w:rPr>
          <w:rFonts w:cstheme="minorHAnsi"/>
          <w:sz w:val="28"/>
          <w:szCs w:val="28"/>
        </w:rPr>
      </w:pPr>
      <w:r w:rsidRPr="002A7AE8">
        <w:rPr>
          <w:rFonts w:cstheme="minorHAnsi"/>
          <w:sz w:val="28"/>
          <w:szCs w:val="28"/>
        </w:rPr>
        <w:t>Principle Laid Down:</w:t>
      </w:r>
    </w:p>
    <w:p w:rsidR="002A7AE8" w:rsidRPr="002A7AE8" w:rsidRDefault="002A7AE8" w:rsidP="002A7AE8">
      <w:pPr>
        <w:rPr>
          <w:rFonts w:cstheme="minorHAnsi"/>
          <w:sz w:val="28"/>
          <w:szCs w:val="28"/>
        </w:rPr>
      </w:pPr>
      <w:r w:rsidRPr="002A7AE8">
        <w:rPr>
          <w:rFonts w:cstheme="minorHAnsi"/>
          <w:sz w:val="28"/>
          <w:szCs w:val="28"/>
        </w:rPr>
        <w:t>Patent infringement remedies, especially injunctions, depend upon judicial evaluation of rights, injury, and balance of convenience.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 Patent infringement under the Patents Act, 1970 consists of the unauthorised exercise of any exclusive right conferred by Section 48, including making, using, selling, offering for sale, or importing the patented product or process in India during the patent term. Infringement suits must be filed in the District Court or above under Section 104, with counter-claims for revocation transferred to the High Court. Defences include all grounds for revocation under Section 64, government use under Section 47, and the statutory exceptions under Section 107A. The court may grant injunctions, damages or account of profits, and orders for seizure or destruction of infringing goods under Section 108. Restrictions on damages under Section 111 protect innocent infringers unaware of the patent. The court may appoint scientific advisers under Section 115 for technically complex questions, and the groundless threats provision under Section 106 protects businesses from unfounded intimidation by patent holders.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Chapter 10: Short notes – term of patent, Controller of Patents, and patent agents Part I – Term of patent</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Term of patent – Section 53</w:t>
      </w:r>
    </w:p>
    <w:p w:rsidR="002A7AE8" w:rsidRPr="002A7AE8" w:rsidRDefault="002A7AE8" w:rsidP="002A7AE8">
      <w:pPr>
        <w:rPr>
          <w:rFonts w:cstheme="minorHAnsi"/>
          <w:sz w:val="28"/>
          <w:szCs w:val="28"/>
        </w:rPr>
      </w:pPr>
      <w:r w:rsidRPr="002A7AE8">
        <w:rPr>
          <w:rFonts w:cstheme="minorHAnsi"/>
          <w:sz w:val="28"/>
          <w:szCs w:val="28"/>
        </w:rPr>
        <w:lastRenderedPageBreak/>
        <w:t>Section 53(1) provides: "Subject to the provisions of this Act, the term of every patent granted, after the commencement of the Patents (Amendment) Act, 2002, and the term of every patent which has not expired and has not ceased to have effect, on the date of such commencement, under this Act, shall be twenty years from the date of filing of the application for the patent." The Explanation provides that for international applications under the PCT designating India, the term is twenty years from the international filing date accorded under the PCT.</w:t>
      </w:r>
    </w:p>
    <w:p w:rsidR="002A7AE8" w:rsidRPr="002A7AE8" w:rsidRDefault="002A7AE8" w:rsidP="002A7AE8">
      <w:pPr>
        <w:rPr>
          <w:rFonts w:cstheme="minorHAnsi"/>
          <w:sz w:val="28"/>
          <w:szCs w:val="28"/>
        </w:rPr>
      </w:pPr>
      <w:r w:rsidRPr="002A7AE8">
        <w:rPr>
          <w:rFonts w:cstheme="minorHAnsi"/>
          <w:sz w:val="28"/>
          <w:szCs w:val="28"/>
        </w:rPr>
        <w:t>Section 53(2) provides that a patent ceases to have effect on expiration of the period prescribed for payment of renewal fees if not paid within the prescribed period or extended period. Section 53(4) states that on cessation of patent rights due to non-payment or expiry of term, the subject matter is not entitled to protection under any other law. Once a patent lapses, restoration is possible under Chapter XI within eighteen months of lapse, subject to the patentee proving unintentional failure and no undue delay.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Part II – Controller of Patents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Appointment – Section 73</w:t>
      </w:r>
    </w:p>
    <w:p w:rsidR="002A7AE8" w:rsidRPr="002A7AE8" w:rsidRDefault="002A7AE8" w:rsidP="002A7AE8">
      <w:pPr>
        <w:rPr>
          <w:rFonts w:cstheme="minorHAnsi"/>
          <w:sz w:val="28"/>
          <w:szCs w:val="28"/>
        </w:rPr>
      </w:pPr>
      <w:r w:rsidRPr="002A7AE8">
        <w:rPr>
          <w:rFonts w:cstheme="minorHAnsi"/>
          <w:sz w:val="28"/>
          <w:szCs w:val="28"/>
        </w:rPr>
        <w:t>Section 73(1) provides: "The Controller General of Patents, Designs and Trade Marks appointed under sub-section (1) of section 3 of the Trade Marks Act, 1999 (47 of 1999), shall be the Controller of Patents for the purposes of this Act." Section 73(2) allows the Central Government to appoint examiners and other officers with such designations as it thinks fit. Section 73(3) provides that officers shall discharge functions under the Act as directed by the Controller. Section 73(4) allows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Controller to withdraw any matter pending before an officer, deal with it personally, or transfer it to another officer.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Powers of civil court – Section 77</w:t>
      </w:r>
    </w:p>
    <w:p w:rsidR="002A7AE8" w:rsidRPr="002A7AE8" w:rsidRDefault="002A7AE8" w:rsidP="002A7AE8">
      <w:pPr>
        <w:rPr>
          <w:rFonts w:cstheme="minorHAnsi"/>
          <w:sz w:val="28"/>
          <w:szCs w:val="28"/>
        </w:rPr>
      </w:pPr>
      <w:r w:rsidRPr="002A7AE8">
        <w:rPr>
          <w:rFonts w:cstheme="minorHAnsi"/>
          <w:sz w:val="28"/>
          <w:szCs w:val="28"/>
        </w:rPr>
        <w:t xml:space="preserve">Section 77(1) provides that the Controller in proceedings before him shall have the powers of a civil court under the Code of Civil Procedure, 1908 in respect </w:t>
      </w:r>
      <w:r w:rsidRPr="002A7AE8">
        <w:rPr>
          <w:rFonts w:cstheme="minorHAnsi"/>
          <w:sz w:val="28"/>
          <w:szCs w:val="28"/>
        </w:rPr>
        <w:lastRenderedPageBreak/>
        <w:t>of: (a) summoning and enforcing attendance of persons and examining them on oath; (b) requiring discovery and production of documents; (c) receiving evidence on affidavits; (d) issuing commissions for examination of witnesses or documents; (e) awarding costs; (f) reviewing his own decisions on application within the prescribed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time; (g) setting aside ex parte orders; and (h) other prescribed matters. Section 77(2) provides that orders for costs are executable as decrees of a civil court.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Power to correct clerical errors – Section 78</w:t>
      </w:r>
    </w:p>
    <w:p w:rsidR="002A7AE8" w:rsidRPr="002A7AE8" w:rsidRDefault="002A7AE8" w:rsidP="002A7AE8">
      <w:pPr>
        <w:rPr>
          <w:rFonts w:cstheme="minorHAnsi"/>
          <w:sz w:val="28"/>
          <w:szCs w:val="28"/>
        </w:rPr>
      </w:pPr>
      <w:r w:rsidRPr="002A7AE8">
        <w:rPr>
          <w:rFonts w:cstheme="minorHAnsi"/>
          <w:sz w:val="28"/>
          <w:szCs w:val="28"/>
        </w:rPr>
        <w:t>Section 78(1) empowers the Controller to correct any clerical error in any patent, specification, other document filed in pursuance of the application, or any matter entered in the register. Section 78(4) requires the Controller, where a correction would materially alter the meaning or scope of the document, to require publication of the proposed correction. Section 78(5) allows any interested person to oppose the correction within the prescribed time after publication.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Evidence before Controller – Section 79</w:t>
      </w:r>
    </w:p>
    <w:p w:rsidR="002A7AE8" w:rsidRPr="002A7AE8" w:rsidRDefault="002A7AE8" w:rsidP="002A7AE8">
      <w:pPr>
        <w:rPr>
          <w:rFonts w:cstheme="minorHAnsi"/>
          <w:sz w:val="28"/>
          <w:szCs w:val="28"/>
        </w:rPr>
      </w:pPr>
      <w:r w:rsidRPr="002A7AE8">
        <w:rPr>
          <w:rFonts w:cstheme="minorHAnsi"/>
          <w:sz w:val="28"/>
          <w:szCs w:val="28"/>
        </w:rPr>
        <w:t>Section 79 provides that evidence before the Controller shall ordinarily be given by affidavit. However, the Controller may take oral evidence in lieu of or in addition to affidavit evidence, or may allow cross-examination of a party on the contents of their affidavit. This provision makes the Controller's proceedings flexible and allows for adversarial testing of evidence in contested proceedings.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Exercise of discretionary powers – Section 80</w:t>
      </w:r>
    </w:p>
    <w:p w:rsidR="002A7AE8" w:rsidRPr="002A7AE8" w:rsidRDefault="002A7AE8" w:rsidP="002A7AE8">
      <w:pPr>
        <w:rPr>
          <w:rFonts w:cstheme="minorHAnsi"/>
          <w:sz w:val="28"/>
          <w:szCs w:val="28"/>
        </w:rPr>
      </w:pPr>
      <w:r w:rsidRPr="002A7AE8">
        <w:rPr>
          <w:rFonts w:cstheme="minorHAnsi"/>
          <w:sz w:val="28"/>
          <w:szCs w:val="28"/>
        </w:rPr>
        <w:t xml:space="preserve">Section 80 provides that the Controller shall give any applicant for a patent or for amendment of a specification an opportunity to be heard before exercising adversely to them any discretion vested in the Controller. The proviso requires the party requesting a hearing to make that request to the Controller at least </w:t>
      </w:r>
      <w:r w:rsidRPr="002A7AE8">
        <w:rPr>
          <w:rFonts w:cstheme="minorHAnsi"/>
          <w:sz w:val="28"/>
          <w:szCs w:val="28"/>
        </w:rPr>
        <w:lastRenderedPageBreak/>
        <w:t>ten days before the expiry of the relevant time-limit. This provision is a codification of natural justice in Controller proceedings.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Part III – Patent agents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Register of patent agents – Section 125</w:t>
      </w:r>
    </w:p>
    <w:p w:rsidR="002A7AE8" w:rsidRPr="002A7AE8" w:rsidRDefault="002A7AE8" w:rsidP="002A7AE8">
      <w:pPr>
        <w:rPr>
          <w:rFonts w:cstheme="minorHAnsi"/>
          <w:sz w:val="28"/>
          <w:szCs w:val="28"/>
        </w:rPr>
      </w:pPr>
      <w:r w:rsidRPr="002A7AE8">
        <w:rPr>
          <w:rFonts w:cstheme="minorHAnsi"/>
          <w:sz w:val="28"/>
          <w:szCs w:val="28"/>
        </w:rPr>
        <w:t>Section 125(1) requires the Controller to maintain a register of patent agents containing names, addresses, and other relevant particulars of all persons qualified to have their names entered. Section 125(2) permits the register to be maintained in electronic form with such safeguards as may be prescribed.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Qualifications for registration – Section 126</w:t>
      </w:r>
    </w:p>
    <w:p w:rsidR="002A7AE8" w:rsidRPr="002A7AE8" w:rsidRDefault="002A7AE8" w:rsidP="002A7AE8">
      <w:pPr>
        <w:rPr>
          <w:rFonts w:cstheme="minorHAnsi"/>
          <w:sz w:val="28"/>
          <w:szCs w:val="28"/>
        </w:rPr>
      </w:pPr>
      <w:r w:rsidRPr="002A7AE8">
        <w:rPr>
          <w:rFonts w:cstheme="minorHAnsi"/>
          <w:sz w:val="28"/>
          <w:szCs w:val="28"/>
        </w:rPr>
        <w:t>Section 126(1) requires that a person claiming registration as a patent agent must: (a) be a citizen of India; (b) have completed the age of 21 years; (c) hold a degree in science, engineering, or technology from a recognised university and have either passed the qualifying examination prescribed for patent agents or functioned as an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examiner or Controller for not less than ten years; and (d) have paid the prescribed fee. Section 126(2) allows persons already registered before the Patents (Amendment) Act, 2005 to continue registration on payment of fees.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Rights of patent agents – Section 127</w:t>
      </w:r>
    </w:p>
    <w:p w:rsidR="002A7AE8" w:rsidRPr="002A7AE8" w:rsidRDefault="002A7AE8" w:rsidP="002A7AE8">
      <w:pPr>
        <w:rPr>
          <w:rFonts w:cstheme="minorHAnsi"/>
          <w:sz w:val="28"/>
          <w:szCs w:val="28"/>
        </w:rPr>
      </w:pPr>
      <w:r w:rsidRPr="002A7AE8">
        <w:rPr>
          <w:rFonts w:cstheme="minorHAnsi"/>
          <w:sz w:val="28"/>
          <w:szCs w:val="28"/>
        </w:rPr>
        <w:t>Section 127 provides that every registered patent agent is entitled: (a) to practise before the Controller; and (b) to prepare all documents, transact all business, and discharge such other functions as may be prescribed in connection with any proceeding before the Controller. Patent agents thus serve as authorised intermediaries between inventors and the Patent Office, assisting in drafting specifications, filing applications, and conducting examination proceedings.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10.</w:t>
      </w:r>
      <w:r w:rsidRPr="002A7AE8">
        <w:rPr>
          <w:rFonts w:cstheme="minorHAnsi"/>
          <w:sz w:val="28"/>
          <w:szCs w:val="28"/>
        </w:rPr>
        <w:tab/>
        <w:t>Restrictions on practice – Section 129</w:t>
      </w:r>
    </w:p>
    <w:p w:rsidR="002A7AE8" w:rsidRPr="002A7AE8" w:rsidRDefault="002A7AE8" w:rsidP="002A7AE8">
      <w:pPr>
        <w:rPr>
          <w:rFonts w:cstheme="minorHAnsi"/>
          <w:sz w:val="28"/>
          <w:szCs w:val="28"/>
        </w:rPr>
      </w:pPr>
      <w:r w:rsidRPr="002A7AE8">
        <w:rPr>
          <w:rFonts w:cstheme="minorHAnsi"/>
          <w:sz w:val="28"/>
          <w:szCs w:val="28"/>
        </w:rPr>
        <w:t>Section 129(1) provides that no person, either alone or in partnership, shall practise, describe, or hold themselves out as a patent agent unless registered or, in the case of a partnership, unless all partners are registered. Section 129(2) prohibits companies or other corporate bodies from practising as patent agents. The Explanation defines 'practise as a patent agent' to include applying for or obtaining patents in India or elsewhere, preparing specifications or other documents, and giving advice as to patent validity or infringement.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11.</w:t>
      </w:r>
      <w:r w:rsidRPr="002A7AE8">
        <w:rPr>
          <w:rFonts w:cstheme="minorHAnsi"/>
          <w:sz w:val="28"/>
          <w:szCs w:val="28"/>
        </w:rPr>
        <w:tab/>
        <w:t>Removal and restoration – Section 130</w:t>
      </w:r>
    </w:p>
    <w:p w:rsidR="002A7AE8" w:rsidRPr="002A7AE8" w:rsidRDefault="002A7AE8" w:rsidP="002A7AE8">
      <w:pPr>
        <w:rPr>
          <w:rFonts w:cstheme="minorHAnsi"/>
          <w:sz w:val="28"/>
          <w:szCs w:val="28"/>
        </w:rPr>
      </w:pPr>
      <w:r w:rsidRPr="002A7AE8">
        <w:rPr>
          <w:rFonts w:cstheme="minorHAnsi"/>
          <w:sz w:val="28"/>
          <w:szCs w:val="28"/>
        </w:rPr>
        <w:t>Section 130(1) empowers the Controller to remove the name of a patent agent from the register if satisfied, after giving an opportunity of being heard, that: (i) the name was entered by error or misrepresentation; or (ii) the agent has been convicted and sentenced to imprisonment or is guilty of professional misconduct rendering them unfit to remain on the register. Section 130(2) allows the Controller to restore the name of any removed agent on application and sufficient cause being shown.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Conclusion: The term of every patent is twenty years from the date of filing under Section 53, subject to payment of annual renewal fees; failure to pay results in lapse, though restoration is available within eighteen months. The Controller of Patents is the Controller General of Patents, Designs and Trade Marks under Section 73, vested with the powers of a civil court under Section 77 for proceedings before the Controller, and with additional administrative and supervisory powers under Sections 78 to 80. Patent agents registered under Section 125 are qualified professionals entitled to practise before the Controller under Section 127, and must satisfy the eligibility requirements under Section 126 and are subject to removal for professional misconduct under Section 130. These three elements — the patent term, the Controller's administration, and professional representation — collectively underpin the orderly and effective functioning of the patent system in India.</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Important case laws – Module 3 (Patents Act, 1970)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Novartis AG v. Union of India</w:t>
      </w:r>
    </w:p>
    <w:p w:rsidR="002A7AE8" w:rsidRPr="002A7AE8" w:rsidRDefault="002A7AE8" w:rsidP="002A7AE8">
      <w:pPr>
        <w:rPr>
          <w:rFonts w:cstheme="minorHAnsi"/>
          <w:sz w:val="28"/>
          <w:szCs w:val="28"/>
        </w:rPr>
      </w:pPr>
      <w:r w:rsidRPr="002A7AE8">
        <w:rPr>
          <w:rFonts w:cstheme="minorHAnsi"/>
          <w:sz w:val="28"/>
          <w:szCs w:val="28"/>
        </w:rPr>
        <w:t>Citation: (2013) 6 SCC 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Novartis AG filed a patent application in India for the beta crystalline form of Imatinib Mesylate, an anti-cancer drug marketed as Gleevec, used in the treatment of chronic myeloid leukaemia. The Chennai Patent Office rejected the application under Section 3(d) of the Patents Act, 1970, on the ground that the beta crystalline form did not demonstrate enhanced therapeutic efficacy over the already known free base form of Imatinib. Novartis challenged the rejection, ultimately before the Supreme Court of India.</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Whether the beta crystalline form of Imatinib Mesylate satisfied the requirements of Section 3(d), which requires that a new form of a known substance must demonstrate enhanced efficacy over the known substance. (ii) Whether the word 'efficacy' in Section 3(d) means 'therapeutic efficacy' or some broader concept of efficacy.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held that the beta crystalline form of Imatinib Mesylate did not demonstrate enhanced therapeutic efficacy over Imatinib in its known free base form. The Court gave a purposive interpretation to Section 3(d), holding that 'efficacy' in the context of pharmaceutical substances must mean 'therapeutic efficacy'. Since improved bio-availability was not demonstrated to translate into</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enhanced therapeutic efficacy, the patent application was rejected. The Court also upheld Section 3(d) as consistent with India's TRIPS obligations.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Significance: This is the leading Indian authority on anti-evergreening. It confirmed that India's higher patentability threshold for pharmaceutical substances prevents minor modifications of known drugs from receiving extended patent protection, thereby safeguarding access to affordable generic medicines.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Biswanath Prasad Radhey Shyam v. Hindustan Metal Industries</w:t>
      </w:r>
    </w:p>
    <w:p w:rsidR="002A7AE8" w:rsidRPr="002A7AE8" w:rsidRDefault="002A7AE8" w:rsidP="002A7AE8">
      <w:pPr>
        <w:rPr>
          <w:rFonts w:cstheme="minorHAnsi"/>
          <w:sz w:val="28"/>
          <w:szCs w:val="28"/>
        </w:rPr>
      </w:pPr>
      <w:r w:rsidRPr="002A7AE8">
        <w:rPr>
          <w:rFonts w:cstheme="minorHAnsi"/>
          <w:sz w:val="28"/>
          <w:szCs w:val="28"/>
        </w:rPr>
        <w:t>Citation: (1979) 2 SCC 511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plaintiff claimed to have invented a new process for making utensils by cold rolling instead of the traditional hot pressing method. The defendant challenged the validity of the patent on grounds of prior art and obviousness, arguing that the cold rolling process was already known to persons skilled in the art.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What are the essential requirements for a valid patent? (ii) What is the test for 'inventive step', and in particular what is the test for obviousness in Indian patent law?</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held the patent invalid on grounds of obviousness. The Court laid down that the essentials of a patentable invention are novelty, utility, and inventiveness. The test for inventive step is whether the invention would have been obvious to a person of ordinary skill in the relevant field, having ordinary knowledge and skill in that field, at the date of the patent. Since the cold rolling process would have been obvious to such a person, no inventive step existed.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Significance: This is the leading Indian authority on the test for inventive step and the criteria for patent validity. The test for obviousness formulated by the Court remains the foundational standard applied in Indian patent litigation.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F. Hoffmann-La Roche Ltd. v. Cipla Ltd.</w:t>
      </w:r>
    </w:p>
    <w:p w:rsidR="002A7AE8" w:rsidRPr="002A7AE8" w:rsidRDefault="002A7AE8" w:rsidP="002A7AE8">
      <w:pPr>
        <w:rPr>
          <w:rFonts w:cstheme="minorHAnsi"/>
          <w:sz w:val="28"/>
          <w:szCs w:val="28"/>
        </w:rPr>
      </w:pPr>
      <w:r w:rsidRPr="002A7AE8">
        <w:rPr>
          <w:rFonts w:cstheme="minorHAnsi"/>
          <w:sz w:val="28"/>
          <w:szCs w:val="28"/>
        </w:rPr>
        <w:t>Citation: 2009 (40) PTC 125 (Del)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Roche held an Indian patent for Erlotinib, an anti-cancer drug sold as Tarceva. Cipla launched a generic version under the name Erlocip at a substantially lower price.</w:t>
      </w:r>
    </w:p>
    <w:p w:rsidR="002A7AE8" w:rsidRPr="002A7AE8" w:rsidRDefault="002A7AE8" w:rsidP="002A7AE8">
      <w:pPr>
        <w:rPr>
          <w:rFonts w:cstheme="minorHAnsi"/>
          <w:sz w:val="28"/>
          <w:szCs w:val="28"/>
        </w:rPr>
      </w:pPr>
      <w:r w:rsidRPr="002A7AE8">
        <w:rPr>
          <w:rFonts w:cstheme="minorHAnsi"/>
          <w:sz w:val="28"/>
          <w:szCs w:val="28"/>
        </w:rPr>
        <w:t>Roche filed a suit for patent infringement before the Delhi High Court and sought an interim injunction restraining Cipla from manufacturing or selling the generic drug pending trial.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Whether an interim injunction should be granted to restrain Cipla's sale of the generic drug. (ii) What is the relevance of public interest in access to affordable life-saving medicines in determining interim relief in a patent infringement case?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Delhi High Court declined to grant the interim injunction. The Court held that the balance of convenience lay against granting the injunction because the generic drug was available at a fraction of the price of the patentee's drug, and denial of access to terminal cancer patients would cause irreparable harm to the public. The Court held that public interest in access to life-saving medicines at affordable prices is a relevant factor in determining interim relief in pharmaceutical patent disputes.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Significance: This is a landmark decision at the intersection of patent rights and public health. It established that courts must weigh the patentee's proprietary rights against the public interest in access to affordable medicines, particularly for life-threatening conditions.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Bayer Corporation v. Union of India</w:t>
      </w:r>
    </w:p>
    <w:p w:rsidR="002A7AE8" w:rsidRPr="002A7AE8" w:rsidRDefault="002A7AE8" w:rsidP="002A7AE8">
      <w:pPr>
        <w:rPr>
          <w:rFonts w:cstheme="minorHAnsi"/>
          <w:sz w:val="28"/>
          <w:szCs w:val="28"/>
        </w:rPr>
      </w:pPr>
      <w:r w:rsidRPr="002A7AE8">
        <w:rPr>
          <w:rFonts w:cstheme="minorHAnsi"/>
          <w:sz w:val="28"/>
          <w:szCs w:val="28"/>
        </w:rPr>
        <w:t>Citation: 2014 (60) PTC 277 (Bom)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Bayer AG held an Indian patent for Sorafenib Tosylate, an anti-cancer drug sold as Nexavar for kidney and liver cancer treatment. In 2012, the Controller of Patents granted India's first compulsory licence to Natco Pharma Ltd. under Section 84 of the Patents Act, 1970, on the grounds that the drug was not available at a reasonably affordable price, the reasonable requirements of the public were not satisfied, and the drug was not being worked in India. Bayer challenged this decision before the High Court.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Whether the conditions under Section 84(1) were satisfied. (ii) Whether importation of a patented product by the patentee constitutes 'working' of the patent in India under Section 84(1)(c).</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Bombay High Court upheld the compulsory licence granted to Natco Pharma. The Court confirmed that all three grounds under Section 84(1) were satisfied. Critically, the Court held that mere importation of the patented product by the patentee does not satisfy the requirement of 'working' of the patent in India; actual manufacture within India's territory is required to constitute working. The Court further confirmed that the monthly cost of treatment (approximately Rs. 2.8 lakh) did not constitute a 'reasonably affordable price'.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Significance: This is India's first judicially confirmed compulsory licence. It established important precedents on the meaning of 'working' of a patent, 'reasonably affordable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price', and the scope of Section 84, affirming the government's commitment to using compulsory licensing to promote access to essential medicines.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Enercon (India) Ltd. v. Aloys Wobben</w:t>
      </w:r>
    </w:p>
    <w:p w:rsidR="002A7AE8" w:rsidRPr="002A7AE8" w:rsidRDefault="002A7AE8" w:rsidP="002A7AE8">
      <w:pPr>
        <w:rPr>
          <w:rFonts w:cstheme="minorHAnsi"/>
          <w:sz w:val="28"/>
          <w:szCs w:val="28"/>
        </w:rPr>
      </w:pPr>
      <w:r w:rsidRPr="002A7AE8">
        <w:rPr>
          <w:rFonts w:cstheme="minorHAnsi"/>
          <w:sz w:val="28"/>
          <w:szCs w:val="28"/>
        </w:rPr>
        <w:t>Citation: (2014) 5 SCC 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This case involved a dispute between Enercon India Ltd. and its German parent company Aloys Wobben concerning ownership and alleged infringement of wind turbine patents. Multiple proceedings were initiated simultaneously before different forums including revocation petitions before the Intellectual Property Appellate Board and infringement suits before the High Court.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Whether parallel proceedings for revocation and infringement could be maintained simultaneously. (ii) What is the relationship between a revocation petition and a counter-claim for revocation in infringement proceedings?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interpreted Sections 64 and 107 and the relevant procedural rules. The Court held that the High Court has jurisdiction over revocation petitions as well as counter-claims for revocation in infringement suits. The Court clarified the circumstances in which parallel proceedings in different forums are permissible and provided guidance on the management of complex multi-forum patent litigation.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Significance: This is an important procedural authority on the management of patent litigation involving simultaneous revocation and infringement proceedings, and on the jurisdiction of the High Court in patent matters following the abolition of the IPAB.</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Telefonaktiebolaget LM Ericsson v. Intex Technologies</w:t>
      </w:r>
    </w:p>
    <w:p w:rsidR="002A7AE8" w:rsidRPr="002A7AE8" w:rsidRDefault="002A7AE8" w:rsidP="002A7AE8">
      <w:pPr>
        <w:rPr>
          <w:rFonts w:cstheme="minorHAnsi"/>
          <w:sz w:val="28"/>
          <w:szCs w:val="28"/>
        </w:rPr>
      </w:pPr>
      <w:r w:rsidRPr="002A7AE8">
        <w:rPr>
          <w:rFonts w:cstheme="minorHAnsi"/>
          <w:sz w:val="28"/>
          <w:szCs w:val="28"/>
        </w:rPr>
        <w:t>Citation: 2015 SCC OnLine Del 1045</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Ericsson, the holder of Standard Essential Patents (SEPs) relating to 2G, 3G, and 4G mobile communication standards, filed a suit for infringement against Intex Technologies, an Indian mobile phone manufacturer. Ericsson alleged that Intex's mobile devices implemented the patented standards without obtaining a licence on Fair, Reasonable, and Non-Discriminatory (FRAND) terms.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Whether an interim injunction should be granted in favour of Ericsson. (ii) What are the applicable principles governing SEPs, FRAND licensing, and the obligations of SEP holders and implementers in India?</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Delhi High Court granted an interim injunction in favour of Ericsson, subject to Intex depositing royalty amounts with the Court. The Court held that SEP holders are entitled to protection of their patent rights, and that an implementer who refuses or fails to negotiate in good faith for a FRAND licence cannot resist an injunction on the ground that the SEP holder is in a dominant position under competition law.</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 xml:space="preserve">Significance: This is a landmark Indian case on the intersection of intellectual property rights and competition law in the context of standardisation. It </w:t>
      </w:r>
      <w:r w:rsidRPr="002A7AE8">
        <w:rPr>
          <w:rFonts w:cstheme="minorHAnsi"/>
          <w:sz w:val="28"/>
          <w:szCs w:val="28"/>
        </w:rPr>
        <w:lastRenderedPageBreak/>
        <w:t>established important principles governing the obligations of SEP holders and potential licensees in the Indian telecommunications sector.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Raj Prakash v. Mangat Ram Chowdhry</w:t>
      </w:r>
    </w:p>
    <w:p w:rsidR="002A7AE8" w:rsidRPr="002A7AE8" w:rsidRDefault="002A7AE8" w:rsidP="002A7AE8">
      <w:pPr>
        <w:rPr>
          <w:rFonts w:cstheme="minorHAnsi"/>
          <w:sz w:val="28"/>
          <w:szCs w:val="28"/>
        </w:rPr>
      </w:pPr>
      <w:r w:rsidRPr="002A7AE8">
        <w:rPr>
          <w:rFonts w:cstheme="minorHAnsi"/>
          <w:sz w:val="28"/>
          <w:szCs w:val="28"/>
        </w:rPr>
        <w:t>Citation: AIR 1978 Del 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The plaintiff alleged that the defendant had infringed the plaintiff's patent for a mechanical device by manufacturing and selling a product which, although not identical in every detail to the patented invention, performed essentially the same function using substantially the same mechanism.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What is the appropriate test for determining patent infringement in India? (ii) How should the 'pith and marrow' doctrine be applied?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Delhi High Court held that the test for infringement is whether the defendant has taken the 'pith and marrow' of the invention, that is, its essential integers, even if the infringing product does not reproduce every detail of the patented invention. The Court articulated the doctrine of colourable variation, holding that infringers cannot escape liability by making superficial alterations that leave the essential character of the invention unchanged.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Significance: This is one of the earliest and most cited Indian patent infringement decisions, establishing the 'pith and marrow' test as the primary standard for assessing infringement in India. It remains a foundational authority on the doctrine of colourable variation.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8.</w:t>
      </w:r>
      <w:r w:rsidRPr="002A7AE8">
        <w:rPr>
          <w:rFonts w:cstheme="minorHAnsi"/>
          <w:sz w:val="28"/>
          <w:szCs w:val="28"/>
        </w:rPr>
        <w:tab/>
        <w:t>Merck Sharp &amp; Dohme Corp. v. Glenmark Pharmaceuticals Ltd.</w:t>
      </w:r>
    </w:p>
    <w:p w:rsidR="002A7AE8" w:rsidRPr="002A7AE8" w:rsidRDefault="002A7AE8" w:rsidP="002A7AE8">
      <w:pPr>
        <w:rPr>
          <w:rFonts w:cstheme="minorHAnsi"/>
          <w:sz w:val="28"/>
          <w:szCs w:val="28"/>
        </w:rPr>
      </w:pPr>
      <w:r w:rsidRPr="002A7AE8">
        <w:rPr>
          <w:rFonts w:cstheme="minorHAnsi"/>
          <w:sz w:val="28"/>
          <w:szCs w:val="28"/>
        </w:rPr>
        <w:t>Citation: 2015 SCC OnLine Del 8222</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Merck held an Indian patent for Sitagliptin Phosphate Monohydrate, an anti-diabetic drug sold as Januvia. Glenmark Pharmaceuticals launched a generic version of the drug prior to expiry of the patent. Merck filed a suit for infringement and sought an interim injunction.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Whether an interim injunction should be granted in favour of Merck having regard to the validity of the patent, balance of convenience, and irreparable harm. (ii) What is the standard for assessing patent validity for purposes of interim relief?</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Delhi High Court granted the interim injunction in favour of Merck. The Court held that Merck had established a prima facie case of infringement and that the balance of convenience favoured the patentee. The Court analysed the requirements of novelty and inventive step in the pharmaceutical context and held that the patent appeared prima facie valid. The Court distinguished the case from Roche v. Cipla on the basis that here the balance of convenience favoured the patentee.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Significance: This case provides important judicial guidance on the standards for granting interim injunctions in pharmaceutical patent disputes and on the assessment of patent validity for interim relief. It illustrates that the outcome in such cases turns on the specific facts, particularly the balance of convenience and the strength of the validity challenge.s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1: Trademark – meaning, types, and introduction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Trademark law is a commercially vital branch of Intellectual Property Rights that protects distinctive signs, symbols, words, logos, shapes, and other marks used by businesses to identify the commercial origin of their goods or services. A trade mark performs an indispensable function in a modern market economy: it acts as a shorthand signal that tells a consumer which enterprise stands behind a product or service, thereby enabling informed purchasing decisions and protecting the goodwill built by honest traders over time. The Trade Marks Act, 1999 (the Act), which came into force on 15 September 2003, is the principal legislation governing trade marks in India. It replaced the Trade and Merchandise Marks Act, 1958, brought India into conformity with the Agreement on Trade-Related Aspects of Intellectual Property Rights (TRIPS), extended protection to service marks, introduced statutory protection for well-known trade marks, and strengthened civil and criminal enforcement mechanisms.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Functions of a trade mark</w:t>
      </w:r>
    </w:p>
    <w:p w:rsidR="002A7AE8" w:rsidRPr="002A7AE8" w:rsidRDefault="002A7AE8" w:rsidP="002A7AE8">
      <w:pPr>
        <w:rPr>
          <w:rFonts w:cstheme="minorHAnsi"/>
          <w:sz w:val="28"/>
          <w:szCs w:val="28"/>
        </w:rPr>
      </w:pPr>
      <w:r w:rsidRPr="002A7AE8">
        <w:rPr>
          <w:rFonts w:cstheme="minorHAnsi"/>
          <w:sz w:val="28"/>
          <w:szCs w:val="28"/>
        </w:rPr>
        <w:t>A trade mark serves several overlapping commercial and legal functions. First, the identification function: the mark identifies the commercial origin of goods or services and distinguishes them from those of competing traders, which is the foundational function from which all other functions derive. Second, the quality guarantee function: consumers associate a mark with a consistent and expected level of quality, even if the law does not strictly guarantee the quality of the underlying goods. Third, the advertising function: marks condense and communicate entire brand identities and reputations into a single recognisable sign, functioning as carriers of the goodwill invested in advertising and promotion. Fourth, the investment function: marks represent significant intangible assets in which businesses invest continuously, and the law protects this investment against misappropriation. Taken together, these functions explain why trade mark law protects both the proprietor's commercial interests and the consumer's interest in not being deceived about the source or quality of goods and services.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3.</w:t>
      </w:r>
      <w:r w:rsidRPr="002A7AE8">
        <w:rPr>
          <w:rFonts w:cstheme="minorHAnsi"/>
          <w:sz w:val="28"/>
          <w:szCs w:val="28"/>
        </w:rPr>
        <w:tab/>
        <w:t>Statutory definition – Section 2(1)(zb)</w:t>
      </w:r>
    </w:p>
    <w:p w:rsidR="002A7AE8" w:rsidRPr="002A7AE8" w:rsidRDefault="002A7AE8" w:rsidP="002A7AE8">
      <w:pPr>
        <w:rPr>
          <w:rFonts w:cstheme="minorHAnsi"/>
          <w:sz w:val="28"/>
          <w:szCs w:val="28"/>
        </w:rPr>
      </w:pPr>
      <w:r w:rsidRPr="002A7AE8">
        <w:rPr>
          <w:rFonts w:cstheme="minorHAnsi"/>
          <w:sz w:val="28"/>
          <w:szCs w:val="28"/>
        </w:rPr>
        <w:t>Section 2(1)(zb) of the Trade Marks Act, 1999 defines 'trade mark' as: "a mark capable of being represented graphically and which is capable of distinguishing the goods or services of one person from those of others and may include shape of goods, their packaging and combination of colours; and— (i) in relation to Chapter XII (other than section 107), a registered trade mark or a mark used in relation to goods or services for the purpose of indicating or so as to indicate a connection in the course of trade between the goods or services, as the case may be, and some person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having the right as proprietor to use the mark; and (ii) in relation to other provisions of this Act, a mark used or proposed to be used in relation to goods or services for the purpose of indicating or so as to indicate a connection in the course of trade between the goods or services, as the case may be, and some person having the right, either as proprietor or by way of permitted user, to use the mark whether with or without any indication of the identity of that person."</w:t>
      </w:r>
    </w:p>
    <w:p w:rsidR="002A7AE8" w:rsidRPr="002A7AE8" w:rsidRDefault="002A7AE8" w:rsidP="002A7AE8">
      <w:pPr>
        <w:rPr>
          <w:rFonts w:cstheme="minorHAnsi"/>
          <w:sz w:val="28"/>
          <w:szCs w:val="28"/>
        </w:rPr>
      </w:pPr>
      <w:r w:rsidRPr="002A7AE8">
        <w:rPr>
          <w:rFonts w:cstheme="minorHAnsi"/>
          <w:sz w:val="28"/>
          <w:szCs w:val="28"/>
        </w:rPr>
        <w:t>The definition under Section 2(1)(m) further clarifies that a 'mark' includes "a device, brand, heading, label, ticket, name, signature, word, letter, numeral, shape of goods, packaging or combination of colours or any combination thereof." This is a wide and inclusive definition that extends beyond traditional visible signs to encompass three-dimensional shapes, colour combinations, and other novel forms of commercial identifier.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Essential requirements for a valid trade mark</w:t>
      </w:r>
    </w:p>
    <w:p w:rsidR="002A7AE8" w:rsidRPr="002A7AE8" w:rsidRDefault="002A7AE8" w:rsidP="002A7AE8">
      <w:pPr>
        <w:rPr>
          <w:rFonts w:cstheme="minorHAnsi"/>
          <w:sz w:val="28"/>
          <w:szCs w:val="28"/>
        </w:rPr>
      </w:pPr>
      <w:r w:rsidRPr="002A7AE8">
        <w:rPr>
          <w:rFonts w:cstheme="minorHAnsi"/>
          <w:sz w:val="28"/>
          <w:szCs w:val="28"/>
        </w:rPr>
        <w:t xml:space="preserve">Two cumulative requirements must be satisfied under Section 2(1)(zb). First, graphical representability: the mark must be capable of being depicted visually with sufficient clarity, precision, and accessibility so that it can be examined by authorities, searched by the public, entered in the Register, and published in the Trade Marks Journal. This requirement ensures certainty and objectivity in the scope of protection. Second, capacity to distinguish: the mark must be capable of distinguishing the goods or services of one trader from those of others. This is the distinctiveness requirement, which lies at the heart of trade </w:t>
      </w:r>
      <w:r w:rsidRPr="002A7AE8">
        <w:rPr>
          <w:rFonts w:cstheme="minorHAnsi"/>
          <w:sz w:val="28"/>
          <w:szCs w:val="28"/>
        </w:rPr>
        <w:lastRenderedPageBreak/>
        <w:t>mark law. A mark that cannot distinguish fails the fundamental test regardless of its visual appeal or novelty.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Distinctiveness – the central concept</w:t>
      </w:r>
    </w:p>
    <w:p w:rsidR="002A7AE8" w:rsidRPr="002A7AE8" w:rsidRDefault="002A7AE8" w:rsidP="002A7AE8">
      <w:pPr>
        <w:rPr>
          <w:rFonts w:cstheme="minorHAnsi"/>
          <w:sz w:val="28"/>
          <w:szCs w:val="28"/>
        </w:rPr>
      </w:pPr>
      <w:r w:rsidRPr="002A7AE8">
        <w:rPr>
          <w:rFonts w:cstheme="minorHAnsi"/>
          <w:sz w:val="28"/>
          <w:szCs w:val="28"/>
        </w:rPr>
        <w:t>Distinctiveness may be inherent or acquired. Inherent distinctiveness refers to the capacity of a mark, by its very nature and without any use, to distinguish one trader's goods from another's. Courts and trademark offices across jurisdictions have organised marks on a spectrum, moving from the most to the least inherently distinctive. Invented or coined words (such as 'Kodak' for cameras or 'Xerox' for copiers) occupy the strongest position because they have no prior meaning and immediately signal a single commercial source. Arbitrary marks are real words applied to unrelated goods (such as 'Apple' for computers), and these too enjoy strong inherent distinctiveness. Suggestive marks require a consumer to exercise imagination to connect the mark with the relevant goods (such as 'Whirlpool' for washing machines), and these are also inherently distinctive. Descriptive marks, which directly describe a quality or characteristic of the goods, lack inherent distinctiveness and are generally refused registration unless they have acquired secondary meaning. Generic terms, which are the common name for the goods themselves, can never be registered.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Acquired distinctiveness — also termed secondary meaning — arises where a mark that was not originally distinctive has, through substantial and continuous use in commerce, come to be associated exclusively with a particular trader in the minds of the relevant public. Section 9(1) proviso and Section 32 of the Act give legal recognition to this principle. The evidence typically required includes duration and extent of use, sales volumes, advertising expenditure, consumer surveys, and judicial or registry decisions recognising the mark.</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Legislative history of trade mark law in India</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Trade Marks Act, 1940</w:t>
      </w:r>
    </w:p>
    <w:p w:rsidR="002A7AE8" w:rsidRPr="002A7AE8" w:rsidRDefault="002A7AE8" w:rsidP="002A7AE8">
      <w:pPr>
        <w:rPr>
          <w:rFonts w:cstheme="minorHAnsi"/>
          <w:sz w:val="28"/>
          <w:szCs w:val="28"/>
        </w:rPr>
      </w:pPr>
      <w:r w:rsidRPr="002A7AE8">
        <w:rPr>
          <w:rFonts w:cstheme="minorHAnsi"/>
          <w:sz w:val="28"/>
          <w:szCs w:val="28"/>
        </w:rPr>
        <w:t xml:space="preserve">India's first statutory framework for trade marks was the Trade Marks Act, 1940, closely modelled on English trade mark legislation of the period. The Act </w:t>
      </w:r>
      <w:r w:rsidRPr="002A7AE8">
        <w:rPr>
          <w:rFonts w:cstheme="minorHAnsi"/>
          <w:sz w:val="28"/>
          <w:szCs w:val="28"/>
        </w:rPr>
        <w:lastRenderedPageBreak/>
        <w:t>established a formal Register of Trade Marks divided into two parts and created a Registrar of Trade Marks to administer the system. It provided statutory remedies for infringement of registered marks and required marks to be distinctive to qualify for registration. However, the 1940 Act did not extend to service marks and lacked provisions dealing with well-known trade marks.</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Trade and Merchandise Marks Act, 1958</w:t>
      </w:r>
    </w:p>
    <w:p w:rsidR="002A7AE8" w:rsidRPr="002A7AE8" w:rsidRDefault="002A7AE8" w:rsidP="002A7AE8">
      <w:pPr>
        <w:rPr>
          <w:rFonts w:cstheme="minorHAnsi"/>
          <w:sz w:val="28"/>
          <w:szCs w:val="28"/>
        </w:rPr>
      </w:pPr>
      <w:r w:rsidRPr="002A7AE8">
        <w:rPr>
          <w:rFonts w:cstheme="minorHAnsi"/>
          <w:sz w:val="28"/>
          <w:szCs w:val="28"/>
        </w:rPr>
        <w:t>The Trade and Merchandise Marks Act, 1958 replaced the 1940 Act and introduced a more detailed framework for the registration, protection, and enforcement of trade marks on goods. The Act set out elaborate provisions on the registration procedure, grounds for refusal, opposition proceedings, rectification, assignment and transmission, licensing through registered users, and criminal liability for falsification of trade marks. Despite its comprehensive scope, the 1958 Act did not provide for service marks — marks associated with services rather than goods — did not address well-known trade marks, and had become outdated in the context of India's growing service economy and international trade obligations.</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Trade Marks Act, 1999</w:t>
      </w:r>
    </w:p>
    <w:p w:rsidR="002A7AE8" w:rsidRPr="002A7AE8" w:rsidRDefault="002A7AE8" w:rsidP="002A7AE8">
      <w:pPr>
        <w:rPr>
          <w:rFonts w:cstheme="minorHAnsi"/>
          <w:sz w:val="28"/>
          <w:szCs w:val="28"/>
        </w:rPr>
      </w:pPr>
      <w:r w:rsidRPr="002A7AE8">
        <w:rPr>
          <w:rFonts w:cstheme="minorHAnsi"/>
          <w:sz w:val="28"/>
          <w:szCs w:val="28"/>
        </w:rPr>
        <w:t>The Trade Marks Act, 1999 repealed and replaced the 1958 Act. Its principal objectives were to bring India's trade mark regime into conformity with TRIPS, to extend protection to service marks, to introduce statutory recognition and enhanced protection for well-known trade marks, to provide for collective marks and certification marks under separate chapters, to introduce the Madrid Protocol framework for international registrations (inserted by amendment in 2013), to modernise the registration procedure including permitting electronic filing and multi-class applications, and to strengthen both civil remedies and criminal enforcement. The Act came into force on 15 September 2003.</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Types of trade marks</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Product mark</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A product mark or goods mark is a trade mark applied to physical goods to identify their commercial origin. It is the most traditional and common form of trade mark. Registration is made in respect of the relevant class or classes of </w:t>
      </w:r>
      <w:r w:rsidRPr="002A7AE8">
        <w:rPr>
          <w:rFonts w:cstheme="minorHAnsi"/>
          <w:sz w:val="28"/>
          <w:szCs w:val="28"/>
        </w:rPr>
        <w:lastRenderedPageBreak/>
        <w:t>goods under the International (Nice) Classification. Examples include 'Amul' for dairy products, 'Bajaj' for electrical appliances, and 'Tata Salt' for common salt. The registered proprietor has the exclusive right under Section 28 to use the mark in connection with the registered goods.</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Service mark</w:t>
      </w:r>
    </w:p>
    <w:p w:rsidR="002A7AE8" w:rsidRPr="002A7AE8" w:rsidRDefault="002A7AE8" w:rsidP="002A7AE8">
      <w:pPr>
        <w:rPr>
          <w:rFonts w:cstheme="minorHAnsi"/>
          <w:sz w:val="28"/>
          <w:szCs w:val="28"/>
        </w:rPr>
      </w:pPr>
      <w:r w:rsidRPr="002A7AE8">
        <w:rPr>
          <w:rFonts w:cstheme="minorHAnsi"/>
          <w:sz w:val="28"/>
          <w:szCs w:val="28"/>
        </w:rPr>
        <w:t>A service mark is a trade mark used to distinguish the services of one trader from those of others. The Trade Marks Act, 1999 extended trade mark protection to service marks for the first time in Indian law, reflecting the TRIPS obligation under Article 15. Service marks are registered under the relevant service classes (Classes 35–45 of the Nice Classification). Examples include marks associated with banking services, telecommunication services, hotel and hospitality services, airlines, and educational institutions. The legal framework governing service marks is substantively identical to that for goods marks.</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Word mark</w:t>
      </w:r>
    </w:p>
    <w:p w:rsidR="002A7AE8" w:rsidRPr="002A7AE8" w:rsidRDefault="002A7AE8" w:rsidP="002A7AE8">
      <w:pPr>
        <w:rPr>
          <w:rFonts w:cstheme="minorHAnsi"/>
          <w:sz w:val="28"/>
          <w:szCs w:val="28"/>
        </w:rPr>
      </w:pPr>
      <w:r w:rsidRPr="002A7AE8">
        <w:rPr>
          <w:rFonts w:cstheme="minorHAnsi"/>
          <w:sz w:val="28"/>
          <w:szCs w:val="28"/>
        </w:rPr>
        <w:t>A word mark consists of one or more words, letters, numerals, or a combination thereof, registered in plain standard text without any specific font, design, or stylisation. A word mark registration provides the broadest form of protection because it covers the word regardless of how it is written, printed, or displayed. Examples include 'Google', 'Reliance', 'Wipro', and 'Infosys'. The word mark registration strategy is generally preferred for core brand names because it prevents competitors from adopting the same or similar words even in different typefaces or graphic presentations.</w:t>
      </w: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Device or logo mark</w:t>
      </w:r>
    </w:p>
    <w:p w:rsidR="002A7AE8" w:rsidRPr="002A7AE8" w:rsidRDefault="002A7AE8" w:rsidP="002A7AE8">
      <w:pPr>
        <w:rPr>
          <w:rFonts w:cstheme="minorHAnsi"/>
          <w:sz w:val="28"/>
          <w:szCs w:val="28"/>
        </w:rPr>
      </w:pPr>
      <w:r w:rsidRPr="002A7AE8">
        <w:rPr>
          <w:rFonts w:cstheme="minorHAnsi"/>
          <w:sz w:val="28"/>
          <w:szCs w:val="28"/>
        </w:rPr>
        <w:t>A device mark or logo mark consists of a graphic design, illustration, symbol, stylised lettering, or visual design, which may or may not incorporate words. It protects the specific visual design as depicted in the registration and covers the design in that particular form. Examples include the Nike 'Swoosh', the Lacoste crocodile, and the Mercedes-Benz three-pointed star. A device mark is narrower than a word mark in scope of protection but may be essential for registering highly distinctive visual logos.</w:t>
      </w:r>
    </w:p>
    <w:p w:rsidR="002A7AE8" w:rsidRPr="002A7AE8" w:rsidRDefault="002A7AE8" w:rsidP="002A7AE8">
      <w:pPr>
        <w:rPr>
          <w:rFonts w:cstheme="minorHAnsi"/>
          <w:sz w:val="28"/>
          <w:szCs w:val="28"/>
        </w:rPr>
      </w:pPr>
      <w:r w:rsidRPr="002A7AE8">
        <w:rPr>
          <w:rFonts w:cstheme="minorHAnsi"/>
          <w:sz w:val="28"/>
          <w:szCs w:val="28"/>
        </w:rPr>
        <w:t>e.</w:t>
      </w:r>
      <w:r w:rsidRPr="002A7AE8">
        <w:rPr>
          <w:rFonts w:cstheme="minorHAnsi"/>
          <w:sz w:val="28"/>
          <w:szCs w:val="28"/>
        </w:rPr>
        <w:tab/>
        <w:t>Composite mark</w:t>
      </w:r>
    </w:p>
    <w:p w:rsidR="002A7AE8" w:rsidRPr="002A7AE8" w:rsidRDefault="002A7AE8" w:rsidP="002A7AE8">
      <w:pPr>
        <w:rPr>
          <w:rFonts w:cstheme="minorHAnsi"/>
          <w:sz w:val="28"/>
          <w:szCs w:val="28"/>
        </w:rPr>
      </w:pPr>
      <w:r w:rsidRPr="002A7AE8">
        <w:rPr>
          <w:rFonts w:cstheme="minorHAnsi"/>
          <w:sz w:val="28"/>
          <w:szCs w:val="28"/>
        </w:rPr>
        <w:t xml:space="preserve">A composite mark combines both word and device elements into a single mark. The registration protects the mark as a composite whole, though individual elements may also be separately registrable. Under Section 17 of the </w:t>
      </w:r>
      <w:r w:rsidRPr="002A7AE8">
        <w:rPr>
          <w:rFonts w:cstheme="minorHAnsi"/>
          <w:sz w:val="28"/>
          <w:szCs w:val="28"/>
        </w:rPr>
        <w:lastRenderedPageBreak/>
        <w:t>Act, when a trade mark consists of several matters, its registration confers upon the proprietor exclusive right to use the trade mark taken as a whole. Where the mark contains matter that is common to the trade or non-distinctive in character, Section 17(2) limits the exclusive right to the mark as a whole and does not confer any exclusive right in the non-distinctive elements individually.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f.</w:t>
      </w:r>
      <w:r w:rsidRPr="002A7AE8">
        <w:rPr>
          <w:rFonts w:cstheme="minorHAnsi"/>
          <w:sz w:val="28"/>
          <w:szCs w:val="28"/>
        </w:rPr>
        <w:tab/>
        <w:t>Collective mark – Section 2(1)(g)</w:t>
      </w:r>
    </w:p>
    <w:p w:rsidR="002A7AE8" w:rsidRPr="002A7AE8" w:rsidRDefault="002A7AE8" w:rsidP="002A7AE8">
      <w:pPr>
        <w:rPr>
          <w:rFonts w:cstheme="minorHAnsi"/>
          <w:sz w:val="28"/>
          <w:szCs w:val="28"/>
        </w:rPr>
      </w:pPr>
      <w:r w:rsidRPr="002A7AE8">
        <w:rPr>
          <w:rFonts w:cstheme="minorHAnsi"/>
          <w:sz w:val="28"/>
          <w:szCs w:val="28"/>
        </w:rPr>
        <w:t>Section 2(1)(g) defines 'collective mark' as "a trade mark distinguishing the goods or services of members of an association of persons (not being a partnership within the meaning of the Indian Partnership Act, 1932) which is the proprietor of the mark from those of others." Chapter VIII (Sections 61–68) of the Act makes special provision for collective marks. The key distinction from an ordinary trade mark is that a collective mark is owned by an association and used by its members — not by the association itself — to indicate that their goods or services satisfy the common standards or originate from the membership of the association. The regulations governing use of the collective mark must be submitted with the application under Section 63. Collective marks may be removed from the register on the additional ground that the proprietor has failed to observe or secure observance of the governing regulations under Section 68.</w:t>
      </w:r>
    </w:p>
    <w:p w:rsidR="002A7AE8" w:rsidRPr="002A7AE8" w:rsidRDefault="002A7AE8" w:rsidP="002A7AE8">
      <w:pPr>
        <w:rPr>
          <w:rFonts w:cstheme="minorHAnsi"/>
          <w:sz w:val="28"/>
          <w:szCs w:val="28"/>
        </w:rPr>
      </w:pPr>
      <w:r w:rsidRPr="002A7AE8">
        <w:rPr>
          <w:rFonts w:cstheme="minorHAnsi"/>
          <w:sz w:val="28"/>
          <w:szCs w:val="28"/>
        </w:rPr>
        <w:t>g.</w:t>
      </w:r>
      <w:r w:rsidRPr="002A7AE8">
        <w:rPr>
          <w:rFonts w:cstheme="minorHAnsi"/>
          <w:sz w:val="28"/>
          <w:szCs w:val="28"/>
        </w:rPr>
        <w:tab/>
        <w:t>Certification trade mark</w:t>
      </w:r>
    </w:p>
    <w:p w:rsidR="002A7AE8" w:rsidRPr="002A7AE8" w:rsidRDefault="002A7AE8" w:rsidP="002A7AE8">
      <w:pPr>
        <w:rPr>
          <w:rFonts w:cstheme="minorHAnsi"/>
          <w:sz w:val="28"/>
          <w:szCs w:val="28"/>
        </w:rPr>
      </w:pPr>
      <w:r w:rsidRPr="002A7AE8">
        <w:rPr>
          <w:rFonts w:cstheme="minorHAnsi"/>
          <w:sz w:val="28"/>
          <w:szCs w:val="28"/>
        </w:rPr>
        <w:t>A certification trade mark is defined under Section 2(1)(e) as a mark capable of distinguishing goods or services certified by the proprietor in respect of origin, material, mode of manufacture, quality, accuracy, or other characteristics from goods or services not so certified. Chapter IX (Sections 69–78) governs certification marks. Critically, Section 70 prohibits registration of a certification trade mark in the name of a person who carries on a trade in goods of the kind certified or services of the kind certified, ensuring independence between the certifying body and the users of the mark. Examples include the ISI mark of the Bureau of Indian Standards, the Agmark for agricultural produce, and the Woolmark. Any person meeting the prescribed standard may use the certification mark, irrespective of their identity or business.</w:t>
      </w:r>
    </w:p>
    <w:p w:rsidR="002A7AE8" w:rsidRPr="002A7AE8" w:rsidRDefault="002A7AE8" w:rsidP="002A7AE8">
      <w:pPr>
        <w:rPr>
          <w:rFonts w:cstheme="minorHAnsi"/>
          <w:sz w:val="28"/>
          <w:szCs w:val="28"/>
        </w:rPr>
      </w:pPr>
      <w:r w:rsidRPr="002A7AE8">
        <w:rPr>
          <w:rFonts w:cstheme="minorHAnsi"/>
          <w:sz w:val="28"/>
          <w:szCs w:val="28"/>
        </w:rPr>
        <w:t>h.</w:t>
      </w:r>
      <w:r w:rsidRPr="002A7AE8">
        <w:rPr>
          <w:rFonts w:cstheme="minorHAnsi"/>
          <w:sz w:val="28"/>
          <w:szCs w:val="28"/>
        </w:rPr>
        <w:tab/>
        <w:t>Shape mark</w:t>
      </w:r>
    </w:p>
    <w:p w:rsidR="002A7AE8" w:rsidRPr="002A7AE8" w:rsidRDefault="002A7AE8" w:rsidP="002A7AE8">
      <w:pPr>
        <w:rPr>
          <w:rFonts w:cstheme="minorHAnsi"/>
          <w:sz w:val="28"/>
          <w:szCs w:val="28"/>
        </w:rPr>
      </w:pPr>
      <w:r w:rsidRPr="002A7AE8">
        <w:rPr>
          <w:rFonts w:cstheme="minorHAnsi"/>
          <w:sz w:val="28"/>
          <w:szCs w:val="28"/>
        </w:rPr>
        <w:lastRenderedPageBreak/>
        <w:t>The definition of 'mark' in Section 2(1)(m) expressly includes the shape of goods and their packaging, making three-dimensional shapes registrable as trade marks provided they are distinctive. However, Section 9(3) imposes three absolute exclusions: the shape of goods that results from the nature of the goods themselves; the shape of goods that is necessary to obtain a technical result; and the shape that gives substantial value to the goods. These exclusions prevent functional shapes and forms that are essential to the product's operation from being monopolised through trade mark registration. The classic example of a registrable shape mark is the contoured Coca-Cola bottle, which has acquired distinctiveness through long use. In India, shape marks have been registered for distinctive packaging such as pharmaceutical blister packs and specialised containers.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Sound mark</w:t>
      </w:r>
    </w:p>
    <w:p w:rsidR="002A7AE8" w:rsidRPr="002A7AE8" w:rsidRDefault="002A7AE8" w:rsidP="002A7AE8">
      <w:pPr>
        <w:rPr>
          <w:rFonts w:cstheme="minorHAnsi"/>
          <w:sz w:val="28"/>
          <w:szCs w:val="28"/>
        </w:rPr>
      </w:pPr>
      <w:r w:rsidRPr="002A7AE8">
        <w:rPr>
          <w:rFonts w:cstheme="minorHAnsi"/>
          <w:sz w:val="28"/>
          <w:szCs w:val="28"/>
        </w:rPr>
        <w:t>A sound mark is a distinctive sound that functions as an identifier of the commercial origin of goods or services. India recognises sound marks under the Trade Marks Act, 1999, provided the sound can be graphically represented — typically through musical notation, a sonogram, or a written description sufficiently precise to enable others to</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reproduce it — and is sufficiently distinctive. Examples include corporate audio signatures used in television commercials, the distinctive chime of a broadcaster's station identification, and musical themes associated with specific brands. The Trade Marks Rules, 2017 allow the filing of an audio file as part of the application for sound marks.</w:t>
      </w:r>
    </w:p>
    <w:p w:rsidR="002A7AE8" w:rsidRPr="002A7AE8" w:rsidRDefault="002A7AE8" w:rsidP="002A7AE8">
      <w:pPr>
        <w:rPr>
          <w:rFonts w:cstheme="minorHAnsi"/>
          <w:sz w:val="28"/>
          <w:szCs w:val="28"/>
        </w:rPr>
      </w:pPr>
      <w:r w:rsidRPr="002A7AE8">
        <w:rPr>
          <w:rFonts w:cstheme="minorHAnsi"/>
          <w:sz w:val="28"/>
          <w:szCs w:val="28"/>
        </w:rPr>
        <w:t>j.</w:t>
      </w:r>
      <w:r w:rsidRPr="002A7AE8">
        <w:rPr>
          <w:rFonts w:cstheme="minorHAnsi"/>
          <w:sz w:val="28"/>
          <w:szCs w:val="28"/>
        </w:rPr>
        <w:tab/>
        <w:t>Colour mark</w:t>
      </w:r>
    </w:p>
    <w:p w:rsidR="002A7AE8" w:rsidRPr="002A7AE8" w:rsidRDefault="002A7AE8" w:rsidP="002A7AE8">
      <w:pPr>
        <w:rPr>
          <w:rFonts w:cstheme="minorHAnsi"/>
          <w:sz w:val="28"/>
          <w:szCs w:val="28"/>
        </w:rPr>
      </w:pPr>
      <w:r w:rsidRPr="002A7AE8">
        <w:rPr>
          <w:rFonts w:cstheme="minorHAnsi"/>
          <w:sz w:val="28"/>
          <w:szCs w:val="28"/>
        </w:rPr>
        <w:t xml:space="preserve">A single colour or combination of colours may be registered as a trade mark where it has acquired distinctiveness as an indicator of commercial origin through long and exclusive use. Section 10(1) of the Act provides that a trade mark may be limited wholly or in part to any combination of colours, and any such limitation shall be taken into account in determining distinctiveness. The threshold for registering colour marks is particularly high because colours are primarily decorative and descriptive, and there is a strong public interest in keeping colours available for general use by all traders. Where a particular colour or colour combination has been used exclusively by one trader and has come to be universally associated with their products, it may acquire the </w:t>
      </w:r>
      <w:r w:rsidRPr="002A7AE8">
        <w:rPr>
          <w:rFonts w:cstheme="minorHAnsi"/>
          <w:sz w:val="28"/>
          <w:szCs w:val="28"/>
        </w:rPr>
        <w:lastRenderedPageBreak/>
        <w:t>necessary secondary meaning for registration. Examples from international practice include Cadbury's purple for chocolate and Louboutin's red sole for high-heeled shoes.</w:t>
      </w:r>
    </w:p>
    <w:p w:rsidR="002A7AE8" w:rsidRPr="002A7AE8" w:rsidRDefault="002A7AE8" w:rsidP="002A7AE8">
      <w:pPr>
        <w:rPr>
          <w:rFonts w:cstheme="minorHAnsi"/>
          <w:sz w:val="28"/>
          <w:szCs w:val="28"/>
        </w:rPr>
      </w:pPr>
      <w:r w:rsidRPr="002A7AE8">
        <w:rPr>
          <w:rFonts w:cstheme="minorHAnsi"/>
          <w:sz w:val="28"/>
          <w:szCs w:val="28"/>
        </w:rPr>
        <w:t>k.</w:t>
      </w:r>
      <w:r w:rsidRPr="002A7AE8">
        <w:rPr>
          <w:rFonts w:cstheme="minorHAnsi"/>
          <w:sz w:val="28"/>
          <w:szCs w:val="28"/>
        </w:rPr>
        <w:tab/>
        <w:t>Well-known trade mark – Section 2(1)(zg)</w:t>
      </w:r>
    </w:p>
    <w:p w:rsidR="002A7AE8" w:rsidRPr="002A7AE8" w:rsidRDefault="002A7AE8" w:rsidP="002A7AE8">
      <w:pPr>
        <w:rPr>
          <w:rFonts w:cstheme="minorHAnsi"/>
          <w:sz w:val="28"/>
          <w:szCs w:val="28"/>
        </w:rPr>
      </w:pPr>
      <w:r w:rsidRPr="002A7AE8">
        <w:rPr>
          <w:rFonts w:cstheme="minorHAnsi"/>
          <w:sz w:val="28"/>
          <w:szCs w:val="28"/>
        </w:rPr>
        <w:t>Section 2(1)(zg) defines 'well-known trade mark' in relation to any goods or services as "a mark which has become so to the substantial segment of the public which uses such goods or receives such services that the use of such mark in relation to other goods or services would be likely to be taken as indicating a connection in the course of trade or rendering of services between those goods or services and a person using the mark in relation to the first-mentioned goods or services." Section 11(6) sets out the factors the Registrar shall take into account when determining whether a mark is well-known, including: knowledge or recognition of the mark in the relevant public; duration, extent, and geographical area of use; duration, extent, and geographical area of promotion; duration and geographical area of registration; and the record of successful enforcement of rights in the mark. Section 11(9) provides that the Registrar shall not require as a condition for determining whether a mark is well-known: that it has been used or registered in India; that an application for registration has been filed in India; that it is well-known in or registered in any jurisdiction other than India; or that it is well-known to the public at large in India.</w:t>
      </w:r>
    </w:p>
    <w:p w:rsidR="002A7AE8" w:rsidRPr="002A7AE8" w:rsidRDefault="002A7AE8" w:rsidP="002A7AE8">
      <w:pPr>
        <w:rPr>
          <w:rFonts w:cstheme="minorHAnsi"/>
          <w:sz w:val="28"/>
          <w:szCs w:val="28"/>
        </w:rPr>
      </w:pPr>
      <w:r w:rsidRPr="002A7AE8">
        <w:rPr>
          <w:rFonts w:cstheme="minorHAnsi"/>
          <w:sz w:val="28"/>
          <w:szCs w:val="28"/>
        </w:rPr>
        <w:t>Well-known marks receive extended cross-class protection under Section 11(2) and Section 29(4).</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Trade mark distinguished from trade name</w:t>
      </w:r>
    </w:p>
    <w:p w:rsidR="002A7AE8" w:rsidRPr="002A7AE8" w:rsidRDefault="002A7AE8" w:rsidP="002A7AE8">
      <w:pPr>
        <w:rPr>
          <w:rFonts w:cstheme="minorHAnsi"/>
          <w:sz w:val="28"/>
          <w:szCs w:val="28"/>
        </w:rPr>
      </w:pPr>
      <w:r w:rsidRPr="002A7AE8">
        <w:rPr>
          <w:rFonts w:cstheme="minorHAnsi"/>
          <w:sz w:val="28"/>
          <w:szCs w:val="28"/>
        </w:rPr>
        <w:t>A trade mark is used on goods or services to indicate commercial origin, whereas a trade name is the name under which a business is carried on. Section 2(1)(zb) covers the trade mark as a source identifier for goods or services, while a trade name may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be registered as a company name under the Companies Act, 2013. The two forms of protection may overlap where a business name is also used as a trade mark. Section 29(5) of the Trade Marks Act, 1999 specifically addresses this overlap by providing that a registered trade mark is infringed where a person </w:t>
      </w:r>
      <w:r w:rsidRPr="002A7AE8">
        <w:rPr>
          <w:rFonts w:cstheme="minorHAnsi"/>
          <w:sz w:val="28"/>
          <w:szCs w:val="28"/>
        </w:rPr>
        <w:lastRenderedPageBreak/>
        <w:t>uses it as their trade name or as part of a trade name dealing in goods or services for which the trade mark is registered. Section 35 preserves the right of a person to use their own name or the name of their place of business bona fide, providing a limited protection against infringement claims.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Register of Trade Marks – Section 6</w:t>
      </w:r>
    </w:p>
    <w:p w:rsidR="002A7AE8" w:rsidRPr="002A7AE8" w:rsidRDefault="002A7AE8" w:rsidP="002A7AE8">
      <w:pPr>
        <w:rPr>
          <w:rFonts w:cstheme="minorHAnsi"/>
          <w:sz w:val="28"/>
          <w:szCs w:val="28"/>
        </w:rPr>
      </w:pPr>
      <w:r w:rsidRPr="002A7AE8">
        <w:rPr>
          <w:rFonts w:cstheme="minorHAnsi"/>
          <w:sz w:val="28"/>
          <w:szCs w:val="28"/>
        </w:rPr>
        <w:t>Section 6(1) requires the Registrar to maintain a record called the Register of Trade Marks at the head office of the Trade Marks Registry, in which are entered all registered trade marks with the names, addresses, and descriptions of proprietors; notifications of assignment and transmission; names, addresses, and descriptions of registered users; conditions, limitations; and other prescribed matters. Section 6(2) permits the register to be maintained wholly or partly in electronic form. Section 6(4) provides that no notice of any trust, express, implied, or constructive, shall be entered in the register. Section 6(5) places the register under the control and management of the Registrar. The Register is divided into relevant classes corresponding to the Nice Classification and is open to public inspection under Section 148.</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Classification of goods and services – Section 7</w:t>
      </w:r>
    </w:p>
    <w:p w:rsidR="002A7AE8" w:rsidRPr="002A7AE8" w:rsidRDefault="002A7AE8" w:rsidP="002A7AE8">
      <w:pPr>
        <w:rPr>
          <w:rFonts w:cstheme="minorHAnsi"/>
          <w:sz w:val="28"/>
          <w:szCs w:val="28"/>
        </w:rPr>
      </w:pPr>
      <w:r w:rsidRPr="002A7AE8">
        <w:rPr>
          <w:rFonts w:cstheme="minorHAnsi"/>
          <w:sz w:val="28"/>
          <w:szCs w:val="28"/>
        </w:rPr>
        <w:t>Section 7(1) requires the Registrar to classify goods and services in accordance with the International Classification of goods and services — commonly known as the Nice Classification — for the purposes of registration. The Nice Classification currently comprises 45 classes: Classes 1 to 34 covering goods, and Classes 35 to 45 covering services. Section 7(2) provides that any question as to the class within which any goods or services fall shall be determined by the Registrar whose decision is final. The classification system is important because trade mark registrations are class-specific, and protection is prima facie limited to the registered class or classes of goods or services, subject to the broader protection available to well-known marks.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 xml:space="preserve">Trade mark law under the Trade Marks Act, 1999 provides a comprehensive legal framework for the protection of commercial identifiers in India. The </w:t>
      </w:r>
      <w:r w:rsidRPr="002A7AE8">
        <w:rPr>
          <w:rFonts w:cstheme="minorHAnsi"/>
          <w:sz w:val="28"/>
          <w:szCs w:val="28"/>
        </w:rPr>
        <w:lastRenderedPageBreak/>
        <w:t>statutory definition of a trade mark under Section 2(1)(zb) encompasses a wide range of signs</w:t>
      </w:r>
    </w:p>
    <w:p w:rsidR="002A7AE8" w:rsidRPr="002A7AE8" w:rsidRDefault="002A7AE8" w:rsidP="002A7AE8">
      <w:pPr>
        <w:rPr>
          <w:rFonts w:cstheme="minorHAnsi"/>
          <w:sz w:val="28"/>
          <w:szCs w:val="28"/>
        </w:rPr>
      </w:pPr>
      <w:r w:rsidRPr="002A7AE8">
        <w:rPr>
          <w:rFonts w:cstheme="minorHAnsi"/>
          <w:sz w:val="28"/>
          <w:szCs w:val="28"/>
        </w:rPr>
        <w:t>— from words and logos to shapes, sounds, and colour combinations — provided they satisfy the twin requirements of graphical representability and capacity to distinguish. The Act's recognition of diverse categories of marks including collective marks, certification marks, shape marks, sound marks, and well-known marks reflects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evolution of commercial practice and the increasing sophistication of brand strategies in the modern economy. The legislative trajectory from the 1940 Act through the 1958 Act to the present 1999 Act charts India's progressive alignment with international intellectual property norms, culminating in full TRIPS compliance. The functions of trade marks — identifying origin, guaranteeing quality, facilitating advertising, and protecting commercial investment — underpin the entire system of trade mark registration and enforcement. Together, these elements ensure that trade mark law serves its fundamental dual purpose: protecting the proprietor's legitimate commercial interest in the goodwill associated with their mark, and safeguarding the consumer's interest in accurate information about the commercial origin of the goods and services they purchase.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2: TRIPS Agreement on trademarks (Articles 15–21)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 and background</w:t>
      </w:r>
    </w:p>
    <w:p w:rsidR="002A7AE8" w:rsidRPr="002A7AE8" w:rsidRDefault="002A7AE8" w:rsidP="002A7AE8">
      <w:pPr>
        <w:rPr>
          <w:rFonts w:cstheme="minorHAnsi"/>
          <w:sz w:val="28"/>
          <w:szCs w:val="28"/>
        </w:rPr>
      </w:pPr>
      <w:r w:rsidRPr="002A7AE8">
        <w:rPr>
          <w:rFonts w:cstheme="minorHAnsi"/>
          <w:sz w:val="28"/>
          <w:szCs w:val="28"/>
        </w:rPr>
        <w:t xml:space="preserve">The Agreement on Trade-Related Aspects of Intellectual Property Rights (TRIPS) forms Annex 1C to the Agreement Establishing the World Trade Organization and came into force on 1 January 1995. It is the most comprehensive multilateral agreement on intellectual property and applies to all 164 WTO member states including India. TRIPS establishes minimum standards of protection that members must provide for all categories of intellectual property, including trade marks. Before TRIPS, the primary international instrument for trade mark protection was the Paris Convention for the Protection of Industrial Property (1883), but the Paris Convention lacked strong enforcement mechanisms and permitted widely varying national </w:t>
      </w:r>
      <w:r w:rsidRPr="002A7AE8">
        <w:rPr>
          <w:rFonts w:cstheme="minorHAnsi"/>
          <w:sz w:val="28"/>
          <w:szCs w:val="28"/>
        </w:rPr>
        <w:lastRenderedPageBreak/>
        <w:t>standards, which resulted in significant inconsistencies in trade mark protection across countries. During the Uruguay Round of negotiations under the General Agreement on Tariffs and Trade (GATT), developed countries — particularly the United States, European Union, and Japan — pushed for binding minimum standards for intellectual property as a condition of broader trade liberalisation. The resulting TRIPS Agreement was a compromise that imposed significantly stronger obligations on all WTO members while providing transitional periods for developing countries and least-developed countries to comply.</w:t>
      </w:r>
    </w:p>
    <w:p w:rsidR="002A7AE8" w:rsidRPr="002A7AE8" w:rsidRDefault="002A7AE8" w:rsidP="002A7AE8">
      <w:pPr>
        <w:rPr>
          <w:rFonts w:cstheme="minorHAnsi"/>
          <w:sz w:val="28"/>
          <w:szCs w:val="28"/>
        </w:rPr>
      </w:pPr>
      <w:r w:rsidRPr="002A7AE8">
        <w:rPr>
          <w:rFonts w:cstheme="minorHAnsi"/>
          <w:sz w:val="28"/>
          <w:szCs w:val="28"/>
        </w:rPr>
        <w:t>India, as a founding member of the WTO, was required to comply with TRIPS. The Trade Marks Act, 1999 was enacted to fulfil this obligation in respect of trade marks, replacing the Trade and Merchandise Marks Act, 1958, which was not TRIPS-compliant in several important respects. The TRIPS provisions on trade marks are found in Part II, Section 2 (Articles 15 to 21). These articles must be read together with the general TRIPS principles including national treatment (Article 3) and most-favoured-nation treatment (Article 4), both of which apply to trade mark protection.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National treatment and MFN – Articles 3 and 4</w:t>
      </w:r>
    </w:p>
    <w:p w:rsidR="002A7AE8" w:rsidRPr="002A7AE8" w:rsidRDefault="002A7AE8" w:rsidP="002A7AE8">
      <w:pPr>
        <w:rPr>
          <w:rFonts w:cstheme="minorHAnsi"/>
          <w:sz w:val="28"/>
          <w:szCs w:val="28"/>
        </w:rPr>
      </w:pPr>
      <w:r w:rsidRPr="002A7AE8">
        <w:rPr>
          <w:rFonts w:cstheme="minorHAnsi"/>
          <w:sz w:val="28"/>
          <w:szCs w:val="28"/>
        </w:rPr>
        <w:t>Article 3 of TRIPS requires that each member accord to nationals of other members treatment no less favourable than it accords to its own nationals with regard to protection of intellectual property, subject to limited exceptions. Article 4 requires that any advantage, favour, privilege, or immunity granted by a member to nationals of any other country must be accorded immediately and unconditionally to the nationals of all other WTO members. These two principles — national treatment and most-favoured-nation treatment — apply to trade mark protection and ensure that foreign trade mark owners are not discriminated against compared with domestic applicants.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Article 15 – Protectable subject matter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Article 15(1) provides: "Any sign, or any combination of signs, capable of distinguishing the goods or services of one undertaking from those of other </w:t>
      </w:r>
      <w:r w:rsidRPr="002A7AE8">
        <w:rPr>
          <w:rFonts w:cstheme="minorHAnsi"/>
          <w:sz w:val="28"/>
          <w:szCs w:val="28"/>
        </w:rPr>
        <w:lastRenderedPageBreak/>
        <w:t>undertakings, shall be capable of constituting a trademark. Such signs, in particular words including personal names, letters, numerals, figurative elements and combinations of colours as well as any combination of such signs, shall be eligible for registration as trademarks. Where signs are not inherently capable of distinguishing the relevant goods or services, Members may make registrability depend on distinctiveness acquired through use. Members may require, as a condition of registration, that signs be visually perceptible."</w:t>
      </w:r>
    </w:p>
    <w:p w:rsidR="002A7AE8" w:rsidRPr="002A7AE8" w:rsidRDefault="002A7AE8" w:rsidP="002A7AE8">
      <w:pPr>
        <w:rPr>
          <w:rFonts w:cstheme="minorHAnsi"/>
          <w:sz w:val="28"/>
          <w:szCs w:val="28"/>
        </w:rPr>
      </w:pPr>
      <w:r w:rsidRPr="002A7AE8">
        <w:rPr>
          <w:rFonts w:cstheme="minorHAnsi"/>
          <w:sz w:val="28"/>
          <w:szCs w:val="28"/>
        </w:rPr>
        <w:t>Article 15(1) is notable for its explicitly non-exhaustive list of eligible signs. The phrase 'in particular' signals that the list of words, names, letters, numerals, figurative elements, and colour combinations is illustrative rather than exhaustive. This is consistent with the evolving recognition in trade mark law of non-conventional marks such as sounds, shapes, and three-dimensional configurations. The option to require visual perceptibility under Article 15(1) allows member states to decline to register purely olfactory or tactile marks where graphical representation is impossible.</w:t>
      </w:r>
    </w:p>
    <w:p w:rsidR="002A7AE8" w:rsidRPr="002A7AE8" w:rsidRDefault="002A7AE8" w:rsidP="002A7AE8">
      <w:pPr>
        <w:rPr>
          <w:rFonts w:cstheme="minorHAnsi"/>
          <w:sz w:val="28"/>
          <w:szCs w:val="28"/>
        </w:rPr>
      </w:pPr>
      <w:r w:rsidRPr="002A7AE8">
        <w:rPr>
          <w:rFonts w:cstheme="minorHAnsi"/>
          <w:sz w:val="28"/>
          <w:szCs w:val="28"/>
        </w:rPr>
        <w:t>Article 15(2) provides that paragraph 1 shall not be understood to prevent a member from denying registration of a trademark on other grounds, provided they do not derogate from the provisions of the Paris Convention. This preserves national discretion to refuse registration on grounds such as public order, morality, or conflict with earlier rights. Article 15(3) requires members to protect service marks. Article 15(4) provides that members may, but shall not be required to, make registrability depend on use. Article 15(5) requires members to publish each trademark either before or promptly after it is registered, and to give a reasonable opportunity for petitions to cancel the registration.</w:t>
      </w:r>
    </w:p>
    <w:p w:rsidR="002A7AE8" w:rsidRPr="002A7AE8" w:rsidRDefault="002A7AE8" w:rsidP="002A7AE8">
      <w:pPr>
        <w:rPr>
          <w:rFonts w:cstheme="minorHAnsi"/>
          <w:sz w:val="28"/>
          <w:szCs w:val="28"/>
        </w:rPr>
      </w:pPr>
      <w:r w:rsidRPr="002A7AE8">
        <w:rPr>
          <w:rFonts w:cstheme="minorHAnsi"/>
          <w:sz w:val="28"/>
          <w:szCs w:val="28"/>
        </w:rPr>
        <w:t>Section 2(1)(zb) of the Trade Marks Act, 1999 gives effect to Article 15 by defining 'trade mark' broadly to include any graphically representable mark capable of distinguishing. Section 9 implements the discretion to refuse registration on various absolute grounds. Section 20 implements the publication requirement, and Section 21 provides the opposition mechanism.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Article 16 – Rights conferred</w:t>
      </w:r>
    </w:p>
    <w:p w:rsidR="002A7AE8" w:rsidRPr="002A7AE8" w:rsidRDefault="002A7AE8" w:rsidP="002A7AE8">
      <w:pPr>
        <w:rPr>
          <w:rFonts w:cstheme="minorHAnsi"/>
          <w:sz w:val="28"/>
          <w:szCs w:val="28"/>
        </w:rPr>
      </w:pPr>
      <w:r w:rsidRPr="002A7AE8">
        <w:rPr>
          <w:rFonts w:cstheme="minorHAnsi"/>
          <w:sz w:val="28"/>
          <w:szCs w:val="28"/>
        </w:rPr>
        <w:t xml:space="preserve">Article 16(1) provides: "The owner of a registered trademark shall have the exclusive right to prevent all third parties not having the owner's consent from </w:t>
      </w:r>
      <w:r w:rsidRPr="002A7AE8">
        <w:rPr>
          <w:rFonts w:cstheme="minorHAnsi"/>
          <w:sz w:val="28"/>
          <w:szCs w:val="28"/>
        </w:rPr>
        <w:lastRenderedPageBreak/>
        <w:t>using in the course of trade identical or similar signs for goods or services which are identical or similar to those in respect of which the trademark is registered where such use would result in a likelihood of confusion. In case of the use of an identical sign for identical goods or services, a likelihood of confusion shall be presumed. The rights described above shall not prejudice any existing prior rights, nor shall they affect the possibility of Members making rights available on the basis of use."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presumption of confusion when an identical mark is used for identical goods or services is a significant provision that simplifies enforcement for trade mark owners in the most egregious cases of infringement. This is given effect in Section 29(3) of the Trade Marks Act, 1999, which provides that where the infringing mark is identical with the registered mark and the goods or services are also identical, the court shall presume likelihood of confusion.</w:t>
      </w:r>
    </w:p>
    <w:p w:rsidR="002A7AE8" w:rsidRPr="002A7AE8" w:rsidRDefault="002A7AE8" w:rsidP="002A7AE8">
      <w:pPr>
        <w:rPr>
          <w:rFonts w:cstheme="minorHAnsi"/>
          <w:sz w:val="28"/>
          <w:szCs w:val="28"/>
        </w:rPr>
      </w:pPr>
      <w:r w:rsidRPr="002A7AE8">
        <w:rPr>
          <w:rFonts w:cstheme="minorHAnsi"/>
          <w:sz w:val="28"/>
          <w:szCs w:val="28"/>
        </w:rPr>
        <w:t>Article 16(2) and (3) address well-known marks. Article 16(2) provides: "Article 6bis of the Paris Convention (1967) shall apply, mutatis mutandis, to services. In determining whether a trademark is well-known, Members shall take account of the knowledge of the trademark in the relevant sector of the public, including knowledge in the Member concerned which has been obtained as a result of the promotion of the trademark." This significantly expands the Paris Convention's Article 6bis protection</w:t>
      </w:r>
    </w:p>
    <w:p w:rsidR="002A7AE8" w:rsidRPr="002A7AE8" w:rsidRDefault="002A7AE8" w:rsidP="002A7AE8">
      <w:pPr>
        <w:rPr>
          <w:rFonts w:cstheme="minorHAnsi"/>
          <w:sz w:val="28"/>
          <w:szCs w:val="28"/>
        </w:rPr>
      </w:pPr>
      <w:r w:rsidRPr="002A7AE8">
        <w:rPr>
          <w:rFonts w:cstheme="minorHAnsi"/>
          <w:sz w:val="28"/>
          <w:szCs w:val="28"/>
        </w:rPr>
        <w:t>— which applied only to well-known marks for goods — to service marks as well. Article 16(3) provides: "Article 6bis of the Paris Convention (1967) shall apply, mutatis mutandis, to goods or services which are not similar to those in respect of which a trademark is registered, provided that use of that trademark in relation to those goods or services would indicate a connection between those goods or services and the owner of the registered trademark and provided that the interests of the owner of the registered trademark are likely to be damaged by such use." This cross-class protection for well-known marks is implemented in India through Section 11(2) and Section 29(4) of the Trade Marks Act, 1999, which prohibit registration and use of marks identical or similar to well-known marks even in dissimilar goods categories.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Article 17 – Exceptions</w:t>
      </w:r>
    </w:p>
    <w:p w:rsidR="002A7AE8" w:rsidRPr="002A7AE8" w:rsidRDefault="002A7AE8" w:rsidP="002A7AE8">
      <w:pPr>
        <w:rPr>
          <w:rFonts w:cstheme="minorHAnsi"/>
          <w:sz w:val="28"/>
          <w:szCs w:val="28"/>
        </w:rPr>
      </w:pPr>
      <w:r w:rsidRPr="002A7AE8">
        <w:rPr>
          <w:rFonts w:cstheme="minorHAnsi"/>
          <w:sz w:val="28"/>
          <w:szCs w:val="28"/>
        </w:rPr>
        <w:lastRenderedPageBreak/>
        <w:t>Article 17 provides: "Members may provide limited exceptions to the rights conferred by a trademark, such as fair use of descriptive terms, provided that such exceptions take account of the legitimate interests of the owner of the trademark and of third parties." The Article sets three cumulative requirements for permissible exceptions: the exception must be limited; it must take account of the legitimate interests of the trade mark owner; and it must take account of the legitimate interests of third parties. The example given — fair use of descriptive terms — reflects the widely recognised principle that terms descriptive of goods or services cannot be monopolised even if they form part of a registered mark.</w:t>
      </w:r>
    </w:p>
    <w:p w:rsidR="002A7AE8" w:rsidRPr="002A7AE8" w:rsidRDefault="002A7AE8" w:rsidP="002A7AE8">
      <w:pPr>
        <w:rPr>
          <w:rFonts w:cstheme="minorHAnsi"/>
          <w:sz w:val="28"/>
          <w:szCs w:val="28"/>
        </w:rPr>
      </w:pPr>
      <w:r w:rsidRPr="002A7AE8">
        <w:rPr>
          <w:rFonts w:cstheme="minorHAnsi"/>
          <w:sz w:val="28"/>
          <w:szCs w:val="28"/>
        </w:rPr>
        <w:t>Section 30 of the Trade Marks Act, 1999 implements Article 17. Section 30(1) provides that the trade mark rights under Section 29 do not entitle the registered proprietor to restrain use of the mark by any person for the purpose of identifying goods or services as those of the proprietor, provided the use is in accordance with honest practices in industrial or commercial matters and is not such as to take unfair advantage of or be detrimental to the distinctive character or repute of the trade mark. Section 30(2) identifies several specific acts that do not constitute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infringement, including use of indications concerning kind, quality, quantity, intended purpose, value, or geographical origin.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Article 18 – Term of protection</w:t>
      </w:r>
    </w:p>
    <w:p w:rsidR="002A7AE8" w:rsidRPr="002A7AE8" w:rsidRDefault="002A7AE8" w:rsidP="002A7AE8">
      <w:pPr>
        <w:rPr>
          <w:rFonts w:cstheme="minorHAnsi"/>
          <w:sz w:val="28"/>
          <w:szCs w:val="28"/>
        </w:rPr>
      </w:pPr>
      <w:r w:rsidRPr="002A7AE8">
        <w:rPr>
          <w:rFonts w:cstheme="minorHAnsi"/>
          <w:sz w:val="28"/>
          <w:szCs w:val="28"/>
        </w:rPr>
        <w:t>Article 18 provides: "Initial registration, and each renewal of registration, of a trademark shall be for a term of no less than seven years. The registration of a trademark shall be renewable indefinitely." This establishes the minimum duration of protection and the principle of indefinite renewability. The requirement of indefinite renewability reflects the economic reality that trade marks, unlike patents, do not represent a time-limited monopoly granted in exchange for disclosure; they represent identification marks that can be maintained as long as the owner continues to use them in commerce and pays renewal fees.</w:t>
      </w:r>
    </w:p>
    <w:p w:rsidR="002A7AE8" w:rsidRPr="002A7AE8" w:rsidRDefault="002A7AE8" w:rsidP="002A7AE8">
      <w:pPr>
        <w:rPr>
          <w:rFonts w:cstheme="minorHAnsi"/>
          <w:sz w:val="28"/>
          <w:szCs w:val="28"/>
        </w:rPr>
      </w:pPr>
      <w:r w:rsidRPr="002A7AE8">
        <w:rPr>
          <w:rFonts w:cstheme="minorHAnsi"/>
          <w:sz w:val="28"/>
          <w:szCs w:val="28"/>
        </w:rPr>
        <w:t xml:space="preserve">Section 25(1) of the Trade Marks Act, 1999 implements Article 18 by providing for an initial period of ten years from the date of registration, with renewal in </w:t>
      </w:r>
      <w:r w:rsidRPr="002A7AE8">
        <w:rPr>
          <w:rFonts w:cstheme="minorHAnsi"/>
          <w:sz w:val="28"/>
          <w:szCs w:val="28"/>
        </w:rPr>
        <w:lastRenderedPageBreak/>
        <w:t>successive ten-year periods under Section 25(2), without any limit on the number of renewals. India's ten-year initial term exceeds the seven-year TRIPS minimum.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Article 19 – Requirement of use</w:t>
      </w:r>
    </w:p>
    <w:p w:rsidR="002A7AE8" w:rsidRPr="002A7AE8" w:rsidRDefault="002A7AE8" w:rsidP="002A7AE8">
      <w:pPr>
        <w:rPr>
          <w:rFonts w:cstheme="minorHAnsi"/>
          <w:sz w:val="28"/>
          <w:szCs w:val="28"/>
        </w:rPr>
      </w:pPr>
      <w:r w:rsidRPr="002A7AE8">
        <w:rPr>
          <w:rFonts w:cstheme="minorHAnsi"/>
          <w:sz w:val="28"/>
          <w:szCs w:val="28"/>
        </w:rPr>
        <w:t>Article 19(1) provides: "If use is required to maintain a registration, the registration may be cancelled only after an uninterrupted period of at least three years of non-use, unless valid reasons based on the existence of obstacles to such use are shown by the trademark owner. Circumstances arising independently of the will of the owner of the trademark which constitute an obstacle to the use of the trademark, such as import restrictions on or other government requirements for goods or services protected by the trademark, shall be recognized as valid reasons for non-use." Article 19(2) provides that use of a trademark by another person, subject to the control of its owner, shall be recognised as use of the trademark for the purpose of maintaining registration.</w:t>
      </w:r>
    </w:p>
    <w:p w:rsidR="002A7AE8" w:rsidRPr="002A7AE8" w:rsidRDefault="002A7AE8" w:rsidP="002A7AE8">
      <w:pPr>
        <w:rPr>
          <w:rFonts w:cstheme="minorHAnsi"/>
          <w:sz w:val="28"/>
          <w:szCs w:val="28"/>
        </w:rPr>
      </w:pPr>
      <w:r w:rsidRPr="002A7AE8">
        <w:rPr>
          <w:rFonts w:cstheme="minorHAnsi"/>
          <w:sz w:val="28"/>
          <w:szCs w:val="28"/>
        </w:rPr>
        <w:t>These provisions are implemented in India through Section 47 of the Trade Marks Act, 1999, which provides grounds for removal of a trade mark from the register on account of non-use. Section 47(1)(b) permits removal where there has been an uninterrupted period of five years and three months from the date of registration during which the mark has not been used. Section 47(3) expressly provides that non-use attributable to special circumstances in the trade, including restrictions on use imposed by any law or regulation, and not to any intention to abandon or not use the mark, shall not ground an application for removal. Section 48(2) provides that use of a mark by a registered user (licensee) is treated as use by the proprietor.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Article 20 – Other requirements</w:t>
      </w:r>
    </w:p>
    <w:p w:rsidR="002A7AE8" w:rsidRPr="002A7AE8" w:rsidRDefault="002A7AE8" w:rsidP="002A7AE8">
      <w:pPr>
        <w:rPr>
          <w:rFonts w:cstheme="minorHAnsi"/>
          <w:sz w:val="28"/>
          <w:szCs w:val="28"/>
        </w:rPr>
      </w:pPr>
      <w:r w:rsidRPr="002A7AE8">
        <w:rPr>
          <w:rFonts w:cstheme="minorHAnsi"/>
          <w:sz w:val="28"/>
          <w:szCs w:val="28"/>
        </w:rPr>
        <w:t>Article 20 provides: "The use of a trademark in the course of trade shall not be unjustifiably encumbered by special requirements, such as use with another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trademark, use in a special form or use in a manner detrimental to its capability to distinguish the goods or services of one undertaking from those of other undertakings. This will not preclude a requirement prescribing the use of </w:t>
      </w:r>
      <w:r w:rsidRPr="002A7AE8">
        <w:rPr>
          <w:rFonts w:cstheme="minorHAnsi"/>
          <w:sz w:val="28"/>
          <w:szCs w:val="28"/>
        </w:rPr>
        <w:lastRenderedPageBreak/>
        <w:t>the trademark identifying the undertaking producing the goods or services along with, but without linking it to, the trademark distinguishing the specific goods or services in question of that undertaking."</w:t>
      </w:r>
    </w:p>
    <w:p w:rsidR="002A7AE8" w:rsidRPr="002A7AE8" w:rsidRDefault="002A7AE8" w:rsidP="002A7AE8">
      <w:pPr>
        <w:rPr>
          <w:rFonts w:cstheme="minorHAnsi"/>
          <w:sz w:val="28"/>
          <w:szCs w:val="28"/>
        </w:rPr>
      </w:pPr>
      <w:r w:rsidRPr="002A7AE8">
        <w:rPr>
          <w:rFonts w:cstheme="minorHAnsi"/>
          <w:sz w:val="28"/>
          <w:szCs w:val="28"/>
        </w:rPr>
        <w:t>This article protects trade mark owners from being required by law to use their marks in conjunction with other marks or in a special form that dilutes the distinctive character of the mark. It is directed primarily at government regulations that might interfere with a trader's exclusive use of their mark. The proviso clarifies that it is permissible to require use of a house mark (identifying the producing enterprise) alongside the product mark, so long as the two are not formally linked in a way that destroys the distinctiveness of either.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Article 21 – Licensing and assignment</w:t>
      </w:r>
    </w:p>
    <w:p w:rsidR="002A7AE8" w:rsidRPr="002A7AE8" w:rsidRDefault="002A7AE8" w:rsidP="002A7AE8">
      <w:pPr>
        <w:rPr>
          <w:rFonts w:cstheme="minorHAnsi"/>
          <w:sz w:val="28"/>
          <w:szCs w:val="28"/>
        </w:rPr>
      </w:pPr>
      <w:r w:rsidRPr="002A7AE8">
        <w:rPr>
          <w:rFonts w:cstheme="minorHAnsi"/>
          <w:sz w:val="28"/>
          <w:szCs w:val="28"/>
        </w:rPr>
        <w:t>Article 21 provides: "Members may determine conditions on the licensing and assignment of trademarks, it being understood that the compulsory licensing of trademarks shall not be permitted and that the owner of a registered trademark shall have the right to assign the trademark with or without the transfer of the business to which the trademark belongs."</w:t>
      </w:r>
    </w:p>
    <w:p w:rsidR="002A7AE8" w:rsidRPr="002A7AE8" w:rsidRDefault="002A7AE8" w:rsidP="002A7AE8">
      <w:pPr>
        <w:rPr>
          <w:rFonts w:cstheme="minorHAnsi"/>
          <w:sz w:val="28"/>
          <w:szCs w:val="28"/>
        </w:rPr>
      </w:pPr>
      <w:r w:rsidRPr="002A7AE8">
        <w:rPr>
          <w:rFonts w:cstheme="minorHAnsi"/>
          <w:sz w:val="28"/>
          <w:szCs w:val="28"/>
        </w:rPr>
        <w:t>The prohibition on compulsory licensing of trade marks in Article 21 is one of the most significant distinctions between trade marks and patents under TRIPS. While TRIPS allows compulsory licensing of patents in specified circumstances (Article 31), no equivalent provision applies to trade marks. The rationale is that a trade mark identifies the commercial origin of goods or services and acts as a guarantee of quality associated with its owner; compulsory licensing would sever this connection and potentially mislead consumers. The right to assign a mark independently of the goodwill of the business — also guaranteed by Article 21 — is a notable departure from the traditional common law rule requiring assignment with goodwill.</w:t>
      </w:r>
    </w:p>
    <w:p w:rsidR="002A7AE8" w:rsidRPr="002A7AE8" w:rsidRDefault="002A7AE8" w:rsidP="002A7AE8">
      <w:pPr>
        <w:rPr>
          <w:rFonts w:cstheme="minorHAnsi"/>
          <w:sz w:val="28"/>
          <w:szCs w:val="28"/>
        </w:rPr>
      </w:pPr>
      <w:r w:rsidRPr="002A7AE8">
        <w:rPr>
          <w:rFonts w:cstheme="minorHAnsi"/>
          <w:sz w:val="28"/>
          <w:szCs w:val="28"/>
        </w:rPr>
        <w:t>Sections 37 to 55 of the Trade Marks Act, 1999 implement Article 21 comprehensively. The prohibition on compulsory licensing is reflected in the absence of any provision for compulsory licensing of trade marks in the Act, which stands in deliberate contrast to the compulsory licensing provisions in the Patents Act, 1970.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10.</w:t>
      </w:r>
      <w:r w:rsidRPr="002A7AE8">
        <w:rPr>
          <w:rFonts w:cstheme="minorHAnsi"/>
          <w:sz w:val="28"/>
          <w:szCs w:val="28"/>
        </w:rPr>
        <w:tab/>
        <w:t>Enforcement obligations under TRIPS – Part III</w:t>
      </w:r>
    </w:p>
    <w:p w:rsidR="002A7AE8" w:rsidRPr="002A7AE8" w:rsidRDefault="002A7AE8" w:rsidP="002A7AE8">
      <w:pPr>
        <w:rPr>
          <w:rFonts w:cstheme="minorHAnsi"/>
          <w:sz w:val="28"/>
          <w:szCs w:val="28"/>
        </w:rPr>
      </w:pPr>
      <w:r w:rsidRPr="002A7AE8">
        <w:rPr>
          <w:rFonts w:cstheme="minorHAnsi"/>
          <w:sz w:val="28"/>
          <w:szCs w:val="28"/>
        </w:rPr>
        <w:t>Part III of TRIPS (Articles 41–61) imposes obligations on members to provide effective enforcement procedures and remedies for trade mark infringement. Article 41 requires procedures that permit effective action against infringement, including expeditious remedies to prevent infringement and deterrent remedies. Articles 44 to 46 require injunctions, damages, and other remedies including disposal or destruction of infringing goods. Article 61 requires members to provide criminal</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procedures and penalties for wilful trademark counterfeiting on a commercial scale, including imprisonment and fines sufficient to provide a deterrent. Sections 103 to 118 of the Trade Marks Act, 1999 implement these criminal enforcement obligations, providing for imprisonment of six months to three years and fines of fifty thousand to two lakh rupees for trade mark falsification and false application.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11.</w:t>
      </w:r>
      <w:r w:rsidRPr="002A7AE8">
        <w:rPr>
          <w:rFonts w:cstheme="minorHAnsi"/>
          <w:sz w:val="28"/>
          <w:szCs w:val="28"/>
        </w:rPr>
        <w:tab/>
        <w:t>TRIPS and developing countries – transitional provisions</w:t>
      </w:r>
    </w:p>
    <w:p w:rsidR="002A7AE8" w:rsidRPr="002A7AE8" w:rsidRDefault="002A7AE8" w:rsidP="002A7AE8">
      <w:pPr>
        <w:rPr>
          <w:rFonts w:cstheme="minorHAnsi"/>
          <w:sz w:val="28"/>
          <w:szCs w:val="28"/>
        </w:rPr>
      </w:pPr>
      <w:r w:rsidRPr="002A7AE8">
        <w:rPr>
          <w:rFonts w:cstheme="minorHAnsi"/>
          <w:sz w:val="28"/>
          <w:szCs w:val="28"/>
        </w:rPr>
        <w:t>Article 65 of TRIPS provided a one-year transitional period (until 1 January 1996) for developed countries to comply, a five-year period (until 1 January 2000) for developing countries, and an eleven-year period (until 1 January 2006) for least-developed countries. India, as a developing country, took advantage of this period. The Trade Marks Act, 1999, enacted in 1999 but coming into force only in 2003, represented India's effort to bring trade mark law into TRIPS compliance before the expiry of the transitional period.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12.</w:t>
      </w:r>
      <w:r w:rsidRPr="002A7AE8">
        <w:rPr>
          <w:rFonts w:cstheme="minorHAnsi"/>
          <w:sz w:val="28"/>
          <w:szCs w:val="28"/>
        </w:rPr>
        <w:tab/>
        <w:t>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Tata Sons Ltd. v. Manu Kosuri &amp; Others</w:t>
      </w:r>
    </w:p>
    <w:p w:rsidR="002A7AE8" w:rsidRPr="002A7AE8" w:rsidRDefault="002A7AE8" w:rsidP="002A7AE8">
      <w:pPr>
        <w:rPr>
          <w:rFonts w:cstheme="minorHAnsi"/>
          <w:sz w:val="28"/>
          <w:szCs w:val="28"/>
        </w:rPr>
      </w:pPr>
      <w:r w:rsidRPr="002A7AE8">
        <w:rPr>
          <w:rFonts w:cstheme="minorHAnsi"/>
          <w:sz w:val="28"/>
          <w:szCs w:val="28"/>
        </w:rPr>
        <w:t>Citation: 2001 PTC 432 (Del)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lastRenderedPageBreak/>
        <w:t>Tata Sons Ltd., the owner of the famous trade mark 'TATA' used across a wide range of goods and services, filed suit against the defendant who had registered several domain names incorporating the word 'TATA'. The defendant's domain names included 'tata.com'-type addresses through which it attempted to trade on the well-known mark's reputation. Tata Sons claimed that the unauthorised registration and use of domain names incorporating its registered mark caused confusion among consumers and damaged its reputation.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a well-known registered trademark is entitled to protection against its unauthorised use in domain names by third parties. (ii) Whether use of a registered trade mark in a domain name constitutes infringement under the Trade Marks Act.</w:t>
      </w:r>
    </w:p>
    <w:p w:rsidR="002A7AE8" w:rsidRPr="002A7AE8" w:rsidRDefault="002A7AE8" w:rsidP="002A7AE8">
      <w:pPr>
        <w:rPr>
          <w:rFonts w:cstheme="minorHAnsi"/>
          <w:sz w:val="28"/>
          <w:szCs w:val="28"/>
        </w:rPr>
      </w:pPr>
      <w:r w:rsidRPr="002A7AE8">
        <w:rPr>
          <w:rFonts w:cstheme="minorHAnsi"/>
          <w:sz w:val="28"/>
          <w:szCs w:val="28"/>
        </w:rPr>
        <w:t>(iii) What remedies are available to the registered proprietor of a well-known mark against domain name misappropriation.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Delhi High Court held that 'TATA' was an indisputably well-known trade mark deserving the highest level of protection available under the law. The unauthorised registration and use of domain names incorporating the mark by the defendant was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likely to cause confusion and deception among internet users, who would assume the domain name to be associated with the Tata group. The Court restrained the defendants from using the trademark or any deceptively similar mark in domain names and granted the injunction sought by the plaintiff.</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N.R. Dongre v. Whirlpool Corporation</w:t>
      </w:r>
    </w:p>
    <w:p w:rsidR="002A7AE8" w:rsidRPr="002A7AE8" w:rsidRDefault="002A7AE8" w:rsidP="002A7AE8">
      <w:pPr>
        <w:rPr>
          <w:rFonts w:cstheme="minorHAnsi"/>
          <w:sz w:val="28"/>
          <w:szCs w:val="28"/>
        </w:rPr>
      </w:pPr>
      <w:r w:rsidRPr="002A7AE8">
        <w:rPr>
          <w:rFonts w:cstheme="minorHAnsi"/>
          <w:sz w:val="28"/>
          <w:szCs w:val="28"/>
        </w:rPr>
        <w:t>Citation: (1996) 5 SCC 714</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Facts:</w:t>
      </w:r>
    </w:p>
    <w:p w:rsidR="002A7AE8" w:rsidRPr="002A7AE8" w:rsidRDefault="002A7AE8" w:rsidP="002A7AE8">
      <w:pPr>
        <w:rPr>
          <w:rFonts w:cstheme="minorHAnsi"/>
          <w:sz w:val="28"/>
          <w:szCs w:val="28"/>
        </w:rPr>
      </w:pPr>
      <w:r w:rsidRPr="002A7AE8">
        <w:rPr>
          <w:rFonts w:cstheme="minorHAnsi"/>
          <w:sz w:val="28"/>
          <w:szCs w:val="28"/>
        </w:rPr>
        <w:t>Whirlpool Corporation, an American manufacturer of household appliances, had used the mark 'WHIRLPOOL' in India through advertisements in internationally circulated magazines and through sales to diplomatic missions and international organisations. The corporation's Indian trade mark registration had lapsed. An Indian company obtained registration of the mark 'Whirlpool' in India and commenced using it. Whirlpool filed a suit for passing off based on the trans-border reputation and goodwill of its internationally known mark.</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Whether an internationally famous trade mark can receive protection in India even without a current domestic registration or substantial commercial use within India.</w:t>
      </w:r>
    </w:p>
    <w:p w:rsidR="002A7AE8" w:rsidRPr="002A7AE8" w:rsidRDefault="002A7AE8" w:rsidP="002A7AE8">
      <w:pPr>
        <w:rPr>
          <w:rFonts w:cstheme="minorHAnsi"/>
          <w:sz w:val="28"/>
          <w:szCs w:val="28"/>
        </w:rPr>
      </w:pPr>
      <w:r w:rsidRPr="002A7AE8">
        <w:rPr>
          <w:rFonts w:cstheme="minorHAnsi"/>
          <w:sz w:val="28"/>
          <w:szCs w:val="28"/>
        </w:rPr>
        <w:t>(ii)</w:t>
      </w:r>
      <w:r w:rsidRPr="002A7AE8">
        <w:rPr>
          <w:rFonts w:cstheme="minorHAnsi"/>
          <w:sz w:val="28"/>
          <w:szCs w:val="28"/>
        </w:rPr>
        <w:tab/>
        <w:t>Whether goodwill and reputation can cross national borders through international advertising and spillover, creating protectable rights in India.</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recognised the doctrine of trans-border reputation in Indian trade mark law, holding that the 'WHIRLPOOL' mark had acquired significant goodwill and reputation in India through international advertising and the knowledge of the relevant public even without formal domestic use or registration. The Court held that such internationally acquired reputation is entitled to legal protection against domestic misappropriation through a passing-off action. The defendant was restrained from using the mark in India.</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 xml:space="preserve">Articles 15 to 21 of the TRIPS Agreement constitute the international minimum standard for trade mark protection that all WTO members, including India, are obligated to meet. Article 15 establishes the breadth of protectable subject matter and mandates protection for service marks. Article 16 grants robust exclusive rights including the presumption of confusion for identical marks and enhanced cross-class protection for well-known marks. Article 17 </w:t>
      </w:r>
      <w:r w:rsidRPr="002A7AE8">
        <w:rPr>
          <w:rFonts w:cstheme="minorHAnsi"/>
          <w:sz w:val="28"/>
          <w:szCs w:val="28"/>
        </w:rPr>
        <w:lastRenderedPageBreak/>
        <w:t>accommodates public interest through narrowly defined limited exceptions. Article 18 ensures perpetual protection through</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indefinite renewal. Article 19 conditions the continuation of protection on genuine commercial use while protecting owners from removal during periods of justified non-use. Article 20 prevents governmental interference with the effective commercial use of marks. Article 21 guarantees the right to assign independently of goodwill and firmly prohibits compulsory licensing of trade marks. India's Trade Marks Act, 1999 comprehensively implements these obligations, and Indian courts have applied these principles in developing a robust trade mark jurisprudence. The cases of Tata Sons v. Manu Kosuri and N.R. Dongre v. Whirlpool Corporation illustrate the courts' willingness to apply TRIPS-consistent principles generously in protection of well-known marks, even in novel contexts such as domain names and trans-border reputation.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3: International registration of trademarks – Chapter IVA of the Trade Marks Act, 1999</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Patent rights, trade mark rights, and other forms of intellectual property are territorial in nature: a registration in one country does not automatically confer rights in any other country. For trade marks, this means that a proprietor wishing to protect their mark internationally must in principle file separate applications in each country of interest. This process is expensive, administratively complex, and time-consuming, particularly for businesses expanding across multiple markets. The Madrid System for the International Registration of Marks provides a mechanism to simplify this process by allowing a trade mark proprietor to seek protection in multiple countries through a single application filed in one language and accompanied by a single set of fees.</w:t>
      </w:r>
    </w:p>
    <w:p w:rsidR="002A7AE8" w:rsidRPr="002A7AE8" w:rsidRDefault="002A7AE8" w:rsidP="002A7AE8">
      <w:pPr>
        <w:rPr>
          <w:rFonts w:cstheme="minorHAnsi"/>
          <w:sz w:val="28"/>
          <w:szCs w:val="28"/>
        </w:rPr>
      </w:pPr>
      <w:r w:rsidRPr="002A7AE8">
        <w:rPr>
          <w:rFonts w:cstheme="minorHAnsi"/>
          <w:sz w:val="28"/>
          <w:szCs w:val="28"/>
        </w:rPr>
        <w:t xml:space="preserve">The Madrid System operates under two related instruments: the Madrid Agreement Concerning the International Registration of Marks of 1891 and the Protocol Relating to the Madrid Agreement of 1989. The Protocol was developed to address limitations of the Agreement and is more widely </w:t>
      </w:r>
      <w:r w:rsidRPr="002A7AE8">
        <w:rPr>
          <w:rFonts w:cstheme="minorHAnsi"/>
          <w:sz w:val="28"/>
          <w:szCs w:val="28"/>
        </w:rPr>
        <w:lastRenderedPageBreak/>
        <w:t>subscribed. India, which was not a party to the original Madrid Agreement, acceded to the Madrid Protocol in July 2013. Chapter IVA of the Trade Marks Act, 1999 — comprising Sections 36A to 36G — was inserted by the Trade Marks (Amendment) Act, 2010 to incorporate the Madrid Protocol framework into Indian domestic law.</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The Madrid System – overview</w:t>
      </w:r>
    </w:p>
    <w:p w:rsidR="002A7AE8" w:rsidRPr="002A7AE8" w:rsidRDefault="002A7AE8" w:rsidP="002A7AE8">
      <w:pPr>
        <w:rPr>
          <w:rFonts w:cstheme="minorHAnsi"/>
          <w:sz w:val="28"/>
          <w:szCs w:val="28"/>
        </w:rPr>
      </w:pPr>
      <w:r w:rsidRPr="002A7AE8">
        <w:rPr>
          <w:rFonts w:cstheme="minorHAnsi"/>
          <w:sz w:val="28"/>
          <w:szCs w:val="28"/>
        </w:rPr>
        <w:t>The Madrid System is administered by the International Bureau of WIPO in Geneva. The system has two stages: an international filing and a national phase. In the international filing stage, a single application is filed with the national or regional trade mark office of the home country (the 'office of origin'). The home office certifies the application and forwards it to WIPO, which records the mark in the International Register and publishes it in the WIPO Gazette of International Marks. WIPO then notifies each designated contracting party. In the national phase, each designated country examines the application under its own domestic law and may refuse protection within a specified period (eighteen months under the Protocol) or grant protection. An international registration, once granted, has the same effect in each designated country as a national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Definitions – Section 36B</w:t>
      </w:r>
    </w:p>
    <w:p w:rsidR="002A7AE8" w:rsidRPr="002A7AE8" w:rsidRDefault="002A7AE8" w:rsidP="002A7AE8">
      <w:pPr>
        <w:rPr>
          <w:rFonts w:cstheme="minorHAnsi"/>
          <w:sz w:val="28"/>
          <w:szCs w:val="28"/>
        </w:rPr>
      </w:pPr>
      <w:r w:rsidRPr="002A7AE8">
        <w:rPr>
          <w:rFonts w:cstheme="minorHAnsi"/>
          <w:sz w:val="28"/>
          <w:szCs w:val="28"/>
        </w:rPr>
        <w:t>Section 36B provides the definitional framework for Chapter IVA. 'Application', in relation to a Contracting State or Organisation, means an application made by a person who is a citizen of, or is domiciled in, or has a real and effective industrial or commercial establishment in that state or organisation. The Explanation to Section 36B(a) clarifies that 'real and effective industrial or commercial establishment' means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any establishment where some bona fide industrial or commercial activity takes place and need not necessarily be the principal place of business. 'Basic application' means an application for registration of a trade mark filed under Section 18 used as the basis for an international application. 'Basic registration' means a registration under Section 23 used as the basis for an international application. 'Common Regulations' means the Regulations implementing the </w:t>
      </w:r>
      <w:r w:rsidRPr="002A7AE8">
        <w:rPr>
          <w:rFonts w:cstheme="minorHAnsi"/>
          <w:sz w:val="28"/>
          <w:szCs w:val="28"/>
        </w:rPr>
        <w:lastRenderedPageBreak/>
        <w:t>Madrid Protocol. 'Contracting Party' means a Contracting State or Contracting Organisation party to the Madrid Protocol. 'International application' means an application for international registration under the Madrid Protocol. 'International Bureau' means the International Bureau of WIPO. 'International registration' means registration of a trade mark in the International Register maintained by WIPO. 'Madrid Protocol' refers to the Protocol Relating to the Madrid Agreement of 1989 as amended.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Trade Marks Registry to handle international applications – Section 36C Section 36C provides: "Notwithstanding anything contained in sub-section (3) of section 5, an international application shall be dealt with by the head office of the Trade Marks Registry or such branch office of the Registry, as the Central Government may, by notification in the Official Gazette, specify." Section 5(3) ordinarily distributes registry functions among territorial offices based on the applicant's principal place of business. Section 36C creates an exception by centralising all international applications at the head office or a notified branch, regardless of the applicant's location. This ensures consistency in handling applications under the Madrid Protocol and facilitates effective coordination with WIPO.</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International application from India – Section 36D</w:t>
      </w:r>
    </w:p>
    <w:p w:rsidR="002A7AE8" w:rsidRPr="002A7AE8" w:rsidRDefault="002A7AE8" w:rsidP="002A7AE8">
      <w:pPr>
        <w:rPr>
          <w:rFonts w:cstheme="minorHAnsi"/>
          <w:sz w:val="28"/>
          <w:szCs w:val="28"/>
        </w:rPr>
      </w:pPr>
      <w:r w:rsidRPr="002A7AE8">
        <w:rPr>
          <w:rFonts w:cstheme="minorHAnsi"/>
          <w:sz w:val="28"/>
          <w:szCs w:val="28"/>
        </w:rPr>
        <w:t>Section 36D(1) provides: "Where an application for the registration of a trade mark has been made under section 18 or a trade mark has been registered under section 23, the applicant or the registered proprietor may make an international application on the form prescribed by the Common Regulations for international registration of that trade mark." Section 36D(2) permits a holder of an international registration to make a subsequent international application for extension of protection to other Contracting Parties. Section 36D(3) requires the application to designate the Contracting Parties where protection is sought.</w:t>
      </w:r>
    </w:p>
    <w:p w:rsidR="002A7AE8" w:rsidRPr="002A7AE8" w:rsidRDefault="002A7AE8" w:rsidP="002A7AE8">
      <w:pPr>
        <w:rPr>
          <w:rFonts w:cstheme="minorHAnsi"/>
          <w:sz w:val="28"/>
          <w:szCs w:val="28"/>
        </w:rPr>
      </w:pPr>
      <w:r w:rsidRPr="002A7AE8">
        <w:rPr>
          <w:rFonts w:cstheme="minorHAnsi"/>
          <w:sz w:val="28"/>
          <w:szCs w:val="28"/>
        </w:rPr>
        <w:t xml:space="preserve">Section 36D(4) requires the Registrar to: certify in the prescribed manner that the particulars in the international application correspond to the particulars in the domestic application or registration at the time of certification; indicate the date and number of that application or registration; and forward the international application to WIPO within the prescribed period. An applicant is </w:t>
      </w:r>
      <w:r w:rsidRPr="002A7AE8">
        <w:rPr>
          <w:rFonts w:cstheme="minorHAnsi"/>
          <w:sz w:val="28"/>
          <w:szCs w:val="28"/>
        </w:rPr>
        <w:lastRenderedPageBreak/>
        <w:t>eligible to file an international application only if they are a citizen of India, domiciled in India, or have a real and effective industrial or commercial establishment in India. The basic mark requirement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means the international application cannot be filed if there is no pending domestic application or existing domestic registration to serve as its foundation.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Five-year dependency and central attack – Section 36D(5)</w:t>
      </w:r>
    </w:p>
    <w:p w:rsidR="002A7AE8" w:rsidRPr="002A7AE8" w:rsidRDefault="002A7AE8" w:rsidP="002A7AE8">
      <w:pPr>
        <w:rPr>
          <w:rFonts w:cstheme="minorHAnsi"/>
          <w:sz w:val="28"/>
          <w:szCs w:val="28"/>
        </w:rPr>
      </w:pPr>
      <w:r w:rsidRPr="002A7AE8">
        <w:rPr>
          <w:rFonts w:cstheme="minorHAnsi"/>
          <w:sz w:val="28"/>
          <w:szCs w:val="28"/>
        </w:rPr>
        <w:t>Section 36D(5) provides that if, before the expiry of five years from the date of international registration, the basic application or basic registration — whether or not transferred to another person — has been withdrawn, cancelled, or expired, or has been finally refused in respect of all or some of the goods or services listed in the international registration, the protection from the international registration ceases to have effect correspondingly. The proviso provides that where an appeal against the decision, or an action for withdrawal or opposition, has been initiated before the expiry of five years, any final decision resulting in withdrawal, cancellation, expiration, or refusal shall be deemed to have taken place before the expiry of five years.</w:t>
      </w:r>
    </w:p>
    <w:p w:rsidR="002A7AE8" w:rsidRPr="002A7AE8" w:rsidRDefault="002A7AE8" w:rsidP="002A7AE8">
      <w:pPr>
        <w:rPr>
          <w:rFonts w:cstheme="minorHAnsi"/>
          <w:sz w:val="28"/>
          <w:szCs w:val="28"/>
        </w:rPr>
      </w:pPr>
      <w:r w:rsidRPr="002A7AE8">
        <w:rPr>
          <w:rFonts w:cstheme="minorHAnsi"/>
          <w:sz w:val="28"/>
          <w:szCs w:val="28"/>
        </w:rPr>
        <w:t>This is the 'central attack' or dependency principle. During the first five years, the international registration is dependent on and linked to the basic domestic mark. An adversary may therefore concentrate their attack on the basic mark rather than pursuing individual cancellation actions in each designated country. If the basic mark fails, all dependent international registrations may be affected simultaneously. This is a significant strategic vulnerability of the Madrid System, particularly for Indian trade mark owners whose domestic applications may face challenges during examination or opposition. After five years, the international registration becomes independent of the basic mark and can survive even if the domestic registration is cancelled.</w:t>
      </w:r>
    </w:p>
    <w:p w:rsidR="002A7AE8" w:rsidRPr="002A7AE8" w:rsidRDefault="002A7AE8" w:rsidP="002A7AE8">
      <w:pPr>
        <w:rPr>
          <w:rFonts w:cstheme="minorHAnsi"/>
          <w:sz w:val="28"/>
          <w:szCs w:val="28"/>
        </w:rPr>
      </w:pPr>
      <w:r w:rsidRPr="002A7AE8">
        <w:rPr>
          <w:rFonts w:cstheme="minorHAnsi"/>
          <w:sz w:val="28"/>
          <w:szCs w:val="28"/>
        </w:rPr>
        <w:t>Section 36D(6) requires the Registrar to transmit to WIPO, during the five-year period, all information about the status of the basic application or registration. Section 36D(7) requires the Registrar to notify WIPO of cancellations to be effected to an international registration in light of the current status of the basic application or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International registrations designating India – Section 36E</w:t>
      </w:r>
    </w:p>
    <w:p w:rsidR="002A7AE8" w:rsidRPr="002A7AE8" w:rsidRDefault="002A7AE8" w:rsidP="002A7AE8">
      <w:pPr>
        <w:rPr>
          <w:rFonts w:cstheme="minorHAnsi"/>
          <w:sz w:val="28"/>
          <w:szCs w:val="28"/>
        </w:rPr>
      </w:pPr>
      <w:r w:rsidRPr="002A7AE8">
        <w:rPr>
          <w:rFonts w:cstheme="minorHAnsi"/>
          <w:sz w:val="28"/>
          <w:szCs w:val="28"/>
        </w:rPr>
        <w:t>Section 36E(1) requires the Registrar to keep a record of the particulars of any international registration where India has been designated, upon receipt of advice from WIPO. Section 36E(2) empowers the Registrar to refuse grant of protection if satisfied, in the circumstances, that the protection should not be granted or should be granted subject to conditions or limitations, with the Registrar to inform WIPO within eighteen months of the date of the advice. The Registrar must give the applicant an opportunity to be heard before refusing. If the Registrar fails to notify WIPO of a refusal within eighteen months, protection is deemed to have been extended.</w:t>
      </w:r>
    </w:p>
    <w:p w:rsidR="002A7AE8" w:rsidRPr="002A7AE8" w:rsidRDefault="002A7AE8" w:rsidP="002A7AE8">
      <w:pPr>
        <w:rPr>
          <w:rFonts w:cstheme="minorHAnsi"/>
          <w:sz w:val="28"/>
          <w:szCs w:val="28"/>
        </w:rPr>
      </w:pPr>
      <w:r w:rsidRPr="002A7AE8">
        <w:rPr>
          <w:rFonts w:cstheme="minorHAnsi"/>
          <w:sz w:val="28"/>
          <w:szCs w:val="28"/>
        </w:rPr>
        <w:t>Section 36E(3) provides that where the Registrar finds no ground to refuse, the international registration must be advertised in the prescribed manner within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prescribed period. Section 36E(4) applies Sections 9 to 21 (relating to absolute and relative grounds of refusal, opposition, and related matters), Section 63 (collective mark regulations), and Section 74 (certification trade mark regulations) mutatis mutandis to international registrations, treating them as if they were domestic applications under Section 18. This means international registrations designating India are subject to the same examination and opposition procedures as domestic applications.</w:t>
      </w:r>
    </w:p>
    <w:p w:rsidR="002A7AE8" w:rsidRPr="002A7AE8" w:rsidRDefault="002A7AE8" w:rsidP="002A7AE8">
      <w:pPr>
        <w:rPr>
          <w:rFonts w:cstheme="minorHAnsi"/>
          <w:sz w:val="28"/>
          <w:szCs w:val="28"/>
        </w:rPr>
      </w:pPr>
      <w:r w:rsidRPr="002A7AE8">
        <w:rPr>
          <w:rFonts w:cstheme="minorHAnsi"/>
          <w:sz w:val="28"/>
          <w:szCs w:val="28"/>
        </w:rPr>
        <w:t>Section 36E(6) provides that where a registered proprietor of an Indian mark makes an international registration of that mark designating India, the international registration from the date of registration replaces the domestic Indian registration without prejudice to any rights acquired under the domestic registration, and the Registrar shall, on the applicant's request, make the necessary entry in the domestic register. Section 36E(7) provides that a holder of an international registration designating India who has not been extended protection shall have the same remedies as a person making an application for domestic registration that has not resulted in registration. Section 36E(8) deals with cessation of effect of the international registration in India where the basic application or registration in the Contracting Party of origin fails within five years.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Effects of international registration – Section 36F</w:t>
      </w:r>
    </w:p>
    <w:p w:rsidR="002A7AE8" w:rsidRPr="002A7AE8" w:rsidRDefault="002A7AE8" w:rsidP="002A7AE8">
      <w:pPr>
        <w:rPr>
          <w:rFonts w:cstheme="minorHAnsi"/>
          <w:sz w:val="28"/>
          <w:szCs w:val="28"/>
        </w:rPr>
      </w:pPr>
      <w:r w:rsidRPr="002A7AE8">
        <w:rPr>
          <w:rFonts w:cstheme="minorHAnsi"/>
          <w:sz w:val="28"/>
          <w:szCs w:val="28"/>
        </w:rPr>
        <w:t>Section 36F(1) provides: "From the date of the international registration of a trade mark where India has been designated or the date of the recording in the register of the International Bureau about the extension of the protection resulting from an international registration of a trade mark to India, the protection of the trade mark in India shall be the same as if the trade mark had been registered in India." This equivalence principle means that an internationally registered mark designating India enjoys the same legal protection as a domestically registered mark including the exclusive right of use under Section 28, the right to bring infringement proceedings under Section 29, and the right to obtain all civil and criminal remedies under the Act. Section 36F(2) provides that the classification of goods and services indicated by the applicant does not bind the Registrar with regard to the determination of the scope of protection.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Duration and renewal – Section 36G</w:t>
      </w:r>
    </w:p>
    <w:p w:rsidR="002A7AE8" w:rsidRPr="002A7AE8" w:rsidRDefault="002A7AE8" w:rsidP="002A7AE8">
      <w:pPr>
        <w:rPr>
          <w:rFonts w:cstheme="minorHAnsi"/>
          <w:sz w:val="28"/>
          <w:szCs w:val="28"/>
        </w:rPr>
      </w:pPr>
      <w:r w:rsidRPr="002A7AE8">
        <w:rPr>
          <w:rFonts w:cstheme="minorHAnsi"/>
          <w:sz w:val="28"/>
          <w:szCs w:val="28"/>
        </w:rPr>
        <w:t>Section 36G(1) provides that international registration at WIPO shall be for a period of ten years and may be renewed for periods of ten years from expiry of each preceding period. Section 36G(2) provides that a grace period of six months, subject to payment of a surcharge as prescribed, shall be allowed for renewal. Renewal is effected by paying the prescribed fees to WIPO, which then records the renewal in the International Register and notifies all designated countries. A single renewal procedure thus maintains protection in all designated countries simultaneously,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avoiding the need to file separate renewals in each jurisdiction. If a holder fails to renew, protection lapses in all designated countries at once, again illustrating the centralised nature of the system.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Procedure for international registration</w:t>
      </w:r>
    </w:p>
    <w:p w:rsidR="002A7AE8" w:rsidRPr="002A7AE8" w:rsidRDefault="002A7AE8" w:rsidP="002A7AE8">
      <w:pPr>
        <w:rPr>
          <w:rFonts w:cstheme="minorHAnsi"/>
          <w:sz w:val="28"/>
          <w:szCs w:val="28"/>
        </w:rPr>
      </w:pPr>
      <w:r w:rsidRPr="002A7AE8">
        <w:rPr>
          <w:rFonts w:cstheme="minorHAnsi"/>
          <w:sz w:val="28"/>
          <w:szCs w:val="28"/>
        </w:rPr>
        <w:t xml:space="preserve">The complete procedure for international registration may be described as follows. First, the applicant files or obtains a trade mark application or </w:t>
      </w:r>
      <w:r w:rsidRPr="002A7AE8">
        <w:rPr>
          <w:rFonts w:cstheme="minorHAnsi"/>
          <w:sz w:val="28"/>
          <w:szCs w:val="28"/>
        </w:rPr>
        <w:lastRenderedPageBreak/>
        <w:t>registration in India (the basic mark). Second, the applicant files an international application through the Trade Marks Registry using the official MM2(E) form prescribed by the Common Regulations, designating the Contracting Parties where protection is sought and paying the prescribed fees comprising a basic fee, supplementary fees per class, and complementary fees per designated party. Third, the Indian Trade Marks Registry certifies the application and forwards it to WIPO within the prescribed period.</w:t>
      </w:r>
    </w:p>
    <w:p w:rsidR="002A7AE8" w:rsidRPr="002A7AE8" w:rsidRDefault="002A7AE8" w:rsidP="002A7AE8">
      <w:pPr>
        <w:rPr>
          <w:rFonts w:cstheme="minorHAnsi"/>
          <w:sz w:val="28"/>
          <w:szCs w:val="28"/>
        </w:rPr>
      </w:pPr>
      <w:r w:rsidRPr="002A7AE8">
        <w:rPr>
          <w:rFonts w:cstheme="minorHAnsi"/>
          <w:sz w:val="28"/>
          <w:szCs w:val="28"/>
        </w:rPr>
        <w:t>Fourth, WIPO examines the application for compliance with formal requirements under the Protocol. Fifth, if the application is formally in order, WIPO records the mark in the International Register, issues a certificate of international registration, and notifies all designated contracting parties. Sixth, each designated country examines the application under its own domestic law and either grants protection or issues a provisional refusal within eighteen months (or longer if the country has made the appropriate declaration). Seventh, if a provisional refusal is issued, the applicant must respond to and overcome the objections before the national office within the prescribed time. Eighth, where no refusal is issued or all refusals are overcome, protection is granted in each designated country with the same effect as a national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11.</w:t>
      </w:r>
      <w:r w:rsidRPr="002A7AE8">
        <w:rPr>
          <w:rFonts w:cstheme="minorHAnsi"/>
          <w:sz w:val="28"/>
          <w:szCs w:val="28"/>
        </w:rPr>
        <w:tab/>
        <w:t>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N.R. Dongre v. Whirlpool Corporation</w:t>
      </w:r>
    </w:p>
    <w:p w:rsidR="002A7AE8" w:rsidRPr="002A7AE8" w:rsidRDefault="002A7AE8" w:rsidP="002A7AE8">
      <w:pPr>
        <w:rPr>
          <w:rFonts w:cstheme="minorHAnsi"/>
          <w:sz w:val="28"/>
          <w:szCs w:val="28"/>
        </w:rPr>
      </w:pPr>
      <w:r w:rsidRPr="002A7AE8">
        <w:rPr>
          <w:rFonts w:cstheme="minorHAnsi"/>
          <w:sz w:val="28"/>
          <w:szCs w:val="28"/>
        </w:rPr>
        <w:t>Citation: 1996 PTC (16) 583 (SC); (1996) 5 SCC 714</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Whirlpool Corporation had acquired international reputation for its 'WHIRLPOOL' trade mark for washing machines and household appliances through long use globally, including in India through international magazine advertising and direct sales to diplomatic missions. Though its formal Indian registration had lapsed, the mark was well-known to the relevant Indian public. An Indian entity registered 'Whirlpool' as a trade mark in India and began using it commercially. Whirlpool filed a passing-off action.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 Whether a trade mark with international reputation acquired through advertising and market presence can receive protection in India in the absence of current domestic registration. (ii) Whether the doctrine of trans-border reputation applies in Indian trade mark law.</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upheld the injunction restraining the defendant. The Court recognised the doctrine of trans-border reputation, holding that in an era of international trade and global media, the goodwill and reputation of a trade mark can cross national boundaries. A mark that has become well-known to the relevant Indian public through international advertising and use is entitled to protection against domestic misappropriation through the action of passing off, even without formal domestic registration or substantial physical commercial use in India.</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Toyota Jidosha Kabushiki Kaisha v. Prius Auto Industries Ltd.</w:t>
      </w:r>
    </w:p>
    <w:p w:rsidR="002A7AE8" w:rsidRPr="002A7AE8" w:rsidRDefault="002A7AE8" w:rsidP="002A7AE8">
      <w:pPr>
        <w:rPr>
          <w:rFonts w:cstheme="minorHAnsi"/>
          <w:sz w:val="28"/>
          <w:szCs w:val="28"/>
        </w:rPr>
      </w:pPr>
      <w:r w:rsidRPr="002A7AE8">
        <w:rPr>
          <w:rFonts w:cstheme="minorHAnsi"/>
          <w:sz w:val="28"/>
          <w:szCs w:val="28"/>
        </w:rPr>
        <w:t>Citation: (2018) 2 SCC 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Toyota sought to enforce its internationally famous 'Prius' trade mark in India against Prius Auto Industries, an Indian manufacturer of automobile parts that had been using the mark 'Prius' in India since 2001, before Toyota's hybrid Prius vehicle achieved significant commercial presence in the Indian market. Toyota's Prius hybrid car was launched in Japan in 1997 and internationally marketed thereafter, but Toyota's sales and advertising penetration in India was limited at the time Prius Auto Industries adopted the mark.</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lastRenderedPageBreak/>
        <w:t>(i) What quantum and quality of evidence is required to establish trans-border reputation in India for purposes of an action for passing off? (ii) Is international fame of a mark, without proof of actual reputation among the relevant Indian public, sufficient to establish protectable goodwill in India?</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held that the doctrine of trans-border reputation, while recognised in Whirlpool, requires the foreign trade mark owner to prove by cogent and satisfactory evidence that the mark was actually known and recognised by the relevant section of the Indian public within India at the time the defendant adopted it. The Court distinguished between the mere international existence of a brand and its actual percolation into the Indian market's consciousness. As Toyota could not establish that the 'Prius' mark was sufficiently known in India at the relevant time —</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particularly given that the vehicle was not sold commercially in India — the Court declined to restrain the defendant.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 xml:space="preserve">Chapter IVA of the Trade Marks Act, 1999 successfully integrates the Madrid Protocol framework into Indian domestic trade mark law, providing Indian trade mark proprietors with an efficient, centralised mechanism to seek trade mark protection across multiple countries through a single application while simultaneously opening the Indian market to international trade mark registrations. The provisions of Sections 36A to 36G address all stages of the international registration process — from the basic mark requirement and filing procedure under Section 36D, through examination and opposition of international registrations designating India under Section 36E, to the equivalence of protection under Section 36F and duration and renewal under Section 36G. The five-year dependency principle under Section 36D(5) is a critical strategic consideration that applicants must manage carefully. The judicial decisions in Whirlpool and Toyota Jidosha v. Prius Auto provide important guidance on the scope and limits of the trans-border reputation doctrine, which is particularly relevant to the international trade mark </w:t>
      </w:r>
      <w:r w:rsidRPr="002A7AE8">
        <w:rPr>
          <w:rFonts w:cstheme="minorHAnsi"/>
          <w:sz w:val="28"/>
          <w:szCs w:val="28"/>
        </w:rPr>
        <w:lastRenderedPageBreak/>
        <w:t>protection context. Taken together, Chapter IVA represents a significant modernisation of Indian trade mark law and a major facilitative measure for Indian businesses expanding internationally and for foreign businesses seeking the Indian market.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4: Registration of trade marks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Registration of a trade mark is the formal legal process by which a mark is entered in the Register of Trade Marks maintained by the Trade Marks Registry, conferring exclusive statutory rights on the proprietor. While trade mark rights may also arise at common law through use — giving rise to the action for passing off — registration significantly strengthens the proprietor's legal position. It creates a presumption of ownership and validity; it enables infringement proceedings to be brought without proving goodwill, misrepresentation, or damage; it serves as constructive notice to the world of the proprietor's rights; and it provides a public record against which subsequent applicants can search. The procedure for registration under the Trade Marks Act, 1999 is primarily governed by Sections 18 to 26, and the effects of registration by Sections 27 to 36.</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Objectives of trade mark registration</w:t>
      </w:r>
    </w:p>
    <w:p w:rsidR="002A7AE8" w:rsidRPr="002A7AE8" w:rsidRDefault="002A7AE8" w:rsidP="002A7AE8">
      <w:pPr>
        <w:rPr>
          <w:rFonts w:cstheme="minorHAnsi"/>
          <w:sz w:val="28"/>
          <w:szCs w:val="28"/>
        </w:rPr>
      </w:pPr>
      <w:r w:rsidRPr="002A7AE8">
        <w:rPr>
          <w:rFonts w:cstheme="minorHAnsi"/>
          <w:sz w:val="28"/>
          <w:szCs w:val="28"/>
        </w:rPr>
        <w:t>Registration serves multiple objectives. It enables the proprietor to identify the source of their goods or services and to protect the goodwill and commercial reputation built up through use of the mark. It provides consumers with a reliable indicator of origin, reducing search costs and protecting them from confusion and deception. It gives competitors notice of the rights that exist, reducing inadvertent adoption of similar marks and thereby reducing disputes. It provides legal certainty about the scope and ownership of rights, facilitating commercial transactions including licensing and assignment. It contributes to market transparency and the maintenance of fair competition.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Application for registration – Section 18</w:t>
      </w:r>
    </w:p>
    <w:p w:rsidR="002A7AE8" w:rsidRPr="002A7AE8" w:rsidRDefault="002A7AE8" w:rsidP="002A7AE8">
      <w:pPr>
        <w:rPr>
          <w:rFonts w:cstheme="minorHAnsi"/>
          <w:sz w:val="28"/>
          <w:szCs w:val="28"/>
        </w:rPr>
      </w:pPr>
      <w:r w:rsidRPr="002A7AE8">
        <w:rPr>
          <w:rFonts w:cstheme="minorHAnsi"/>
          <w:sz w:val="28"/>
          <w:szCs w:val="28"/>
        </w:rPr>
        <w:lastRenderedPageBreak/>
        <w:t>Section 18(1) provides: "Any person claiming to be the proprietor of a trade mark used or proposed to be used by him, who is desirous of registering it, shall apply in writing to the Registrar in the prescribed manner for the registration of his trade mark." The application may be made by any person including an individual, partnership, company, trust, society, or any other legal entity. The expression 'proposed to be used' allows registration before actual use, giving the applicant the benefit of the filing date as the date of registration under Section 23(1).</w:t>
      </w:r>
    </w:p>
    <w:p w:rsidR="002A7AE8" w:rsidRPr="002A7AE8" w:rsidRDefault="002A7AE8" w:rsidP="002A7AE8">
      <w:pPr>
        <w:rPr>
          <w:rFonts w:cstheme="minorHAnsi"/>
          <w:sz w:val="28"/>
          <w:szCs w:val="28"/>
        </w:rPr>
      </w:pPr>
      <w:r w:rsidRPr="002A7AE8">
        <w:rPr>
          <w:rFonts w:cstheme="minorHAnsi"/>
          <w:sz w:val="28"/>
          <w:szCs w:val="28"/>
        </w:rPr>
        <w:t>Section 18(2) permits a single application to be made for registration in multiple classes of goods or services, with the prescribed fee payable in respect of each class. This multi-class application mechanism, introduced by the 1999 Act, reduces administrative burden and cost for proprietors seeking broad protection. Section 18(3) requires that the application be filed in the office of the Trade Marks Registry within whose territorial limits the principal place of business of the applicant in India is situated, or, in the case of joint applicants, the principal place of business of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first-named applicant. Where the applicant or all joint applicants do not carry on business in India, the application is filed in the office within whose jurisdiction the address for service in India is situated. Section 18(4) empowers the Registrar to refuse the application or accept it absolutely or subject to amendments, modifications, conditions, or limitations. Section 18(5) requires the Registrar to record in writing the grounds for any refusal or conditional acceptance and the material used.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Examination of applications</w:t>
      </w:r>
    </w:p>
    <w:p w:rsidR="002A7AE8" w:rsidRPr="002A7AE8" w:rsidRDefault="002A7AE8" w:rsidP="002A7AE8">
      <w:pPr>
        <w:rPr>
          <w:rFonts w:cstheme="minorHAnsi"/>
          <w:sz w:val="28"/>
          <w:szCs w:val="28"/>
        </w:rPr>
      </w:pPr>
      <w:r w:rsidRPr="002A7AE8">
        <w:rPr>
          <w:rFonts w:cstheme="minorHAnsi"/>
          <w:sz w:val="28"/>
          <w:szCs w:val="28"/>
        </w:rPr>
        <w:t xml:space="preserve">Upon filing, the Trade Marks Registry assigns a filing date and application number. The application is then examined by a trade marks examiner to verify compliance with formal requirements and to assess whether grounds for refusal exist under Sections 9 (absolute grounds) or 11 (relative grounds). The examiner conducts a comprehensive search of the Register and of pending applications to identify potentially conflicting marks. If the examiner identifies objections, an Examination Report is issued setting out the grounds of objection in detail. The applicant must respond to the Examination Report within the prescribed period. If the response is considered satisfactory, the </w:t>
      </w:r>
      <w:r w:rsidRPr="002A7AE8">
        <w:rPr>
          <w:rFonts w:cstheme="minorHAnsi"/>
          <w:sz w:val="28"/>
          <w:szCs w:val="28"/>
        </w:rPr>
        <w:lastRenderedPageBreak/>
        <w:t>application proceeds to acceptance. If not, the Registrar may call the applicant for a personal hearing before making a decision. Section 18(5) requires any decision of refusal or conditional acceptance to be supported by written grounds.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Withdrawal of acceptance – Section 19</w:t>
      </w:r>
    </w:p>
    <w:p w:rsidR="002A7AE8" w:rsidRPr="002A7AE8" w:rsidRDefault="002A7AE8" w:rsidP="002A7AE8">
      <w:pPr>
        <w:rPr>
          <w:rFonts w:cstheme="minorHAnsi"/>
          <w:sz w:val="28"/>
          <w:szCs w:val="28"/>
        </w:rPr>
      </w:pPr>
      <w:r w:rsidRPr="002A7AE8">
        <w:rPr>
          <w:rFonts w:cstheme="minorHAnsi"/>
          <w:sz w:val="28"/>
          <w:szCs w:val="28"/>
        </w:rPr>
        <w:t>Section 19 empowers the Registrar to withdraw acceptance of an application even after acceptance if satisfied that: (a) the application has been accepted in error; or (b) in the circumstances of the case the trade mark should not be registered, or should be registered subject to conditions or limitations different from those in the acceptance. Before withdrawing, the Registrar must give the applicant an opportunity to be heard if the applicant so desires. This provision recognises that errors in acceptance may come to light after the initial decision, particularly where new prior rights or information emerge.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Advertisement of application – Section 20</w:t>
      </w:r>
    </w:p>
    <w:p w:rsidR="002A7AE8" w:rsidRPr="002A7AE8" w:rsidRDefault="002A7AE8" w:rsidP="002A7AE8">
      <w:pPr>
        <w:rPr>
          <w:rFonts w:cstheme="minorHAnsi"/>
          <w:sz w:val="28"/>
          <w:szCs w:val="28"/>
        </w:rPr>
      </w:pPr>
      <w:r w:rsidRPr="002A7AE8">
        <w:rPr>
          <w:rFonts w:cstheme="minorHAnsi"/>
          <w:sz w:val="28"/>
          <w:szCs w:val="28"/>
        </w:rPr>
        <w:t>Section 20(1) provides: "When an application for registration of a trade mark has been accepted, whether absolutely or subject to conditions or limitations, the Registrar shall, as soon as may be after acceptance, cause the application as accepted together with the conditions or limitations, if any, subject to which it has been accepted, to be advertised in the prescribed manner." The advertisement is published in the Trade Marks Journal — an official publication of the Registry — and serves the critical purpose of giving public notice of the pending registration so that any person with a competing interest may oppose it. The proviso permits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Registrar to direct advertisement before acceptance where the application relates to marks under Section 9(1) and Section 11(1) and (2), or in exceptional circumstances. Section 20(2) provides that if, after advertisement, an error in the application has</w:t>
      </w:r>
    </w:p>
    <w:p w:rsidR="002A7AE8" w:rsidRPr="002A7AE8" w:rsidRDefault="002A7AE8" w:rsidP="002A7AE8">
      <w:pPr>
        <w:rPr>
          <w:rFonts w:cstheme="minorHAnsi"/>
          <w:sz w:val="28"/>
          <w:szCs w:val="28"/>
        </w:rPr>
      </w:pPr>
      <w:r w:rsidRPr="002A7AE8">
        <w:rPr>
          <w:rFonts w:cstheme="minorHAnsi"/>
          <w:sz w:val="28"/>
          <w:szCs w:val="28"/>
        </w:rPr>
        <w:t>been corrected or an amendment has been permitted under Section 22, the Registrar</w:t>
      </w:r>
    </w:p>
    <w:p w:rsidR="002A7AE8" w:rsidRPr="002A7AE8" w:rsidRDefault="002A7AE8" w:rsidP="002A7AE8">
      <w:pPr>
        <w:rPr>
          <w:rFonts w:cstheme="minorHAnsi"/>
          <w:sz w:val="28"/>
          <w:szCs w:val="28"/>
        </w:rPr>
      </w:pPr>
      <w:r w:rsidRPr="002A7AE8">
        <w:rPr>
          <w:rFonts w:cstheme="minorHAnsi"/>
          <w:sz w:val="28"/>
          <w:szCs w:val="28"/>
        </w:rPr>
        <w:lastRenderedPageBreak/>
        <w:t>may at his discretion cause the application to be re-advertised or may instead notify in the prescribed manner the correction or amendment made. Re-advertisement restarts the opposition period.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Opposition proceedings – Section 21</w:t>
      </w:r>
    </w:p>
    <w:p w:rsidR="002A7AE8" w:rsidRPr="002A7AE8" w:rsidRDefault="002A7AE8" w:rsidP="002A7AE8">
      <w:pPr>
        <w:rPr>
          <w:rFonts w:cstheme="minorHAnsi"/>
          <w:sz w:val="28"/>
          <w:szCs w:val="28"/>
        </w:rPr>
      </w:pPr>
      <w:r w:rsidRPr="002A7AE8">
        <w:rPr>
          <w:rFonts w:cstheme="minorHAnsi"/>
          <w:sz w:val="28"/>
          <w:szCs w:val="28"/>
        </w:rPr>
        <w:t>Section 21(1) provides: "Any person may, within four months from the date of the advertisement or re-advertisement of an application for registration, give notice in writing in the prescribed manner and on payment of such fee as may be prescribed, to the Registrar, of opposition to the registration." The right to oppose is available to any person, not merely those with a prior registered mark; an opponent may rely on an unregistered mark, copyright, or any other ground.</w:t>
      </w:r>
    </w:p>
    <w:p w:rsidR="002A7AE8" w:rsidRPr="002A7AE8" w:rsidRDefault="002A7AE8" w:rsidP="002A7AE8">
      <w:pPr>
        <w:rPr>
          <w:rFonts w:cstheme="minorHAnsi"/>
          <w:sz w:val="28"/>
          <w:szCs w:val="28"/>
        </w:rPr>
      </w:pPr>
      <w:r w:rsidRPr="002A7AE8">
        <w:rPr>
          <w:rFonts w:cstheme="minorHAnsi"/>
          <w:sz w:val="28"/>
          <w:szCs w:val="28"/>
        </w:rPr>
        <w:t>Section 21(2) requires the Registrar to serve a copy of the notice of opposition on the applicant, who must file a counter-statement within two months from receipt.</w:t>
      </w:r>
    </w:p>
    <w:p w:rsidR="002A7AE8" w:rsidRPr="002A7AE8" w:rsidRDefault="002A7AE8" w:rsidP="002A7AE8">
      <w:pPr>
        <w:rPr>
          <w:rFonts w:cstheme="minorHAnsi"/>
          <w:sz w:val="28"/>
          <w:szCs w:val="28"/>
        </w:rPr>
      </w:pPr>
      <w:r w:rsidRPr="002A7AE8">
        <w:rPr>
          <w:rFonts w:cstheme="minorHAnsi"/>
          <w:sz w:val="28"/>
          <w:szCs w:val="28"/>
        </w:rPr>
        <w:t>Failure to file a counter-statement results in the application being deemed abandoned. Section 21(3) requires the Registrar to serve the counter-statement on the opponent. Section 21(4) provides that both parties may submit evidence within the prescribed time and manner, and the Registrar shall give an opportunity to both parties to be heard. Section 21(5) empowers the Registrar, after hearing the parties and considering all evidence, to decide whether to allow the registration subject to conditions or limitations, to allow it unconditionally, or to refuse it. The Registrar may take into account grounds not raised by the opponent. Section 21(6) allows the Registrar to require security for costs from parties not resident in India.</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Correction and amendment – Section 22</w:t>
      </w:r>
    </w:p>
    <w:p w:rsidR="002A7AE8" w:rsidRPr="002A7AE8" w:rsidRDefault="002A7AE8" w:rsidP="002A7AE8">
      <w:pPr>
        <w:rPr>
          <w:rFonts w:cstheme="minorHAnsi"/>
          <w:sz w:val="28"/>
          <w:szCs w:val="28"/>
        </w:rPr>
      </w:pPr>
      <w:r w:rsidRPr="002A7AE8">
        <w:rPr>
          <w:rFonts w:cstheme="minorHAnsi"/>
          <w:sz w:val="28"/>
          <w:szCs w:val="28"/>
        </w:rPr>
        <w:t>Section 22 empowers the Registrar, on such terms as he thinks just, at any time before or after acceptance, to permit the correction of any error in or in connection with an application, or to permit an amendment. The proviso provides that if an amendment to a single (multi-class) application involves dividing it into two or more separate applications, the date of the original application shall be treated as the date of each divided application.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9.</w:t>
      </w:r>
      <w:r w:rsidRPr="002A7AE8">
        <w:rPr>
          <w:rFonts w:cstheme="minorHAnsi"/>
          <w:sz w:val="28"/>
          <w:szCs w:val="28"/>
        </w:rPr>
        <w:tab/>
        <w:t>Registration – Section 23</w:t>
      </w:r>
    </w:p>
    <w:p w:rsidR="002A7AE8" w:rsidRPr="002A7AE8" w:rsidRDefault="002A7AE8" w:rsidP="002A7AE8">
      <w:pPr>
        <w:rPr>
          <w:rFonts w:cstheme="minorHAnsi"/>
          <w:sz w:val="28"/>
          <w:szCs w:val="28"/>
        </w:rPr>
      </w:pPr>
      <w:r w:rsidRPr="002A7AE8">
        <w:rPr>
          <w:rFonts w:cstheme="minorHAnsi"/>
          <w:sz w:val="28"/>
          <w:szCs w:val="28"/>
        </w:rPr>
        <w:t>Section 23(1) provides: "Subject to the provisions of section 19, when an application for registration of a trade mark has been accepted and either— (a) the application has not been opposed and the time for notice of opposition has expired; or (b) the application has been opposed and the opposition has been decided in favour of the applicant, the Registrar shall, unless the Central Government otherwise directs,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register the said trade mark within eighteen months of the filing of the application and the trade mark when registered shall be registered as of the date of the making of the said application and that date shall, subject to the provisions of section 154, be deemed to be the date of registration."</w:t>
      </w:r>
    </w:p>
    <w:p w:rsidR="002A7AE8" w:rsidRPr="002A7AE8" w:rsidRDefault="002A7AE8" w:rsidP="002A7AE8">
      <w:pPr>
        <w:rPr>
          <w:rFonts w:cstheme="minorHAnsi"/>
          <w:sz w:val="28"/>
          <w:szCs w:val="28"/>
        </w:rPr>
      </w:pPr>
      <w:r w:rsidRPr="002A7AE8">
        <w:rPr>
          <w:rFonts w:cstheme="minorHAnsi"/>
          <w:sz w:val="28"/>
          <w:szCs w:val="28"/>
        </w:rPr>
        <w:t>The backdating of the registration to the filing date is of significant practical importance. It means that the proprietor's exclusive rights are deemed to have arisen from the date of filing, not from the date of actual registration. This protects the proprietor against third parties who may have begun using a similar mark after the filing date but before registration. Section 23(2) requires the Registrar to issue a certificate of registration sealed with the seal of the Trade Marks Registry. Section 23(3) allows the Registrar to treat an application as abandoned if registration is not completed within twelve months of filing due to the applicant's default, after giving notice.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Duration and renewal – Section 25</w:t>
      </w:r>
    </w:p>
    <w:p w:rsidR="002A7AE8" w:rsidRPr="002A7AE8" w:rsidRDefault="002A7AE8" w:rsidP="002A7AE8">
      <w:pPr>
        <w:rPr>
          <w:rFonts w:cstheme="minorHAnsi"/>
          <w:sz w:val="28"/>
          <w:szCs w:val="28"/>
        </w:rPr>
      </w:pPr>
      <w:r w:rsidRPr="002A7AE8">
        <w:rPr>
          <w:rFonts w:cstheme="minorHAnsi"/>
          <w:sz w:val="28"/>
          <w:szCs w:val="28"/>
        </w:rPr>
        <w:t>Section 25(1) provides that registration shall be for an initial period of ten years from the date of registration, renewable under Section 25(2) for successive ten-year periods on application by the registered proprietor, payment of the prescribed renewal fee, and compliance with any prescribed conditions. Section 25(3) requires the Registrar to send notice to the registered proprietor before expiration, setting out the conditions and fees for renewal. If the conditions are not met, the Registrar may remove the mark from the register, subject to the proviso that the mark shall not be removed if an application and fee with surcharge are paid within six months of expiry.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11.</w:t>
      </w:r>
      <w:r w:rsidRPr="002A7AE8">
        <w:rPr>
          <w:rFonts w:cstheme="minorHAnsi"/>
          <w:sz w:val="28"/>
          <w:szCs w:val="28"/>
        </w:rPr>
        <w:tab/>
        <w:t>Absolute grounds for refusal – Section 9</w:t>
      </w:r>
    </w:p>
    <w:p w:rsidR="002A7AE8" w:rsidRPr="002A7AE8" w:rsidRDefault="002A7AE8" w:rsidP="002A7AE8">
      <w:pPr>
        <w:rPr>
          <w:rFonts w:cstheme="minorHAnsi"/>
          <w:sz w:val="28"/>
          <w:szCs w:val="28"/>
        </w:rPr>
      </w:pPr>
      <w:r w:rsidRPr="002A7AE8">
        <w:rPr>
          <w:rFonts w:cstheme="minorHAnsi"/>
          <w:sz w:val="28"/>
          <w:szCs w:val="28"/>
        </w:rPr>
        <w:lastRenderedPageBreak/>
        <w:t>Absolute grounds for refusal relate to the intrinsic characteristics of the mark itself, irrespective of any conflicting earlier rights. Section 9(1) provides that trade marks shall not be registered if they: (a) are devoid of any distinctive character — that is, not capable of distinguishing the goods or services of one person from those of another; (b) consist exclusively of marks or indications which may serve in trade to designate the kind, quality, quantity, intended purpose, values, geographical origin, or time of production of goods or rendering of services, or other characteristics; or (c) consist exclusively of marks or indications which have become customary in the current language or in the bona fide and established practices of the trade. The proviso to Section 9(1) permits registration despite the above if before the date of application the mark has acquired a distinctive character as a result of use made of it, or it is a well-known trade mark.</w:t>
      </w:r>
    </w:p>
    <w:p w:rsidR="002A7AE8" w:rsidRPr="002A7AE8" w:rsidRDefault="002A7AE8" w:rsidP="002A7AE8">
      <w:pPr>
        <w:rPr>
          <w:rFonts w:cstheme="minorHAnsi"/>
          <w:sz w:val="28"/>
          <w:szCs w:val="28"/>
        </w:rPr>
      </w:pPr>
      <w:r w:rsidRPr="002A7AE8">
        <w:rPr>
          <w:rFonts w:cstheme="minorHAnsi"/>
          <w:sz w:val="28"/>
          <w:szCs w:val="28"/>
        </w:rPr>
        <w:t>Section 9(2) provides that a mark shall not be registered if: (a) it is of such a nature as to deceive the public or cause confusion; (b) it contains or comprises any matter likely to hurt the religious susceptibilities of any class or section of citizens of India;</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 it comprises or contains scandalous or obscene matter; or (d) its use is prohibited under the Emblems and Names (Prevention of Improper Use) Act, 1950. Section 9(3) provides that a mark shall not be registered as a trade mark if it consists exclusively of: (a) the shape of goods which results from the nature of the goods themselves; (b) the shape of goods which is necessary to obtain a technical result; or (c) the shape which gives substantial value to the goods. The Explanation to Section 9 provides that the nature of goods or services in relation to which the mark is used shall not be a ground for refusal.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12.</w:t>
      </w:r>
      <w:r w:rsidRPr="002A7AE8">
        <w:rPr>
          <w:rFonts w:cstheme="minorHAnsi"/>
          <w:sz w:val="28"/>
          <w:szCs w:val="28"/>
        </w:rPr>
        <w:tab/>
        <w:t>Relative grounds for refusal – Section 11</w:t>
      </w:r>
    </w:p>
    <w:p w:rsidR="002A7AE8" w:rsidRPr="002A7AE8" w:rsidRDefault="002A7AE8" w:rsidP="002A7AE8">
      <w:pPr>
        <w:rPr>
          <w:rFonts w:cstheme="minorHAnsi"/>
          <w:sz w:val="28"/>
          <w:szCs w:val="28"/>
        </w:rPr>
      </w:pPr>
      <w:r w:rsidRPr="002A7AE8">
        <w:rPr>
          <w:rFonts w:cstheme="minorHAnsi"/>
          <w:sz w:val="28"/>
          <w:szCs w:val="28"/>
        </w:rPr>
        <w:t xml:space="preserve">Relative grounds for refusal arise from the existence of earlier rights held by third parties. Section 11(1) provides that, save as provided in Section 12, a trade mark shall not be registered if, because of: (a) its identity with an earlier trade mark and the similarity of goods or services; or (b) its similarity to an earlier trade mark and the identity or similarity of goods or services, there exists a likelihood of confusion on the part of the public, which includes the likelihood of association with the earlier trade mark. The concept of 'earlier </w:t>
      </w:r>
      <w:r w:rsidRPr="002A7AE8">
        <w:rPr>
          <w:rFonts w:cstheme="minorHAnsi"/>
          <w:sz w:val="28"/>
          <w:szCs w:val="28"/>
        </w:rPr>
        <w:lastRenderedPageBreak/>
        <w:t>trade mark' is defined in the Explanation to Section 11 to include a registered mark or pending application with an earlier filing date, an international registration designating India, a convention application with an earlier priority date, or a mark that was entitled to protection as a well-known mark on the application date.</w:t>
      </w:r>
    </w:p>
    <w:p w:rsidR="002A7AE8" w:rsidRPr="002A7AE8" w:rsidRDefault="002A7AE8" w:rsidP="002A7AE8">
      <w:pPr>
        <w:rPr>
          <w:rFonts w:cstheme="minorHAnsi"/>
          <w:sz w:val="28"/>
          <w:szCs w:val="28"/>
        </w:rPr>
      </w:pPr>
      <w:r w:rsidRPr="002A7AE8">
        <w:rPr>
          <w:rFonts w:cstheme="minorHAnsi"/>
          <w:sz w:val="28"/>
          <w:szCs w:val="28"/>
        </w:rPr>
        <w:t>Section 11(2) provides that a trade mark which is identical with or similar to an earlier trade mark in respect of goods or services that are not similar to those for which the earlier mark is registered shall not be registered if the earlier mark is a well-known trade mark in India and the use of the later mark without due cause would take unfair advantage of, or be detrimental to, the distinctive character or</w:t>
      </w:r>
    </w:p>
    <w:p w:rsidR="002A7AE8" w:rsidRPr="002A7AE8" w:rsidRDefault="002A7AE8" w:rsidP="002A7AE8">
      <w:pPr>
        <w:rPr>
          <w:rFonts w:cstheme="minorHAnsi"/>
          <w:sz w:val="28"/>
          <w:szCs w:val="28"/>
        </w:rPr>
      </w:pPr>
      <w:r w:rsidRPr="002A7AE8">
        <w:rPr>
          <w:rFonts w:cstheme="minorHAnsi"/>
          <w:sz w:val="28"/>
          <w:szCs w:val="28"/>
        </w:rPr>
        <w:t>repute of the earlier well-known trade mark. Section 11(3) provides that a trade mark shall not be registered if its use in India is liable to be prevented by virtue of any law in particular the law of passing off protecting an unregistered trade mark used in the course of trade, or by virtue of the law of copyright.</w:t>
      </w:r>
    </w:p>
    <w:p w:rsidR="002A7AE8" w:rsidRPr="002A7AE8" w:rsidRDefault="002A7AE8" w:rsidP="002A7AE8">
      <w:pPr>
        <w:rPr>
          <w:rFonts w:cstheme="minorHAnsi"/>
          <w:sz w:val="28"/>
          <w:szCs w:val="28"/>
        </w:rPr>
      </w:pPr>
      <w:r w:rsidRPr="002A7AE8">
        <w:rPr>
          <w:rFonts w:cstheme="minorHAnsi"/>
          <w:sz w:val="28"/>
          <w:szCs w:val="28"/>
        </w:rPr>
        <w:t>Section 11(4) provides that nothing in Section 11 prevents registration if the proprietor of the earlier mark consents. Section 11(5) provides that a trade mark shall not be refused registration on the grounds in subsections (2) and (3) unless objection is raised in opposition proceedings by the proprietor of the earlier right. Sections 11(6) to 11(9) set out the criteria and procedure for determining whether a mark is a well-known trade mark for purposes of Section 11.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13.</w:t>
      </w:r>
      <w:r w:rsidRPr="002A7AE8">
        <w:rPr>
          <w:rFonts w:cstheme="minorHAnsi"/>
          <w:sz w:val="28"/>
          <w:szCs w:val="28"/>
        </w:rPr>
        <w:tab/>
        <w:t>Honest concurrent use – Section 12</w:t>
      </w:r>
    </w:p>
    <w:p w:rsidR="002A7AE8" w:rsidRPr="002A7AE8" w:rsidRDefault="002A7AE8" w:rsidP="002A7AE8">
      <w:pPr>
        <w:rPr>
          <w:rFonts w:cstheme="minorHAnsi"/>
          <w:sz w:val="28"/>
          <w:szCs w:val="28"/>
        </w:rPr>
      </w:pPr>
      <w:r w:rsidRPr="002A7AE8">
        <w:rPr>
          <w:rFonts w:cstheme="minorHAnsi"/>
          <w:sz w:val="28"/>
          <w:szCs w:val="28"/>
        </w:rPr>
        <w:t>Section 12 provides: "In the case of honest concurrent use or of other special circumstances which in the opinion of the Registrar, make it proper so to do, he may permit the registration by more than one proprietor of the trade marks which are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identical or similar (whether any such trade mark is already registered or not) in respect of the same or similar goods or services, subject to such conditions and limitations, if any, as the Registrar may think fit to impose." This provision allows for the registration of identical or similar marks by two different proprietors where both have independently developed goodwill in the mark </w:t>
      </w:r>
      <w:r w:rsidRPr="002A7AE8">
        <w:rPr>
          <w:rFonts w:cstheme="minorHAnsi"/>
          <w:sz w:val="28"/>
          <w:szCs w:val="28"/>
        </w:rPr>
        <w:lastRenderedPageBreak/>
        <w:t>through genuine commercial use without knowledge of the other's use. The court examines the extent and duration of use, the geographical areas of use, the likelihood of confusion, and whether both proprietors can coexist without material deception.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14.</w:t>
      </w:r>
      <w:r w:rsidRPr="002A7AE8">
        <w:rPr>
          <w:rFonts w:cstheme="minorHAnsi"/>
          <w:sz w:val="28"/>
          <w:szCs w:val="28"/>
        </w:rPr>
        <w:tab/>
        <w:t>Effects of registration – Sections 27 to 36</w:t>
      </w:r>
    </w:p>
    <w:p w:rsidR="002A7AE8" w:rsidRPr="002A7AE8" w:rsidRDefault="002A7AE8" w:rsidP="002A7AE8">
      <w:pPr>
        <w:rPr>
          <w:rFonts w:cstheme="minorHAnsi"/>
          <w:sz w:val="28"/>
          <w:szCs w:val="28"/>
        </w:rPr>
      </w:pPr>
      <w:r w:rsidRPr="002A7AE8">
        <w:rPr>
          <w:rFonts w:cstheme="minorHAnsi"/>
          <w:sz w:val="28"/>
          <w:szCs w:val="28"/>
        </w:rPr>
        <w:t>Section 27(1) provides that no person is entitled to institute proceedings to prevent, or to recover damages for, the infringement of an unregistered trade mark. Section 27(2) preserves the common law right of passing off for unregistered marks. Section 28(1) confers upon the registered proprietor the exclusive right to use the trade mark in relation to the registered goods or services and to obtain relief in respect of infringement in the manner provided by the Act. Section 28(2) makes this exclusive right subject to conditions and limitations on the register. Section 28(3) provides that where two or more persons are registered proprietors of identical or nearly resembling marks, the exclusive right of each against the other does not arise merely from registration.</w:t>
      </w:r>
    </w:p>
    <w:p w:rsidR="002A7AE8" w:rsidRPr="002A7AE8" w:rsidRDefault="002A7AE8" w:rsidP="002A7AE8">
      <w:pPr>
        <w:rPr>
          <w:rFonts w:cstheme="minorHAnsi"/>
          <w:sz w:val="28"/>
          <w:szCs w:val="28"/>
        </w:rPr>
      </w:pPr>
      <w:r w:rsidRPr="002A7AE8">
        <w:rPr>
          <w:rFonts w:cstheme="minorHAnsi"/>
          <w:sz w:val="28"/>
          <w:szCs w:val="28"/>
        </w:rPr>
        <w:t>Section 31(1) makes registration prima facie evidence of validity of the mark and of all subsequent assignments and transmissions. Section 31(2) provides a specific protection: a registered trade mark shall not be held invalid on the ground that it was not registrable under Section 9 unless evidence of distinctiveness was not submitted to the Registrar before registration and it is proved that the mark had not become distinctive at the date of registration. Section 32 provides that where a trade mark is registered in breach of Section 9(1), it shall not be declared invalid if it has acquired a distinctive character through use after registration and before the commencement of legal proceedings challenging its validity. Section 33 provides that where the proprietor of an earlier trade mark has acquiesced for a continuous period of five years in the use of a registered later trade mark while being aware of that use, the earlier proprietor loses the right to seek a declaration of invalidity or to oppose the use of the later mark, unless the later mark was applied for in bad faith.</w:t>
      </w:r>
    </w:p>
    <w:p w:rsidR="002A7AE8" w:rsidRPr="002A7AE8" w:rsidRDefault="002A7AE8" w:rsidP="002A7AE8">
      <w:pPr>
        <w:rPr>
          <w:rFonts w:cstheme="minorHAnsi"/>
          <w:sz w:val="28"/>
          <w:szCs w:val="28"/>
        </w:rPr>
      </w:pPr>
      <w:r w:rsidRPr="002A7AE8">
        <w:rPr>
          <w:rFonts w:cstheme="minorHAnsi"/>
          <w:sz w:val="28"/>
          <w:szCs w:val="28"/>
        </w:rPr>
        <w:t xml:space="preserve">Section 34 saves the rights of prior users who have used a mark continuously from a date prior to the use or registration of the registered proprietor. Such a prior user's rights override the registered proprietor's rights to that extent. </w:t>
      </w:r>
      <w:r w:rsidRPr="002A7AE8">
        <w:rPr>
          <w:rFonts w:cstheme="minorHAnsi"/>
          <w:sz w:val="28"/>
          <w:szCs w:val="28"/>
        </w:rPr>
        <w:lastRenderedPageBreak/>
        <w:t>Section 35 protects any bona fide use by a person of their own name or place of business, or of the name or place of business of any predecessor in business, or any bona fide description of the character or quality of goods or services. These savings provisions ensure that registration does not extinguish pre-existing legitimate rights.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15.</w:t>
      </w:r>
      <w:r w:rsidRPr="002A7AE8">
        <w:rPr>
          <w:rFonts w:cstheme="minorHAnsi"/>
          <w:sz w:val="28"/>
          <w:szCs w:val="28"/>
        </w:rPr>
        <w:tab/>
        <w:t>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Cadila Health Care Ltd. v. Cadila Pharmaceuticals Ltd.</w:t>
      </w:r>
    </w:p>
    <w:p w:rsidR="002A7AE8" w:rsidRPr="002A7AE8" w:rsidRDefault="002A7AE8" w:rsidP="002A7AE8">
      <w:pPr>
        <w:rPr>
          <w:rFonts w:cstheme="minorHAnsi"/>
          <w:sz w:val="28"/>
          <w:szCs w:val="28"/>
        </w:rPr>
      </w:pPr>
      <w:r w:rsidRPr="002A7AE8">
        <w:rPr>
          <w:rFonts w:cstheme="minorHAnsi"/>
          <w:sz w:val="28"/>
          <w:szCs w:val="28"/>
        </w:rPr>
        <w:t>Citation: (2001) 5 SCC 73</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The dispute arose between two pharmaceutical companies formed upon the separation of the Cadila group. The plaintiff marketed an anti-malarial drug under the mark 'FALCIGO', while the defendant marketed a similar product under the mark 'FALCITAB'. Both marks contained the prefix 'FALCI', derived from 'falciparum', the name of the malarial parasite. The plaintiff sought an injunction against the defendant's use of 'FALCITAB' on the grounds of deceptive similarity.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'FALCITAB' was deceptively similar to 'FALCIGO' so as to justify refusal of registration or grant of injunction. (ii) What standards should apply to the assessment of deceptive similarity in the pharmaceutical sector. (iii) What factors courts must consider in such assessments.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 xml:space="preserve">The Supreme Court held that pharmaceutical marks require a stricter approach to the test of deceptive similarity because confusion in medicinal products can have potentially fatal health consequences. Consumers of medicines include illiterate and semi-literate persons who may rely on the sound or appearance </w:t>
      </w:r>
      <w:r w:rsidRPr="002A7AE8">
        <w:rPr>
          <w:rFonts w:cstheme="minorHAnsi"/>
          <w:sz w:val="28"/>
          <w:szCs w:val="28"/>
        </w:rPr>
        <w:lastRenderedPageBreak/>
        <w:t>of the name rather than its precise spelling or meaning. The Court identified the following factors for consideration: the nature of the marks; the nature of the goods; the similarity of the marks in their entirety; the class of purchasers; the mode of purchasing the goods; and other surrounding circumstances. The mark 'FALCITAB' was held to be confusingly similar to 'FALCIGO', and appropriate relief was granted.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Yahoo! Inc. v. Akash Arora</w:t>
      </w:r>
    </w:p>
    <w:p w:rsidR="002A7AE8" w:rsidRPr="002A7AE8" w:rsidRDefault="002A7AE8" w:rsidP="002A7AE8">
      <w:pPr>
        <w:rPr>
          <w:rFonts w:cstheme="minorHAnsi"/>
          <w:sz w:val="28"/>
          <w:szCs w:val="28"/>
        </w:rPr>
      </w:pPr>
      <w:r w:rsidRPr="002A7AE8">
        <w:rPr>
          <w:rFonts w:cstheme="minorHAnsi"/>
          <w:sz w:val="28"/>
          <w:szCs w:val="28"/>
        </w:rPr>
        <w:t>Citation: 1999 PTC (19) 201 (Del)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Yahoo! Inc. had extensively developed and promoted its trade mark 'Yahoo!' and the domain name 'yahoo.com' as an internet services portal of worldwide fame. The defendant began operating a website and offering internet-related services under the name 'Yahoo India' using a domain name confusingly similar to Yahoo!'s mark.</w:t>
      </w:r>
    </w:p>
    <w:p w:rsidR="002A7AE8" w:rsidRPr="002A7AE8" w:rsidRDefault="002A7AE8" w:rsidP="002A7AE8">
      <w:pPr>
        <w:rPr>
          <w:rFonts w:cstheme="minorHAnsi"/>
          <w:sz w:val="28"/>
          <w:szCs w:val="28"/>
        </w:rPr>
      </w:pPr>
      <w:r w:rsidRPr="002A7AE8">
        <w:rPr>
          <w:rFonts w:cstheme="minorHAnsi"/>
          <w:sz w:val="28"/>
          <w:szCs w:val="28"/>
        </w:rPr>
        <w:t>Yahoo! filed a suit for passing off alleging that the defendant was misrepresenting its services as associated with or emanating from Yahoo!.</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an internet domain name is capable of protection as a trade mark or trade name under Indian law. (ii) Whether the defendant's use of 'Yahoo India' in connection with similar internet services amounted to misrepresentation and passing off.</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 xml:space="preserve">The Delhi High Court granted an injunction in favour of Yahoo!. The Court held that a domain name serves as a business identifier on the internet in the same way as a trade mark identifies goods or services in the physical marketplace. Consumers encountering 'Yahoo India' in connection with internet services identical to those of Yahoo! would be likely to assume a connection with or authorisation by Yahoo!. The defendant's use amounted to passing off the </w:t>
      </w:r>
      <w:r w:rsidRPr="002A7AE8">
        <w:rPr>
          <w:rFonts w:cstheme="minorHAnsi"/>
          <w:sz w:val="28"/>
          <w:szCs w:val="28"/>
        </w:rPr>
        <w:lastRenderedPageBreak/>
        <w:t>defendant's services as those of, or associated with, Yahoo!. The Court restrained the defendant from using the mark.</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The registration of a trade mark under the Trade Marks Act, 1999 is the cornerstone of effective trade mark protection in India. The multi-stage registration procedure — from application under Section 18 through examination, advertisement under Section 20, opposition under Section 21, and registration under Section 23 — represents a carefully calibrated system that balances the applicant's interest in obtaining registration efficiently against the public interest in preventing registration of marks that are not distinctive, that conflict with earlier rights, or that are likely to deceive or confuse consumers. The absolute grounds of refusal under Section 9 function as quality control on the distinctiveness and legality of registered marks, while the relative grounds under Section 11 protect the rights of earlier proprietors. Once registered, the effects of registration — the exclusive right under Section 28, the prima facie evidence of validity under Section 31, the protection of acquired distinctiveness under Section 32, and the acquiescence provision under Section 33 — together create a robust and commercially valuable legal title. The cases of Cadila Health Care v. Cadila Pharmaceuticals and Yahoo! v. Akash Arora illustrate the courts' application of these principles with sensitivity to context, applying stricter standards where the consequences of confusion are most serious.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5: Trademark – duration, renewal, removal and restoration under Section 25</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 xml:space="preserve">One of the most significant features distinguishing trade marks from patents and copyrights is the potentially perpetual nature of trade mark protection. A patent expires after twenty years and a copyright after a fixed period tied to the author's life; a trade mark, by contrast, may in principle last forever, provided the proprietor fulfils the statutory requirements for renewal. The provisions governing duration, renewal, removal, and restoration of trade </w:t>
      </w:r>
      <w:r w:rsidRPr="002A7AE8">
        <w:rPr>
          <w:rFonts w:cstheme="minorHAnsi"/>
          <w:sz w:val="28"/>
          <w:szCs w:val="28"/>
        </w:rPr>
        <w:lastRenderedPageBreak/>
        <w:t>marks under Section 25 of the Trade Marks Act, 1999 are therefore fundamental to the long-term commercial utility of a trade mark registration. These provisions must be read with the Trade Marks Rules, 2017, which prescribe the forms, periods, and fees applicable to each step in the process. The underlying policy goal is to keep the Register of Trade Marks accurate and current: inactive marks should not clutter the Register and create obstacles for new applicants, while genuinely used marks should not be lost to their proprietors through inadvertent procedural lapses.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Duration of registration – Section 25(1)</w:t>
      </w:r>
    </w:p>
    <w:p w:rsidR="002A7AE8" w:rsidRPr="002A7AE8" w:rsidRDefault="002A7AE8" w:rsidP="002A7AE8">
      <w:pPr>
        <w:rPr>
          <w:rFonts w:cstheme="minorHAnsi"/>
          <w:sz w:val="28"/>
          <w:szCs w:val="28"/>
        </w:rPr>
      </w:pPr>
      <w:r w:rsidRPr="002A7AE8">
        <w:rPr>
          <w:rFonts w:cstheme="minorHAnsi"/>
          <w:sz w:val="28"/>
          <w:szCs w:val="28"/>
        </w:rPr>
        <w:t>Section 25(1) provides: "The registration of a trade mark, after the commencement of this Act, shall be for a period of ten years, but may be renewed from time to time in accordance with the provisions of this section." The section also provides that the duration of an existing trade mark registered under the old Trade and Merchandise Marks Act, 1958 is similarly subject to ten-year renewal cycles. The ten-year duration was chosen to balance the administrative need to periodically verify that registrations remain in use and that fees are paid, against the proprietor's commercial interest in long-term protection without unduly frequent renewal exercises. The initial ten-year period commences from the 'date of registration', which under Section 23(1) is backdated to the date of the original application. This backdating ensures that the proprietor is not disadvantaged by administrative delays in the Registry.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Renewal of registration – Section 25(2)</w:t>
      </w:r>
    </w:p>
    <w:p w:rsidR="002A7AE8" w:rsidRPr="002A7AE8" w:rsidRDefault="002A7AE8" w:rsidP="002A7AE8">
      <w:pPr>
        <w:rPr>
          <w:rFonts w:cstheme="minorHAnsi"/>
          <w:sz w:val="28"/>
          <w:szCs w:val="28"/>
        </w:rPr>
      </w:pPr>
      <w:r w:rsidRPr="002A7AE8">
        <w:rPr>
          <w:rFonts w:cstheme="minorHAnsi"/>
          <w:sz w:val="28"/>
          <w:szCs w:val="28"/>
        </w:rPr>
        <w:t>Section 25(2) provides: "The Registrar shall, on application made by the registered proprietor of a trade mark in the prescribed manner and within the prescribed period and subject to payment of the prescribed fee, renew the registration of the trade mark for a period of ten years from the date of expiration of the original registration or of the last renewal of registration, as the case may be (which date is in this section referred to as the expiration of the last registration)." Several important principles flow from this provision. First, the right to renew is available on demand: the Registrar 'shall' renew — a mandatory obligation, not a discretionary one — upon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lastRenderedPageBreak/>
        <w:t>receipt of a properly made application with the prescribed fee. Second, renewal is for a fresh period of ten years calculated from the expiration of the previous period.</w:t>
      </w:r>
    </w:p>
    <w:p w:rsidR="002A7AE8" w:rsidRPr="002A7AE8" w:rsidRDefault="002A7AE8" w:rsidP="002A7AE8">
      <w:pPr>
        <w:rPr>
          <w:rFonts w:cstheme="minorHAnsi"/>
          <w:sz w:val="28"/>
          <w:szCs w:val="28"/>
        </w:rPr>
      </w:pPr>
      <w:r w:rsidRPr="002A7AE8">
        <w:rPr>
          <w:rFonts w:cstheme="minorHAnsi"/>
          <w:sz w:val="28"/>
          <w:szCs w:val="28"/>
        </w:rPr>
        <w:t>Third, there is no maximum number of renewals: the process of renewal may be repeated indefinitely, allowing trade marks that continue to serve their commercial function to be protected permanently. Well-known global marks such as Coca-Cola, Mercedes-Benz, and Kodak have maintained registrations for well over a century through successive renewals.</w:t>
      </w:r>
    </w:p>
    <w:p w:rsidR="002A7AE8" w:rsidRPr="002A7AE8" w:rsidRDefault="002A7AE8" w:rsidP="002A7AE8">
      <w:pPr>
        <w:rPr>
          <w:rFonts w:cstheme="minorHAnsi"/>
          <w:sz w:val="28"/>
          <w:szCs w:val="28"/>
        </w:rPr>
      </w:pPr>
      <w:r w:rsidRPr="002A7AE8">
        <w:rPr>
          <w:rFonts w:cstheme="minorHAnsi"/>
          <w:sz w:val="28"/>
          <w:szCs w:val="28"/>
        </w:rPr>
        <w:t>The prescribed fee for renewal is specified in the Trade Marks Rules, 2017 and varies based on the mode of filing (online or offline) and the number of classes in respect of which the mark is registered. Renewal must be applied for in the prescribed form.</w:t>
      </w:r>
    </w:p>
    <w:p w:rsidR="002A7AE8" w:rsidRPr="002A7AE8" w:rsidRDefault="002A7AE8" w:rsidP="002A7AE8">
      <w:pPr>
        <w:rPr>
          <w:rFonts w:cstheme="minorHAnsi"/>
          <w:sz w:val="28"/>
          <w:szCs w:val="28"/>
        </w:rPr>
      </w:pPr>
      <w:r w:rsidRPr="002A7AE8">
        <w:rPr>
          <w:rFonts w:cstheme="minorHAnsi"/>
          <w:sz w:val="28"/>
          <w:szCs w:val="28"/>
        </w:rPr>
        <w:t>The application for renewal may be made at any time before expiry or within the six-month grace period permitted under the proviso to Section 25(3).</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Notice before expiration – Section 25(3)</w:t>
      </w:r>
    </w:p>
    <w:p w:rsidR="002A7AE8" w:rsidRPr="002A7AE8" w:rsidRDefault="002A7AE8" w:rsidP="002A7AE8">
      <w:pPr>
        <w:rPr>
          <w:rFonts w:cstheme="minorHAnsi"/>
          <w:sz w:val="28"/>
          <w:szCs w:val="28"/>
        </w:rPr>
      </w:pPr>
      <w:r w:rsidRPr="002A7AE8">
        <w:rPr>
          <w:rFonts w:cstheme="minorHAnsi"/>
          <w:sz w:val="28"/>
          <w:szCs w:val="28"/>
        </w:rPr>
        <w:t>Section 25(3) provides: "At the prescribed time before the expiration of the last registration of a trade mark the Registrar shall send notice in the prescribed manner to the registered proprietor of the date of expiration and the conditions as to payment of fees and otherwise upon which a renewal of registration may be obtained, and, if at the expiration of the time prescribed in that behalf those conditions have not been duly complied with the Registrar may remove the trade mark from the register." This provision reflects the legislature's recognition that proprietors may inadvertently overlook renewal deadlines, particularly in large portfolios of marks spanning multiple classes. The notice obligation is intended to be a safeguard, reminding the proprietor of the approaching deadline and the conditions for renewal.</w:t>
      </w:r>
    </w:p>
    <w:p w:rsidR="002A7AE8" w:rsidRPr="002A7AE8" w:rsidRDefault="002A7AE8" w:rsidP="002A7AE8">
      <w:pPr>
        <w:rPr>
          <w:rFonts w:cstheme="minorHAnsi"/>
          <w:sz w:val="28"/>
          <w:szCs w:val="28"/>
        </w:rPr>
      </w:pPr>
      <w:r w:rsidRPr="002A7AE8">
        <w:rPr>
          <w:rFonts w:cstheme="minorHAnsi"/>
          <w:sz w:val="28"/>
          <w:szCs w:val="28"/>
        </w:rPr>
        <w:t xml:space="preserve">The proviso to Section 25(3) provides a critical grace period: "Provided that the Registrar shall not remove the trade mark from the register if an application is made in the prescribed form and the prescribed fee and surcharge is paid within six months from the expiration of the last registration of the trade mark and shall renew the registration of the trade mark for a period of ten years under sub-section (2)." This six-month grace period with a surcharge gives the proprietor a second opportunity to renew and avoid removal. However, if </w:t>
      </w:r>
      <w:r w:rsidRPr="002A7AE8">
        <w:rPr>
          <w:rFonts w:cstheme="minorHAnsi"/>
          <w:sz w:val="28"/>
          <w:szCs w:val="28"/>
        </w:rPr>
        <w:lastRenderedPageBreak/>
        <w:t>neither the regular renewal fee is paid before expiry nor the fee with surcharge is paid within the six-month grace period, the mark is liable to be removed.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Removal of a trade mark for non-renewal</w:t>
      </w:r>
    </w:p>
    <w:p w:rsidR="002A7AE8" w:rsidRPr="002A7AE8" w:rsidRDefault="002A7AE8" w:rsidP="002A7AE8">
      <w:pPr>
        <w:rPr>
          <w:rFonts w:cstheme="minorHAnsi"/>
          <w:sz w:val="28"/>
          <w:szCs w:val="28"/>
        </w:rPr>
      </w:pPr>
      <w:r w:rsidRPr="002A7AE8">
        <w:rPr>
          <w:rFonts w:cstheme="minorHAnsi"/>
          <w:sz w:val="28"/>
          <w:szCs w:val="28"/>
        </w:rPr>
        <w:t>Removal is the deletion of a trade mark from the Register of Trade Marks due to the proprietor's failure to pay the renewal fee within the prescribed period and the six-month grace period. It is distinct from rectification (which involves removing a mark on grounds of invalidity under Section 57) and from removal for non-use (Section 47),</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and involves no inquiry into the validity or continued use of the mark — removal is purely administrative, a consequence of non-payment.</w:t>
      </w:r>
    </w:p>
    <w:p w:rsidR="002A7AE8" w:rsidRPr="002A7AE8" w:rsidRDefault="002A7AE8" w:rsidP="002A7AE8">
      <w:pPr>
        <w:rPr>
          <w:rFonts w:cstheme="minorHAnsi"/>
          <w:sz w:val="28"/>
          <w:szCs w:val="28"/>
        </w:rPr>
      </w:pPr>
      <w:r w:rsidRPr="002A7AE8">
        <w:rPr>
          <w:rFonts w:cstheme="minorHAnsi"/>
          <w:sz w:val="28"/>
          <w:szCs w:val="28"/>
        </w:rPr>
        <w:t>The consequences of removal are significant. The proprietor loses the exclusive statutory right to use the mark under Section 28 in respect of the registered goods or services. The right to bring infringement proceedings as a registered proprietor under Section 29 is extinguished. The prima facie evidence of ownership and validity conferred by Section 31 ceases to apply. The commercial advantages of registration</w:t>
      </w:r>
    </w:p>
    <w:p w:rsidR="002A7AE8" w:rsidRPr="002A7AE8" w:rsidRDefault="002A7AE8" w:rsidP="002A7AE8">
      <w:pPr>
        <w:rPr>
          <w:rFonts w:cstheme="minorHAnsi"/>
          <w:sz w:val="28"/>
          <w:szCs w:val="28"/>
        </w:rPr>
      </w:pPr>
      <w:r w:rsidRPr="002A7AE8">
        <w:rPr>
          <w:rFonts w:cstheme="minorHAnsi"/>
          <w:sz w:val="28"/>
          <w:szCs w:val="28"/>
        </w:rPr>
        <w:t>— including the ability to record security interests, to rely on the mark in licensing negotiations, and to pursue counterfeit goods through customs procedures — are also lost. However, the proprietor does not necessarily lose all rights; if the mark has been used in commerce and goodwill has been built up, the common law right of passing off under Section 27(2) may survive removal, allowing the former proprietor to continue to protect against misrepresentation.</w:t>
      </w:r>
    </w:p>
    <w:p w:rsidR="002A7AE8" w:rsidRPr="002A7AE8" w:rsidRDefault="002A7AE8" w:rsidP="002A7AE8">
      <w:pPr>
        <w:rPr>
          <w:rFonts w:cstheme="minorHAnsi"/>
          <w:sz w:val="28"/>
          <w:szCs w:val="28"/>
        </w:rPr>
      </w:pPr>
      <w:r w:rsidRPr="002A7AE8">
        <w:rPr>
          <w:rFonts w:cstheme="minorHAnsi"/>
          <w:sz w:val="28"/>
          <w:szCs w:val="28"/>
        </w:rPr>
        <w:t>Section 26 provides that where a trade mark has been removed from the register for failure to pay the fee for renewal, it shall nevertheless, for the purpose of any application for the registration of another trade mark during one year from the date of removal, be deemed to be a trade mark already on the register, unless the tribunal is satisfied that there has been no bona fide trade use of the removed mark during the two years immediately preceding removal, or that no deception or confusion would be likely to arise. This provision protects the former proprietor's commercial position during the period immediately following removal.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Restoration – Section 25(4)</w:t>
      </w:r>
    </w:p>
    <w:p w:rsidR="002A7AE8" w:rsidRPr="002A7AE8" w:rsidRDefault="002A7AE8" w:rsidP="002A7AE8">
      <w:pPr>
        <w:rPr>
          <w:rFonts w:cstheme="minorHAnsi"/>
          <w:sz w:val="28"/>
          <w:szCs w:val="28"/>
        </w:rPr>
      </w:pPr>
      <w:r w:rsidRPr="002A7AE8">
        <w:rPr>
          <w:rFonts w:cstheme="minorHAnsi"/>
          <w:sz w:val="28"/>
          <w:szCs w:val="28"/>
        </w:rPr>
        <w:t>Section 25(4) provides: "Where a trade mark has been removed from the register for failure to pay the fee for renewal, the Registrar shall, after six months and within one year from the expiration of the last registration of the trade mark, on receipt of an application in the prescribed form and on payment of the prescribed fee, if satisfied that it is just so to do, restore the trade mark to the register and renew the registration of the trade mark either generally or subject to such conditions or limitations as he thinks fit to impose, for a period of ten years from the expiration of the last registration."</w:t>
      </w:r>
    </w:p>
    <w:p w:rsidR="002A7AE8" w:rsidRPr="002A7AE8" w:rsidRDefault="002A7AE8" w:rsidP="002A7AE8">
      <w:pPr>
        <w:rPr>
          <w:rFonts w:cstheme="minorHAnsi"/>
          <w:sz w:val="28"/>
          <w:szCs w:val="28"/>
        </w:rPr>
      </w:pPr>
      <w:r w:rsidRPr="002A7AE8">
        <w:rPr>
          <w:rFonts w:cstheme="minorHAnsi"/>
          <w:sz w:val="28"/>
          <w:szCs w:val="28"/>
        </w:rPr>
        <w:t>Several important aspects of Section 25(4) merit attention. First, the timing window for restoration is specific: the application must be made after six months from the expiration of the last registration (i.e., after the grace period under Section 25(3) has closed) and within one year of that expiration. Applications outside this window cannot be made under Section 25(4), though Section 57 rectification may in some circumstances be available. Second, the Registrar has discretion to restore 'if satisfied that it is just so to do'. This is a discretionary standard, unlike the mandatory obligation to renew under Section 25(2). The exercise of this discretion involves weighing several factors.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Factors considered by the Registrar in restoration applications include: the reason for failure to renew and whether it was an excusable oversight, administrative error, or genuine hardship; the proprietor's past conduct in relation to the mark, including the extent and duration of genuine use; the bona fide intention of the proprietor to continue using the mark; the interests of third parties who may have begun using the mark or filed competing applications during the removal period, relying on the absence of the mark from the register; and any broader public interest considerations. The Registrar may impose conditions or limitations on the restoration to protect the interests of such third parties.</w:t>
      </w:r>
    </w:p>
    <w:p w:rsidR="002A7AE8" w:rsidRPr="002A7AE8" w:rsidRDefault="002A7AE8" w:rsidP="002A7AE8">
      <w:pPr>
        <w:rPr>
          <w:rFonts w:cstheme="minorHAnsi"/>
          <w:sz w:val="28"/>
          <w:szCs w:val="28"/>
        </w:rPr>
      </w:pPr>
      <w:r w:rsidRPr="002A7AE8">
        <w:rPr>
          <w:rFonts w:cstheme="minorHAnsi"/>
          <w:sz w:val="28"/>
          <w:szCs w:val="28"/>
        </w:rPr>
        <w:t xml:space="preserve">Once restored, the trade mark is treated as if it had remained on the register continuously, and the proprietor's statutory rights revive from the date of restoration. The renewed registration runs for ten years from the expiration of the last registration, not from the date of restoration. Where conditions or </w:t>
      </w:r>
      <w:r w:rsidRPr="002A7AE8">
        <w:rPr>
          <w:rFonts w:cstheme="minorHAnsi"/>
          <w:sz w:val="28"/>
          <w:szCs w:val="28"/>
        </w:rPr>
        <w:lastRenderedPageBreak/>
        <w:t>limitations are imposed, the restored mark may only be used within those parameters.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Removal for non-use – Section 47</w:t>
      </w:r>
    </w:p>
    <w:p w:rsidR="002A7AE8" w:rsidRPr="002A7AE8" w:rsidRDefault="002A7AE8" w:rsidP="002A7AE8">
      <w:pPr>
        <w:rPr>
          <w:rFonts w:cstheme="minorHAnsi"/>
          <w:sz w:val="28"/>
          <w:szCs w:val="28"/>
        </w:rPr>
      </w:pPr>
      <w:r w:rsidRPr="002A7AE8">
        <w:rPr>
          <w:rFonts w:cstheme="minorHAnsi"/>
          <w:sz w:val="28"/>
          <w:szCs w:val="28"/>
        </w:rPr>
        <w:t>Distinct from the administrative removal for non-payment of renewal fees, Section 47 provides grounds for removal on account of non-use of the trade mark. Section 47(1)(a) allows removal where the trade mark was registered without any bona fide intention to use it and there has in fact been no bona fide use of the mark by any proprietor for the time being up to a date three months before the application for removal. Section 47(1)(b) allows removal where there has been a continuous period of five years or longer from the date of actual entry in the register during which the mark has not been used by any proprietor for the time being. Applications for removal under Section 47 may be made to the Registrar or the Appellate Board.</w:t>
      </w:r>
    </w:p>
    <w:p w:rsidR="002A7AE8" w:rsidRPr="002A7AE8" w:rsidRDefault="002A7AE8" w:rsidP="002A7AE8">
      <w:pPr>
        <w:rPr>
          <w:rFonts w:cstheme="minorHAnsi"/>
          <w:sz w:val="28"/>
          <w:szCs w:val="28"/>
        </w:rPr>
      </w:pPr>
      <w:r w:rsidRPr="002A7AE8">
        <w:rPr>
          <w:rFonts w:cstheme="minorHAnsi"/>
          <w:sz w:val="28"/>
          <w:szCs w:val="28"/>
        </w:rPr>
        <w:t>Section 47(3) provides that an applicant shall not be entitled to rely on non-use if the non-use is shown to have been due to special circumstances in the trade — including restrictions on the use of the trade mark in India imposed by any law or regulation — and not to any intention to abandon or not use the mark. This is the 'special circumstances' defence reflecting Article 19 of TRIPS. The Supreme Court in Hardie Trading Ltd. v. Addisons Paint &amp; Chemicals Ltd. (2003) 11 SCC 92 confirmed that removal for non-use is not automatic and requires examination of the surrounding circumstances including the proprietor's intention and the reasons for non-use.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Comparison: renewal and restoration</w:t>
      </w:r>
    </w:p>
    <w:p w:rsidR="002A7AE8" w:rsidRPr="002A7AE8" w:rsidRDefault="002A7AE8" w:rsidP="002A7AE8">
      <w:pPr>
        <w:rPr>
          <w:rFonts w:cstheme="minorHAnsi"/>
          <w:sz w:val="28"/>
          <w:szCs w:val="28"/>
        </w:rPr>
      </w:pPr>
      <w:r w:rsidRPr="002A7AE8">
        <w:rPr>
          <w:rFonts w:cstheme="minorHAnsi"/>
          <w:sz w:val="28"/>
          <w:szCs w:val="28"/>
        </w:rPr>
        <w:t>Basis</w:t>
      </w:r>
      <w:r w:rsidRPr="002A7AE8">
        <w:rPr>
          <w:rFonts w:cstheme="minorHAnsi"/>
          <w:sz w:val="28"/>
          <w:szCs w:val="28"/>
        </w:rPr>
        <w:tab/>
        <w:t>Renewal</w:t>
      </w:r>
      <w:r w:rsidRPr="002A7AE8">
        <w:rPr>
          <w:rFonts w:cstheme="minorHAnsi"/>
          <w:sz w:val="28"/>
          <w:szCs w:val="28"/>
        </w:rPr>
        <w:tab/>
        <w:t>Restoration</w:t>
      </w:r>
    </w:p>
    <w:p w:rsidR="002A7AE8" w:rsidRPr="002A7AE8" w:rsidRDefault="002A7AE8" w:rsidP="002A7AE8">
      <w:pPr>
        <w:rPr>
          <w:rFonts w:cstheme="minorHAnsi"/>
          <w:sz w:val="28"/>
          <w:szCs w:val="28"/>
        </w:rPr>
      </w:pPr>
      <w:r w:rsidRPr="002A7AE8">
        <w:rPr>
          <w:rFonts w:cstheme="minorHAnsi"/>
          <w:sz w:val="28"/>
          <w:szCs w:val="28"/>
        </w:rPr>
        <w:t>Meaning</w:t>
      </w:r>
      <w:r w:rsidRPr="002A7AE8">
        <w:rPr>
          <w:rFonts w:cstheme="minorHAnsi"/>
          <w:sz w:val="28"/>
          <w:szCs w:val="28"/>
        </w:rPr>
        <w:tab/>
        <w:t>Extension of existing registration</w:t>
      </w:r>
      <w:r w:rsidRPr="002A7AE8">
        <w:rPr>
          <w:rFonts w:cstheme="minorHAnsi"/>
          <w:sz w:val="28"/>
          <w:szCs w:val="28"/>
        </w:rPr>
        <w:tab/>
        <w:t>Reinstatement after removal from register</w:t>
      </w:r>
    </w:p>
    <w:p w:rsidR="002A7AE8" w:rsidRPr="002A7AE8" w:rsidRDefault="002A7AE8" w:rsidP="002A7AE8">
      <w:pPr>
        <w:rPr>
          <w:rFonts w:cstheme="minorHAnsi"/>
          <w:sz w:val="28"/>
          <w:szCs w:val="28"/>
        </w:rPr>
      </w:pPr>
      <w:r w:rsidRPr="002A7AE8">
        <w:rPr>
          <w:rFonts w:cstheme="minorHAnsi"/>
          <w:sz w:val="28"/>
          <w:szCs w:val="28"/>
        </w:rPr>
        <w:t>Timing</w:t>
      </w:r>
      <w:r w:rsidRPr="002A7AE8">
        <w:rPr>
          <w:rFonts w:cstheme="minorHAnsi"/>
          <w:sz w:val="28"/>
          <w:szCs w:val="28"/>
        </w:rPr>
        <w:tab/>
        <w:t>Before or upon expiry</w:t>
      </w:r>
      <w:r w:rsidRPr="002A7AE8">
        <w:rPr>
          <w:rFonts w:cstheme="minorHAnsi"/>
          <w:sz w:val="28"/>
          <w:szCs w:val="28"/>
        </w:rPr>
        <w:tab/>
        <w:t>After removal from register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Requirements</w:t>
      </w:r>
      <w:r w:rsidRPr="002A7AE8">
        <w:rPr>
          <w:rFonts w:cstheme="minorHAnsi"/>
          <w:sz w:val="28"/>
          <w:szCs w:val="28"/>
        </w:rPr>
        <w:tab/>
        <w:t>Application and prescribed renewal fee</w:t>
      </w:r>
      <w:r w:rsidRPr="002A7AE8">
        <w:rPr>
          <w:rFonts w:cstheme="minorHAnsi"/>
          <w:sz w:val="28"/>
          <w:szCs w:val="28"/>
        </w:rPr>
        <w:tab/>
        <w:t>Application, fee, surcharge, and Registrar's satisfaction</w:t>
      </w:r>
    </w:p>
    <w:p w:rsidR="002A7AE8" w:rsidRPr="002A7AE8" w:rsidRDefault="002A7AE8" w:rsidP="002A7AE8">
      <w:pPr>
        <w:rPr>
          <w:rFonts w:cstheme="minorHAnsi"/>
          <w:sz w:val="28"/>
          <w:szCs w:val="28"/>
        </w:rPr>
      </w:pPr>
      <w:r w:rsidRPr="002A7AE8">
        <w:rPr>
          <w:rFonts w:cstheme="minorHAnsi"/>
          <w:sz w:val="28"/>
          <w:szCs w:val="28"/>
        </w:rPr>
        <w:lastRenderedPageBreak/>
        <w:t>Registrar's role</w:t>
      </w:r>
      <w:r w:rsidRPr="002A7AE8">
        <w:rPr>
          <w:rFonts w:cstheme="minorHAnsi"/>
          <w:sz w:val="28"/>
          <w:szCs w:val="28"/>
        </w:rPr>
        <w:tab/>
        <w:t>Administrative in nature</w:t>
      </w:r>
      <w:r w:rsidRPr="002A7AE8">
        <w:rPr>
          <w:rFonts w:cstheme="minorHAnsi"/>
          <w:sz w:val="28"/>
          <w:szCs w:val="28"/>
        </w:rPr>
        <w:tab/>
        <w:t>Discretionary — justification required</w:t>
      </w:r>
    </w:p>
    <w:p w:rsidR="002A7AE8" w:rsidRPr="002A7AE8" w:rsidRDefault="002A7AE8" w:rsidP="002A7AE8">
      <w:pPr>
        <w:rPr>
          <w:rFonts w:cstheme="minorHAnsi"/>
          <w:sz w:val="28"/>
          <w:szCs w:val="28"/>
        </w:rPr>
      </w:pPr>
      <w:r w:rsidRPr="002A7AE8">
        <w:rPr>
          <w:rFonts w:cstheme="minorHAnsi"/>
          <w:sz w:val="28"/>
          <w:szCs w:val="28"/>
        </w:rPr>
        <w:t>Effect</w:t>
      </w:r>
      <w:r w:rsidRPr="002A7AE8">
        <w:rPr>
          <w:rFonts w:cstheme="minorHAnsi"/>
          <w:sz w:val="28"/>
          <w:szCs w:val="28"/>
        </w:rPr>
        <w:tab/>
        <w:t>Continuation of existing rights</w:t>
      </w:r>
      <w:r w:rsidRPr="002A7AE8">
        <w:rPr>
          <w:rFonts w:cstheme="minorHAnsi"/>
          <w:sz w:val="28"/>
          <w:szCs w:val="28"/>
        </w:rPr>
        <w:tab/>
        <w:t>Revival of rights that had lapsed</w:t>
      </w:r>
    </w:p>
    <w:p w:rsidR="002A7AE8" w:rsidRPr="002A7AE8" w:rsidRDefault="002A7AE8" w:rsidP="002A7AE8">
      <w:pPr>
        <w:rPr>
          <w:rFonts w:cstheme="minorHAnsi"/>
          <w:sz w:val="28"/>
          <w:szCs w:val="28"/>
        </w:rPr>
      </w:pPr>
      <w:r w:rsidRPr="002A7AE8">
        <w:rPr>
          <w:rFonts w:cstheme="minorHAnsi"/>
          <w:sz w:val="28"/>
          <w:szCs w:val="28"/>
        </w:rPr>
        <w:t>Third party rights</w:t>
      </w:r>
      <w:r w:rsidRPr="002A7AE8">
        <w:rPr>
          <w:rFonts w:cstheme="minorHAnsi"/>
          <w:sz w:val="28"/>
          <w:szCs w:val="28"/>
        </w:rPr>
        <w:tab/>
        <w:t>Not affected</w:t>
      </w:r>
      <w:r w:rsidRPr="002A7AE8">
        <w:rPr>
          <w:rFonts w:cstheme="minorHAnsi"/>
          <w:sz w:val="28"/>
          <w:szCs w:val="28"/>
        </w:rPr>
        <w:tab/>
        <w:t>May be protected by conditions imposed on restoration</w:t>
      </w:r>
    </w:p>
    <w:p w:rsidR="002A7AE8" w:rsidRPr="002A7AE8" w:rsidRDefault="002A7AE8" w:rsidP="002A7AE8">
      <w:pPr>
        <w:rPr>
          <w:rFonts w:cstheme="minorHAnsi"/>
          <w:sz w:val="28"/>
          <w:szCs w:val="28"/>
        </w:rPr>
      </w:pPr>
      <w:r w:rsidRPr="002A7AE8">
        <w:rPr>
          <w:rFonts w:cstheme="minorHAnsi"/>
          <w:sz w:val="28"/>
          <w:szCs w:val="28"/>
        </w:rPr>
        <w:t>Applicable provision</w:t>
      </w:r>
      <w:r w:rsidRPr="002A7AE8">
        <w:rPr>
          <w:rFonts w:cstheme="minorHAnsi"/>
          <w:sz w:val="28"/>
          <w:szCs w:val="28"/>
        </w:rPr>
        <w:tab/>
        <w:t>Section 25(2) and (3)</w:t>
      </w:r>
      <w:r w:rsidRPr="002A7AE8">
        <w:rPr>
          <w:rFonts w:cstheme="minorHAnsi"/>
          <w:sz w:val="28"/>
          <w:szCs w:val="28"/>
        </w:rPr>
        <w:tab/>
        <w:t>Section 25(4)</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Hardie Trading Ltd. v. Addisons Paint &amp; Chemicals Ltd.</w:t>
      </w:r>
    </w:p>
    <w:p w:rsidR="002A7AE8" w:rsidRPr="002A7AE8" w:rsidRDefault="002A7AE8" w:rsidP="002A7AE8">
      <w:pPr>
        <w:rPr>
          <w:rFonts w:cstheme="minorHAnsi"/>
          <w:sz w:val="28"/>
          <w:szCs w:val="28"/>
        </w:rPr>
      </w:pPr>
      <w:r w:rsidRPr="002A7AE8">
        <w:rPr>
          <w:rFonts w:cstheme="minorHAnsi"/>
          <w:sz w:val="28"/>
          <w:szCs w:val="28"/>
        </w:rPr>
        <w:t>Citation: (2003) 11 SCC 92</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Hardie Trading Ltd. was the registered proprietor of certain trade marks. Addisons Paint &amp; Chemicals Ltd. sought removal of the marks from the register under Section 46 of the Trade and Merchandise Marks Act, 1958 (equivalent to Section 47 of the 1999 Act) on the ground of non-use for the prescribed period. Hardie contested the removal, contending that there were valid reasons for the period of non-use and that the company had a genuine intention to resume use.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registered trade marks should be removed from the register for non-use where the proprietor has a genuine intention to use them and valid reasons for non-use. (ii) What standard of evidence is required to establish non-use warranting removal.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 xml:space="preserve">The Supreme Court held that removal for non-use is not an automatic consequence of the passage of the prescribed period without use. The </w:t>
      </w:r>
      <w:r w:rsidRPr="002A7AE8">
        <w:rPr>
          <w:rFonts w:cstheme="minorHAnsi"/>
          <w:sz w:val="28"/>
          <w:szCs w:val="28"/>
        </w:rPr>
        <w:lastRenderedPageBreak/>
        <w:t>Registrar and the tribunal must examine the totality of the facts, including the proprietor's intention, the reasons for the period of non-use, and whether the circumstances amounting to special circumstances under the Act are made out. A genuine intention to use the mark and valid reasons for non-use, supported by credible evidence, may prevent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removal. The Court emphasised that the proprietor's bona fides must be assessed from the evidence as a whole.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American Home Products Corporation v. Mac Laboratories Pvt. Ltd.</w:t>
      </w:r>
    </w:p>
    <w:p w:rsidR="002A7AE8" w:rsidRPr="002A7AE8" w:rsidRDefault="002A7AE8" w:rsidP="002A7AE8">
      <w:pPr>
        <w:rPr>
          <w:rFonts w:cstheme="minorHAnsi"/>
          <w:sz w:val="28"/>
          <w:szCs w:val="28"/>
        </w:rPr>
      </w:pPr>
      <w:r w:rsidRPr="002A7AE8">
        <w:rPr>
          <w:rFonts w:cstheme="minorHAnsi"/>
          <w:sz w:val="28"/>
          <w:szCs w:val="28"/>
        </w:rPr>
        <w:t>Citation: AIR 1986 SC 137; (1986) 1 SCC 465</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American Home Products Corporation was the registered proprietor of certain pharmaceutical trade marks in India. Mac Laboratories sought removal of the marks from the register on the ground of non-use within India, arguing that American Home Products had been importing rather than manufacturing the products in India, and that importation did not constitute use within the meaning of the Act.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Whether importation of goods bearing a trade mark constitutes 'use' of the mark in India sufficient to defeat a removal application. (ii) What constitutes bona fide use under trade mark law for the purpose of maintaining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 xml:space="preserve">The Supreme Court held that the question of what constitutes use must be determined on the facts of each case. The Court examined the nature and extent of the acts relied upon as constituting use and assessed whether they amounted to genuine commercial use in relation to the registered goods in </w:t>
      </w:r>
      <w:r w:rsidRPr="002A7AE8">
        <w:rPr>
          <w:rFonts w:cstheme="minorHAnsi"/>
          <w:sz w:val="28"/>
          <w:szCs w:val="28"/>
        </w:rPr>
        <w:lastRenderedPageBreak/>
        <w:t>India. The Court confirmed that the proprietor's registration remains valid until properly challenged and removed according to law, and that mere absence of extensive marketing does not automatically establish non-use warranting removal. The intention of the proprietor and the circumstances of alleged non-use must be carefully examined before removal is ordered.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The provisions governing duration, renewal, removal, and restoration under Section 25 of the Trade Marks Act, 1999 reflect a carefully calibrated policy that serves the interests of trade mark proprietors, potential applicants, consumers, and the integrity of the Register. The ten-year initial period and the right of unlimited renewal under Section 25(2) give trade marks their commercially significant potential for perpetual protection, enabling businesses to build and protect brand equity across generations. The notice requirement under Section 25(3) and the six-month grace period under the proviso protect proprietors against inadvertent lapses. Removal for non-payment — as distinct from removal for non-use under Section 47 — ensures the Register is not congested with lapsed registrations. The discretionary restoration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mechanism under Section 25(4) provides a last resort for proprietors with genuine reasons for default, balanced against the interests of third parties who may have relied on the removal. The jurisprudence in Hardie Trading and American Home Products confirms that removal proceedings — whether for non-payment or non-use</w:t>
      </w:r>
    </w:p>
    <w:p w:rsidR="002A7AE8" w:rsidRPr="002A7AE8" w:rsidRDefault="002A7AE8" w:rsidP="002A7AE8">
      <w:pPr>
        <w:rPr>
          <w:rFonts w:cstheme="minorHAnsi"/>
          <w:sz w:val="28"/>
          <w:szCs w:val="28"/>
        </w:rPr>
      </w:pPr>
      <w:r w:rsidRPr="002A7AE8">
        <w:rPr>
          <w:rFonts w:cstheme="minorHAnsi"/>
          <w:sz w:val="28"/>
          <w:szCs w:val="28"/>
        </w:rPr>
        <w:t>— require a fact-sensitive inquiry into the proprietor's intention and the circumstances, consistent with the broader principle that trade mark rights represent substantial commercial investments deserving careful judicial treatment.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7: Assignment, transmission and licensing of trade marks (Sections 37–55)</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A trade mark represents one of the most valuable intangible assets a business can own. The goodwill embedded in a well-known mark — representing consumer trust, brand recognition, and commercial reputation accumulated over years of trading — may dwarf the value of the business's tangible assets. The law recognises this commercial reality by treating trade marks as proprietary rights capable of commercial exploitation through sale, inheritance, and licensing. The Trade Marks Act, 1999 provides a comprehensive statutory framework for the assignment (voluntary transfer of ownership by act of the parties), transmission (involuntary transfer by operation of law), and licensing (grant of permission to use without transfer of ownership) of trade marks. Assignment and transmission are governed by Sections 37 to 45 and licensing through registered users by Sections 48 to 56. These provisions serve the twin goals of facilitating the commercial exploitation of trade marks while ensuring that consumers are not misled about the commercial origin of goods or services.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Meaning of key terms</w:t>
      </w:r>
    </w:p>
    <w:p w:rsidR="002A7AE8" w:rsidRPr="002A7AE8" w:rsidRDefault="002A7AE8" w:rsidP="002A7AE8">
      <w:pPr>
        <w:rPr>
          <w:rFonts w:cstheme="minorHAnsi"/>
          <w:sz w:val="28"/>
          <w:szCs w:val="28"/>
        </w:rPr>
      </w:pPr>
      <w:r w:rsidRPr="002A7AE8">
        <w:rPr>
          <w:rFonts w:cstheme="minorHAnsi"/>
          <w:sz w:val="28"/>
          <w:szCs w:val="28"/>
        </w:rPr>
        <w:t>Assignment, as defined in Section 2(1)(b) of the Act, means "an assignment in writing by act of the parties concerned." Writing is therefore a mandatory requirement for a valid assignment of any trade mark. An oral assignment is void. Assignment involves the complete transfer of the proprietorship of the mark from the assignor to the assignee; after assignment, the assignee becomes the registered proprietor and the assignor retains no rights. Transmission, as defined in Section 2(1)(zc), means "transmission by operation of law, devolution on the personal representative of a deceased person and any other mode of transfer, not being assignment." Transmission includes inheritance upon the death of the registered proprietor, devolution through the law of intestate or testate succession, transfer as a consequence of bankruptcy or insolvency, and corporate restructuring including merger and acquisition. A licence, while not separately defined, is a permission granted by the registered proprietor to another person to use the trade mark within defined limits while the proprietary title remains with the proprietor. The person so permitted is commonly referred to as a licensee or, where registered under Section 49, as a registered user.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Trade mark as property – Section 37</w:t>
      </w:r>
    </w:p>
    <w:p w:rsidR="002A7AE8" w:rsidRPr="002A7AE8" w:rsidRDefault="002A7AE8" w:rsidP="002A7AE8">
      <w:pPr>
        <w:rPr>
          <w:rFonts w:cstheme="minorHAnsi"/>
          <w:sz w:val="28"/>
          <w:szCs w:val="28"/>
        </w:rPr>
      </w:pPr>
      <w:r w:rsidRPr="002A7AE8">
        <w:rPr>
          <w:rFonts w:cstheme="minorHAnsi"/>
          <w:sz w:val="28"/>
          <w:szCs w:val="28"/>
        </w:rPr>
        <w:t>Section 37 provides: "The person for the time being entered in the register as proprietor of a trade mark shall, subject to the provisions of this Act and to any rights appearing from the register to be vested in any other person, have power to assign the trade mark, and to give effectual receipts for any consideration for such</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assignment." This provision establishes the registered proprietor's proprietary capacity over the mark. The qualification 'subject to the provisions of this Act' incorporates the restrictions on assignment found in Sections 40 to 44, while the reference to 'rights appearing from the register to be vested in any other person' preserves the rights of registered users and charges recorded on the register.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Assignability of registered trade marks – Section 38</w:t>
      </w:r>
    </w:p>
    <w:p w:rsidR="002A7AE8" w:rsidRPr="002A7AE8" w:rsidRDefault="002A7AE8" w:rsidP="002A7AE8">
      <w:pPr>
        <w:rPr>
          <w:rFonts w:cstheme="minorHAnsi"/>
          <w:sz w:val="28"/>
          <w:szCs w:val="28"/>
        </w:rPr>
      </w:pPr>
      <w:r w:rsidRPr="002A7AE8">
        <w:rPr>
          <w:rFonts w:cstheme="minorHAnsi"/>
          <w:sz w:val="28"/>
          <w:szCs w:val="28"/>
        </w:rPr>
        <w:t>Section 38 provides: "Notwithstanding anything in any other law to the contrary, a registered trade mark shall, subject to the provisions of this Chapter, be assignable and transmissible, whether with or without the goodwill of the business concerned and in respect either of all the goods or services in respect of which the trade mark is registered or of some only of those goods or services." This is a foundational provision with two important features. First, the trade mark is assignable 'whether with or without the goodwill of the business concerned'. The traditional common law position, derived from the judgment in Thorneloe v. Hill [1894] 1 Ch 569, was that a trade mark could not be assigned separately from the goodwill of the business because to do so would deceive the public about the origin of goods. The 1999 Act expressly departs from this position, allowing bare assignment — i.e., assignment independently of the goodwill — subject to the procedural safeguard in Section 42. Second, assignment may be in respect of all or only some of the registered goods or services, allowing partial assignment in respect of a subset of the registered class.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Assignability of unregistered trade marks – Section 39</w:t>
      </w:r>
    </w:p>
    <w:p w:rsidR="002A7AE8" w:rsidRPr="002A7AE8" w:rsidRDefault="002A7AE8" w:rsidP="002A7AE8">
      <w:pPr>
        <w:rPr>
          <w:rFonts w:cstheme="minorHAnsi"/>
          <w:sz w:val="28"/>
          <w:szCs w:val="28"/>
        </w:rPr>
      </w:pPr>
      <w:r w:rsidRPr="002A7AE8">
        <w:rPr>
          <w:rFonts w:cstheme="minorHAnsi"/>
          <w:sz w:val="28"/>
          <w:szCs w:val="28"/>
        </w:rPr>
        <w:lastRenderedPageBreak/>
        <w:t>Section 39 provides: "An unregistered trade mark may be assigned or transmitted with or without the goodwill of the business concerned." This provision recognises that unregistered marks, which may have acquired substantial commercial value through use, should also be freely assignable. The ability to assign an unregistered mark without goodwill is subject to the same potential for consumer deception as assignment of a registered mark, but the Act accepts this risk and leaves it to the market to manage through use of the assignment without goodwill procedure under Section 42.</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Restriction on assignment where multiple exclusive rights would be created –Section 40</w:t>
      </w:r>
    </w:p>
    <w:p w:rsidR="002A7AE8" w:rsidRPr="002A7AE8" w:rsidRDefault="002A7AE8" w:rsidP="002A7AE8">
      <w:pPr>
        <w:rPr>
          <w:rFonts w:cstheme="minorHAnsi"/>
          <w:sz w:val="28"/>
          <w:szCs w:val="28"/>
        </w:rPr>
      </w:pPr>
      <w:r w:rsidRPr="002A7AE8">
        <w:rPr>
          <w:rFonts w:cstheme="minorHAnsi"/>
          <w:sz w:val="28"/>
          <w:szCs w:val="28"/>
        </w:rPr>
        <w:t>Section 40(1) provides that a trade mark shall not be assignable or transmissible in a case where the result would be the subsistence of exclusive rights in more than one person in relation to: (a) the same goods or services; (b) the same description of goods or services; or (c) goods or services or descriptions which are associated with each other — with a likelihood of deception or confusion. This restriction addresses the risk that splitting a mark between two different parties for the same or closely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related goods or services in the same market would inevitably lead consumers to be deceived about the commercial origin of the goods.</w:t>
      </w:r>
    </w:p>
    <w:p w:rsidR="002A7AE8" w:rsidRPr="002A7AE8" w:rsidRDefault="002A7AE8" w:rsidP="002A7AE8">
      <w:pPr>
        <w:rPr>
          <w:rFonts w:cstheme="minorHAnsi"/>
          <w:sz w:val="28"/>
          <w:szCs w:val="28"/>
        </w:rPr>
      </w:pPr>
      <w:r w:rsidRPr="002A7AE8">
        <w:rPr>
          <w:rFonts w:cstheme="minorHAnsi"/>
          <w:sz w:val="28"/>
          <w:szCs w:val="28"/>
        </w:rPr>
        <w:t>The proviso to Section 40(1) provides that an assignment or transmission shall not be deemed invalid if the exclusive rights subsisting as a result are exercisable only in relation to goods to be sold only for export, or in relation to goods to be exported to the same market outside India, or for services available only outside India — in which cases there is no risk of consumer confusion within the domestic market. Section 40(2) enables the proprietor to obtain a certificate from the Registrar indicating whether a proposed assignment would or would not be invalid under Section 40(1), which provides certainty before proceeding with the transaction.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 xml:space="preserve">Restriction on assignment creating rights in different parts of India – Section 41 Section 41 provides that a trade mark shall not be assignable or transmissible in a case where as a result: (a) one person would have exclusive </w:t>
      </w:r>
      <w:r w:rsidRPr="002A7AE8">
        <w:rPr>
          <w:rFonts w:cstheme="minorHAnsi"/>
          <w:sz w:val="28"/>
          <w:szCs w:val="28"/>
        </w:rPr>
        <w:lastRenderedPageBreak/>
        <w:t>rights to use the mark limited to use in relation to goods to be sold or services for use in any place in India; and (b) another person would have exclusive rights to use an identical or nearly resembling mark in relation to the same or similar goods or services, limited to use in any other place in India — thereby creating geographically split rights within a single country. The proviso permits the Registrar to approve such an assignment or transmission if satisfied that the use of the marks in exercise of the respective rights would not be contrary to the public interest.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Assignment without goodwill – Section 42</w:t>
      </w:r>
    </w:p>
    <w:p w:rsidR="002A7AE8" w:rsidRPr="002A7AE8" w:rsidRDefault="002A7AE8" w:rsidP="002A7AE8">
      <w:pPr>
        <w:rPr>
          <w:rFonts w:cstheme="minorHAnsi"/>
          <w:sz w:val="28"/>
          <w:szCs w:val="28"/>
        </w:rPr>
      </w:pPr>
      <w:r w:rsidRPr="002A7AE8">
        <w:rPr>
          <w:rFonts w:cstheme="minorHAnsi"/>
          <w:sz w:val="28"/>
          <w:szCs w:val="28"/>
        </w:rPr>
        <w:t>Section 42 provides that where an assignment of a trade mark (registered or unregistered) is made otherwise than in connection with the goodwill of the business in which the mark has been used, the assignment shall not take effect unless the assignee applies to the Registrar within six months of the date of assignment (or within an extended period of not more than three months as the Registrar may allow) for directions with respect to advertising the assignment, and advertises it in the prescribed form and manner within the time directed by the Registrar. The Explanation to Section 42 provides that an assignment shall not be treated as made without goodwill if: (a) it is in respect of only some of the registered goods or services accompanied by the transfer of goodwill of the business in those goods or services; or (b) the mark is used in relation to exported goods or services for use outside India and the assignment is accompanied by transfer of the export goodwill.</w:t>
      </w:r>
    </w:p>
    <w:p w:rsidR="002A7AE8" w:rsidRPr="002A7AE8" w:rsidRDefault="002A7AE8" w:rsidP="002A7AE8">
      <w:pPr>
        <w:rPr>
          <w:rFonts w:cstheme="minorHAnsi"/>
          <w:sz w:val="28"/>
          <w:szCs w:val="28"/>
        </w:rPr>
      </w:pPr>
      <w:r w:rsidRPr="002A7AE8">
        <w:rPr>
          <w:rFonts w:cstheme="minorHAnsi"/>
          <w:sz w:val="28"/>
          <w:szCs w:val="28"/>
        </w:rPr>
        <w:t>The mandatory advertisement requirement serves an important consumer protection purpose: it informs the public that the mark has changed hands separately from the business, enabling consumers to adjust their understanding of the commercial origin of goods bearing the mark. Failure to comply with Section 42 renders the assignment ineffective — the purported assignment does not transfer the trade mark rights.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Assignability of certification and associated marks – Sections 43 and 44</w:t>
      </w:r>
    </w:p>
    <w:p w:rsidR="002A7AE8" w:rsidRPr="002A7AE8" w:rsidRDefault="002A7AE8" w:rsidP="002A7AE8">
      <w:pPr>
        <w:rPr>
          <w:rFonts w:cstheme="minorHAnsi"/>
          <w:sz w:val="28"/>
          <w:szCs w:val="28"/>
        </w:rPr>
      </w:pPr>
      <w:r w:rsidRPr="002A7AE8">
        <w:rPr>
          <w:rFonts w:cstheme="minorHAnsi"/>
          <w:sz w:val="28"/>
          <w:szCs w:val="28"/>
        </w:rPr>
        <w:t xml:space="preserve">Section 43 provides: "A certification trade mark shall not be assignable or transmissible otherwise than with the consent of the Registrar, for which application shall be made in writing in the prescribed manner." Certification </w:t>
      </w:r>
      <w:r w:rsidRPr="002A7AE8">
        <w:rPr>
          <w:rFonts w:cstheme="minorHAnsi"/>
          <w:sz w:val="28"/>
          <w:szCs w:val="28"/>
        </w:rPr>
        <w:lastRenderedPageBreak/>
        <w:t>marks are assigned to a neutral body that certifies goods or services meeting certain standards. The Registrar's consent is required to ensure that any assignee is equally capable of performing the certifying function and that the integrity of the certification system is maintained. Section 44 provides: "Associated trade marks shall be assignable and transmissible only as a whole and not separately, but, subject to the provisions of this Act, they shall, for all other purposes, be deemed to have been registered as separate trade marks." Associated marks are registered as a family and must be transferred as a unit to prevent their use being split between different traders, which would cause consumer confusion.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Registration of assignments and transmissions – Section 45</w:t>
      </w:r>
    </w:p>
    <w:p w:rsidR="002A7AE8" w:rsidRPr="002A7AE8" w:rsidRDefault="002A7AE8" w:rsidP="002A7AE8">
      <w:pPr>
        <w:rPr>
          <w:rFonts w:cstheme="minorHAnsi"/>
          <w:sz w:val="28"/>
          <w:szCs w:val="28"/>
        </w:rPr>
      </w:pPr>
      <w:r w:rsidRPr="002A7AE8">
        <w:rPr>
          <w:rFonts w:cstheme="minorHAnsi"/>
          <w:sz w:val="28"/>
          <w:szCs w:val="28"/>
        </w:rPr>
        <w:t>Section 45(1) provides: "Where a person becomes entitled by assignment or transmission to a registered trade mark, he shall apply in the prescribed manner to the Registrar to register his title, and the Registrar shall, on receipt of the application, register him as the proprietor of the trade mark in respect of the goods or services in respect of which the assignment or transmission has effect, and shall cause particulars of such assignment or transmission to be entered on the register." Section 45(2) allows the Registrar to require evidence of title only where there is reasonable doubt about its veracity. Section 45(3) empowers the Registrar to decline to register where validity is in dispute between parties, pending determination by a competent court. Section 45(4) provides that until a registration application is filed, the assignment or transmission is ineffective against a person who acquires a conflicting interest in the mark without knowledge of the unregistered assignment. This provision imports a form of priority notice mechanism: first to register the assignment prevails over a subsequent acquirer who had no notice of the earlier assignment.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Part II – Licensing through registered users (Sections 48–56)</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11.</w:t>
      </w:r>
      <w:r w:rsidRPr="002A7AE8">
        <w:rPr>
          <w:rFonts w:cstheme="minorHAnsi"/>
          <w:sz w:val="28"/>
          <w:szCs w:val="28"/>
        </w:rPr>
        <w:tab/>
        <w:t>Permitted use and registered users – Section 48</w:t>
      </w:r>
    </w:p>
    <w:p w:rsidR="002A7AE8" w:rsidRPr="002A7AE8" w:rsidRDefault="002A7AE8" w:rsidP="002A7AE8">
      <w:pPr>
        <w:rPr>
          <w:rFonts w:cstheme="minorHAnsi"/>
          <w:sz w:val="28"/>
          <w:szCs w:val="28"/>
        </w:rPr>
      </w:pPr>
      <w:r w:rsidRPr="002A7AE8">
        <w:rPr>
          <w:rFonts w:cstheme="minorHAnsi"/>
          <w:sz w:val="28"/>
          <w:szCs w:val="28"/>
        </w:rPr>
        <w:t xml:space="preserve">Section 48(1) provides: "Subject to the provisions of section 49, a person other than the registered proprietor of a trade mark may be registered as a </w:t>
      </w:r>
      <w:r w:rsidRPr="002A7AE8">
        <w:rPr>
          <w:rFonts w:cstheme="minorHAnsi"/>
          <w:sz w:val="28"/>
          <w:szCs w:val="28"/>
        </w:rPr>
        <w:lastRenderedPageBreak/>
        <w:t>registered user thereof in respect of any or all of the goods or services in respect of which the trade mark is registered." This provision creates the formal statutory mechanism for licensing trade marks in India. The significance of registration as a registered user is established by Section 48(2): "The permitted use of a trade mark shall be deemed to</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be used by the proprietor thereof, and shall be deemed not to be used by a person other than the proprietor, for the purposes of section 47 or for any other purpose for which such use is material under this Act or any other law." This deeming provision is critical: it means that a licensee's use of the mark is counted as the proprietor's own use for the purpose of maintaining the mark on the register and defeating applications for removal for non-use under Section 47. Without this provision, a proprietor who chose to market their goods exclusively through licensees rather than using the mark personally might find their registration vulnerable to removal for non-use.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12.</w:t>
      </w:r>
      <w:r w:rsidRPr="002A7AE8">
        <w:rPr>
          <w:rFonts w:cstheme="minorHAnsi"/>
          <w:sz w:val="28"/>
          <w:szCs w:val="28"/>
        </w:rPr>
        <w:tab/>
        <w:t>Registration as registered user – Section 49</w:t>
      </w:r>
    </w:p>
    <w:p w:rsidR="002A7AE8" w:rsidRPr="002A7AE8" w:rsidRDefault="002A7AE8" w:rsidP="002A7AE8">
      <w:pPr>
        <w:rPr>
          <w:rFonts w:cstheme="minorHAnsi"/>
          <w:sz w:val="28"/>
          <w:szCs w:val="28"/>
        </w:rPr>
      </w:pPr>
      <w:r w:rsidRPr="002A7AE8">
        <w:rPr>
          <w:rFonts w:cstheme="minorHAnsi"/>
          <w:sz w:val="28"/>
          <w:szCs w:val="28"/>
        </w:rPr>
        <w:t>Section 49(1) requires the registered proprietor and the proposed registered user to jointly apply in writing to the Registrar. The application must be accompanied by: (a) the agreement in writing between the registered proprietor and the proposed registered user governing the permitted use, or a duly authenticated copy; and (b) an affidavit made by the registered proprietor or an authorised person setting out particulars of: (i) the relationship between the proprietor and the proposed user, including the degree of control by the proprietor over the permitted use; (ii) whether the proposed user is to be the sole registered user or whether others may also be registered; (iii) the goods or services for which use is proposed; (iv) any conditions or restrictions on the use; and (v) whether the use is for a period or without limit.</w:t>
      </w:r>
    </w:p>
    <w:p w:rsidR="002A7AE8" w:rsidRPr="002A7AE8" w:rsidRDefault="002A7AE8" w:rsidP="002A7AE8">
      <w:pPr>
        <w:rPr>
          <w:rFonts w:cstheme="minorHAnsi"/>
          <w:sz w:val="28"/>
          <w:szCs w:val="28"/>
        </w:rPr>
      </w:pPr>
      <w:r w:rsidRPr="002A7AE8">
        <w:rPr>
          <w:rFonts w:cstheme="minorHAnsi"/>
          <w:sz w:val="28"/>
          <w:szCs w:val="28"/>
        </w:rPr>
        <w:t xml:space="preserve">The requirement that the affidavit disclose the degree of control by the proprietor over the permitted use reflects the essential quality-control function of trade mark licensing. A trade mark is a guarantee of origin and consistent quality; if the proprietor licenses use without retaining quality control, the mark ceases to perform its source-identifying function and may become deceptive. Indian courts and the Registry require that the licence agreement contain meaningful quality-control provisions, including the right of </w:t>
      </w:r>
      <w:r w:rsidRPr="002A7AE8">
        <w:rPr>
          <w:rFonts w:cstheme="minorHAnsi"/>
          <w:sz w:val="28"/>
          <w:szCs w:val="28"/>
        </w:rPr>
        <w:lastRenderedPageBreak/>
        <w:t>the licensor to inspect the licensee's goods and manufacturing processes and to terminate the licence for breach of quality standards.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13.</w:t>
      </w:r>
      <w:r w:rsidRPr="002A7AE8">
        <w:rPr>
          <w:rFonts w:cstheme="minorHAnsi"/>
          <w:sz w:val="28"/>
          <w:szCs w:val="28"/>
        </w:rPr>
        <w:tab/>
        <w:t>Powers and rights of registered users – Sections 52–54</w:t>
      </w:r>
    </w:p>
    <w:p w:rsidR="002A7AE8" w:rsidRPr="002A7AE8" w:rsidRDefault="002A7AE8" w:rsidP="002A7AE8">
      <w:pPr>
        <w:rPr>
          <w:rFonts w:cstheme="minorHAnsi"/>
          <w:sz w:val="28"/>
          <w:szCs w:val="28"/>
        </w:rPr>
      </w:pPr>
      <w:r w:rsidRPr="002A7AE8">
        <w:rPr>
          <w:rFonts w:cstheme="minorHAnsi"/>
          <w:sz w:val="28"/>
          <w:szCs w:val="28"/>
        </w:rPr>
        <w:t>Section 52(1) provides: "Subject to any agreement subsisting between the parties, a registered user may institute proceedings for infringement in his own name as if he were the registered proprietor, making the registered proprietor a defendant and the rights and obligations of such registered user in such case being concurrent with those of the registered proprietor." This is a significant provision enabling the registered user to take direct enforcement action against infringers without depending on the proprietor to do so, subject to any contrary agreement. Section 52(2) provides that a registered proprietor so added as a defendant shall not be liable for costs unless they enter an appearance and take part in the proceedings.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53 provides that a person using the mark by way of permitted use under Section 2(1)(r)(ii) — i.e., a contractual licensee who is not a registered user — has no right to institute any proceedings for infringement. Section 54 provides: "Nothing in this Act shall confer on a registered user of a trade mark any assignable or transmissible right to the use thereof." This means the registered user's licence is personal; it cannot be assigned to a third party or transferred to a successor.</w:t>
      </w:r>
    </w:p>
    <w:p w:rsidR="002A7AE8" w:rsidRPr="002A7AE8" w:rsidRDefault="002A7AE8" w:rsidP="002A7AE8">
      <w:pPr>
        <w:rPr>
          <w:rFonts w:cstheme="minorHAnsi"/>
          <w:sz w:val="28"/>
          <w:szCs w:val="28"/>
        </w:rPr>
      </w:pPr>
      <w:r w:rsidRPr="002A7AE8">
        <w:rPr>
          <w:rFonts w:cstheme="minorHAnsi"/>
          <w:sz w:val="28"/>
          <w:szCs w:val="28"/>
        </w:rPr>
        <w:t>Explanation I to Section 54 provides two exceptions to the general rule: where the registered user (an individual) enters into a partnership with another person, the firm may use the mark as long as the registered user remains a partner; and where the registered user (a firm) undergoes a change in constitution, the reconstituted firm may use the mark as long as any partner of the original firm at the time of registration as registered user continues as a partner.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14.</w:t>
      </w:r>
      <w:r w:rsidRPr="002A7AE8">
        <w:rPr>
          <w:rFonts w:cstheme="minorHAnsi"/>
          <w:sz w:val="28"/>
          <w:szCs w:val="28"/>
        </w:rPr>
        <w:tab/>
        <w:t>Variation and cancellation of registered user status – Section 50 Section 50(1) empowers the Registrar to vary or cancel the registration of a registered user in a range of circumstances: on application by the registered</w:t>
      </w:r>
    </w:p>
    <w:p w:rsidR="002A7AE8" w:rsidRPr="002A7AE8" w:rsidRDefault="002A7AE8" w:rsidP="002A7AE8">
      <w:pPr>
        <w:rPr>
          <w:rFonts w:cstheme="minorHAnsi"/>
          <w:sz w:val="28"/>
          <w:szCs w:val="28"/>
        </w:rPr>
      </w:pPr>
      <w:r w:rsidRPr="002A7AE8">
        <w:rPr>
          <w:rFonts w:cstheme="minorHAnsi"/>
          <w:sz w:val="28"/>
          <w:szCs w:val="28"/>
        </w:rPr>
        <w:lastRenderedPageBreak/>
        <w:t>proprietor to vary the goods or services; on application by the registered proprietor,</w:t>
      </w:r>
    </w:p>
    <w:p w:rsidR="002A7AE8" w:rsidRPr="002A7AE8" w:rsidRDefault="002A7AE8" w:rsidP="002A7AE8">
      <w:pPr>
        <w:rPr>
          <w:rFonts w:cstheme="minorHAnsi"/>
          <w:sz w:val="28"/>
          <w:szCs w:val="28"/>
        </w:rPr>
      </w:pPr>
      <w:r w:rsidRPr="002A7AE8">
        <w:rPr>
          <w:rFonts w:cstheme="minorHAnsi"/>
          <w:sz w:val="28"/>
          <w:szCs w:val="28"/>
        </w:rPr>
        <w:t>the registered user, or any other registered user to cancel registration; on application by any person on the grounds that the registered user has used the mark contrary to the agreement or in a manner causing deception or confusion, that misrepresentation or failure to disclose material facts occurred in the original application, that circumstances have changed since registration, or that registration should not have been effected having regard to rights vested in the applicant by contract; and on the Registrar's own motion or on any person's application if stipulations about quality control are not being enforced or complied with.</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15.</w:t>
      </w:r>
      <w:r w:rsidRPr="002A7AE8">
        <w:rPr>
          <w:rFonts w:cstheme="minorHAnsi"/>
          <w:sz w:val="28"/>
          <w:szCs w:val="28"/>
        </w:rPr>
        <w:tab/>
        <w:t>Commercial importance of trade mark licensing</w:t>
      </w:r>
    </w:p>
    <w:p w:rsidR="002A7AE8" w:rsidRPr="002A7AE8" w:rsidRDefault="002A7AE8" w:rsidP="002A7AE8">
      <w:pPr>
        <w:rPr>
          <w:rFonts w:cstheme="minorHAnsi"/>
          <w:sz w:val="28"/>
          <w:szCs w:val="28"/>
        </w:rPr>
      </w:pPr>
      <w:r w:rsidRPr="002A7AE8">
        <w:rPr>
          <w:rFonts w:cstheme="minorHAnsi"/>
          <w:sz w:val="28"/>
          <w:szCs w:val="28"/>
        </w:rPr>
        <w:t>Trade mark licensing is the foundation of some of the most significant commercial arrangements in modern business. Franchise agreements allow the franchisee to use the franchisor's trade marks, systems, and know-how in return for fees and royalties, enabling rapid expansion of branded businesses across geographies without the franchisor needing to own or operate each outlet. Major restaurant chains, hotel brands, retail chains, and professional service firms operate largely or entirely through franchised networks. Manufacturing licences allow a licensee to produce goods bearing the licensor's mark, frequently in combination with technology transfer or know-how licences. Brand partnership and co-branding arrangements allow two brand owners to combine their marks on a joint product, leveraging the reputation of each brand with the other's consumer base. Sports and entertainment licensing allows famous marks associated with sports teams, entertainment characters, and celebrity personalities to be used on merchandise. In all these contexts, the quality-control provisions of the licence and the registered user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mechanism under Sections 48 to 54 of the Act provide the legal architecture within which these commercially vital arrangements operate.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16.</w:t>
      </w:r>
      <w:r w:rsidRPr="002A7AE8">
        <w:rPr>
          <w:rFonts w:cstheme="minorHAnsi"/>
          <w:sz w:val="28"/>
          <w:szCs w:val="28"/>
        </w:rPr>
        <w:tab/>
        <w:t>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Gujarat Bottling Co. Ltd. v. Coca Cola Co.</w:t>
      </w:r>
    </w:p>
    <w:p w:rsidR="002A7AE8" w:rsidRPr="002A7AE8" w:rsidRDefault="002A7AE8" w:rsidP="002A7AE8">
      <w:pPr>
        <w:rPr>
          <w:rFonts w:cstheme="minorHAnsi"/>
          <w:sz w:val="28"/>
          <w:szCs w:val="28"/>
        </w:rPr>
      </w:pPr>
      <w:r w:rsidRPr="002A7AE8">
        <w:rPr>
          <w:rFonts w:cstheme="minorHAnsi"/>
          <w:sz w:val="28"/>
          <w:szCs w:val="28"/>
        </w:rPr>
        <w:t>Citation: (1995) 5 SCC 545</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The Coca-Cola Company granted Gujarat Bottling Company a franchise licence to manufacture and market Coca-Cola branded beverages in India under a detailed bottling agreement that included restrictions on dealing in competing beverage products. Gujarat Bottling began distributing products of a competitor, Pepsi-Cola. Coca-Cola filed suit for specific performance of the restrictive covenant in the franchise agreement and sought an injunction restraining Gujarat Bottling from dealing in competitor products.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the restrictive covenant in a trade mark franchise licence agreement is legally enforceable. (ii) Whether a franchisee / licensed bottler may deal in competing products in breach of the licence agreement. (iii) Whether the licensor is entitled to an injunction to enforce such a restriction.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held that trade mark licence and franchise agreements are legally valid and enforceable commercial contracts. The restrictive covenant restraining the licensee from dealing in competing products was a reasonable restraint of trade necessary to protect the licensor's legitimate commercial interests in maintaining the exclusivity, quality, and reputation of its brand within the licensed territory. A licensee who uses the licensor's trade marks must conduct business in strict accordance with the terms of the licence agreement. The Court granted the injunction restraining Gujarat Bottling from dealing in competing products during the subsistence of the agreement.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American Home Products Corporation v. Mac Laboratories Pvt. Ltd.</w:t>
      </w:r>
    </w:p>
    <w:p w:rsidR="002A7AE8" w:rsidRPr="002A7AE8" w:rsidRDefault="002A7AE8" w:rsidP="002A7AE8">
      <w:pPr>
        <w:rPr>
          <w:rFonts w:cstheme="minorHAnsi"/>
          <w:sz w:val="28"/>
          <w:szCs w:val="28"/>
        </w:rPr>
      </w:pPr>
      <w:r w:rsidRPr="002A7AE8">
        <w:rPr>
          <w:rFonts w:cstheme="minorHAnsi"/>
          <w:sz w:val="28"/>
          <w:szCs w:val="28"/>
        </w:rPr>
        <w:lastRenderedPageBreak/>
        <w:t>Citation: AIR 1986 SC 137; (1986) 1 SCC 465</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American Home Products Corporation held registered trade marks for pharmaceutical products in India. A dispute arose regarding the validity, ownership, and continuation of these rights. Questions were raised about the ability to transfer and maintain trade mark rights and whether the proprietor's registration remained valid and protectable under the Act.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trade marks constitute valuable intellectual property rights capable of transfer and commercial exploitation. (ii) Whether registered trade mark rights continue to vest in and be enforceable by the proprietor until lawfully removed.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held that trade marks are valuable intellectual property assets and that the proprietorship of a registered trade mark is a right of property recognised and protected by law. Ownership rights vest in and continue with the registered proprietor until the registration is properly challenged and removed in accordance with statutory procedures. The Court confirmed that a trade mark is a transferable asset, capable of assignment and transmission to successors and assigns in accordance with the provisions of trade mark law.</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 xml:space="preserve">The provisions governing assignment, transmission, and licensing of trade marks under the Trade Marks Act, 1999 reflect a sophisticated legal framework that recognises trade marks as commercially valuable, freely exploitable assets while maintaining essential safeguards for consumer protection. Sections 37 to 45 provide a comprehensive system for the transfer of trade mark ownership: </w:t>
      </w:r>
      <w:r w:rsidRPr="002A7AE8">
        <w:rPr>
          <w:rFonts w:cstheme="minorHAnsi"/>
          <w:sz w:val="28"/>
          <w:szCs w:val="28"/>
        </w:rPr>
        <w:lastRenderedPageBreak/>
        <w:t>Section 38 permits assignment with or without goodwill, departing from the traditional common law rule; Section 40 prevents assignments that would create confusion through multiplied exclusive rights for similar goods; Section 41 prevents geographically split rights within India without Registrar approval; Section 42 ensures that bare assignments are publicly advertised to protect consumers; and Section 45 requires formal registration of the assignment to protect against competing interests. Sections 48 to 55 provide an equally important framework for licensing: the registered user system under Sections 48 and 49 ensures that licensed use maintains the quality-control function that gives the mark its meaning as a source identifier; Section 48(2) protects the proprietor's registration against removal for non-use when use is made through licensees; Section 52 empowers registered users to bring infringement actions in their own right; and Section 54 prevents the licence from becoming an assignable right separate from the proprietor's ownership. The decisions in Gujarat Bottling Co. v. Coca-Cola and American Home Products Corporation v. Mac Laboratories confirm the legal enforceability of commercial trade mark</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arrangements. Together, these provisions facilitate investment in brand development, enable the commercial exploitation of intellectual property through franchises, distribution agreements, and manufacturing licences, and maintain consumer confidence in the accuracy of the commercial messages conveyed by trade marks in the marketplace.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6: Infringement of trade marks and passing off – remedies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 xml:space="preserve">The Trade Marks Act, 1999 provides two principal civil remedies for the protection of trade marks against unauthorised use: infringement, which is a statutory remedy available exclusively to the proprietors of registered trade marks; and passing off, which is a common law remedy available to both registered and unregistered trade mark owners. Both remedies are ultimately directed at preventing deception in the marketplace, but they differ substantially in their legal basis, the elements that must be proved, and the scope of the rights protected. The Act also provides robust criminal liability for </w:t>
      </w:r>
      <w:r w:rsidRPr="002A7AE8">
        <w:rPr>
          <w:rFonts w:cstheme="minorHAnsi"/>
          <w:sz w:val="28"/>
          <w:szCs w:val="28"/>
        </w:rPr>
        <w:lastRenderedPageBreak/>
        <w:t>intentional trade mark counterfeiting. The relevant provisions are Sections 27 to 31 (rights conferred by registration), Section 29 (infringement), Section 30 (limits on trade mark rights), Section 134 (jurisdiction), and Section 135 (remedies), as well as Sections 103 to 118 (criminal liability).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Rights conferred by registration – Sections 27 and 28</w:t>
      </w:r>
    </w:p>
    <w:p w:rsidR="002A7AE8" w:rsidRPr="002A7AE8" w:rsidRDefault="002A7AE8" w:rsidP="002A7AE8">
      <w:pPr>
        <w:rPr>
          <w:rFonts w:cstheme="minorHAnsi"/>
          <w:sz w:val="28"/>
          <w:szCs w:val="28"/>
        </w:rPr>
      </w:pPr>
      <w:r w:rsidRPr="002A7AE8">
        <w:rPr>
          <w:rFonts w:cstheme="minorHAnsi"/>
          <w:sz w:val="28"/>
          <w:szCs w:val="28"/>
        </w:rPr>
        <w:t>Section 27(1) provides: "No person shall be entitled to institute any proceeding to prevent, or to recover damages for, the infringement of an unregistered trade mark." This provision makes it clear that the statutory infringement action is reserved for registered marks only. An unregistered mark owner must instead rely on the action for passing off, which requires proof of additional elements. Section 27(2) expressly preserves the common law right of passing off: "Nothing in this Act shall be deemed to affect rights of action against any person for passing off goods or services as the goods of another person or as services provided by another person, or the remedies in respect thereof."</w:t>
      </w:r>
    </w:p>
    <w:p w:rsidR="002A7AE8" w:rsidRPr="002A7AE8" w:rsidRDefault="002A7AE8" w:rsidP="002A7AE8">
      <w:pPr>
        <w:rPr>
          <w:rFonts w:cstheme="minorHAnsi"/>
          <w:sz w:val="28"/>
          <w:szCs w:val="28"/>
        </w:rPr>
      </w:pPr>
      <w:r w:rsidRPr="002A7AE8">
        <w:rPr>
          <w:rFonts w:cstheme="minorHAnsi"/>
          <w:sz w:val="28"/>
          <w:szCs w:val="28"/>
        </w:rPr>
        <w:t>Section 28(1) provides: "Subject to the other provisions of this Act, the registration of a trade mark shall, if valid, give to the registered proprietor of the trade mark the exclusive right to the use of the trade mark in relation to the goods or services in respect of which the trade mark is registered and to obtain relief in respect of infringement of the trade mark in the manner provided by this Act." The phrase 'if valid' is important — it preserves the defendant's ability to challenge the validity of the registration as a defence to infringement proceedings. Section 28(3) provides that where two or more persons are registered proprietors of identical or nearly resembling marks, neither acquires an exclusive right against the other merely by reason of registration; their rights as against each other depend on any conditions and limitations entered on the register.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Infringement – Section 29</w:t>
      </w:r>
    </w:p>
    <w:p w:rsidR="002A7AE8" w:rsidRPr="002A7AE8" w:rsidRDefault="002A7AE8" w:rsidP="002A7AE8">
      <w:pPr>
        <w:rPr>
          <w:rFonts w:cstheme="minorHAnsi"/>
          <w:sz w:val="28"/>
          <w:szCs w:val="28"/>
        </w:rPr>
      </w:pPr>
      <w:r w:rsidRPr="002A7AE8">
        <w:rPr>
          <w:rFonts w:cstheme="minorHAnsi"/>
          <w:sz w:val="28"/>
          <w:szCs w:val="28"/>
        </w:rPr>
        <w:t>Section 29 comprehensively defines the acts that constitute infringement of a registered trade mark. The section addresses multiple scenarios reflecting the various ways in which a registered mark can be exploited without the proprietor's consent.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lastRenderedPageBreak/>
        <w:t>Section 29(1) – identical or deceptively similar mark in relation to registered goods or services</w:t>
      </w:r>
    </w:p>
    <w:p w:rsidR="002A7AE8" w:rsidRPr="002A7AE8" w:rsidRDefault="002A7AE8" w:rsidP="002A7AE8">
      <w:pPr>
        <w:rPr>
          <w:rFonts w:cstheme="minorHAnsi"/>
          <w:sz w:val="28"/>
          <w:szCs w:val="28"/>
        </w:rPr>
      </w:pPr>
      <w:r w:rsidRPr="002A7AE8">
        <w:rPr>
          <w:rFonts w:cstheme="minorHAnsi"/>
          <w:sz w:val="28"/>
          <w:szCs w:val="28"/>
        </w:rPr>
        <w:t>Section 29(1) provides: "A registered trade mark is infringed by a person who, not being a registered proprietor or a person using by way of permitted use, uses in the course of trade, a mark which is identical with, or deceptively similar to, the trade mark in relation to goods or services in respect of which the trade mark is registered and in such manner as to render the use of the mark likely to be taken as being used as a trade mark." This provision requires: (i) use in the course of trade; (ii) of a mark identical with or deceptively similar to the registered mark; (iii) in relation to the registered goods or services; and (iv) in a manner likely to be perceived as use as a trade mark. The last requirement distinguishes trade mark use from purely descriptive or ornamental use.</w:t>
      </w:r>
    </w:p>
    <w:p w:rsidR="002A7AE8" w:rsidRPr="002A7AE8" w:rsidRDefault="002A7AE8" w:rsidP="002A7AE8">
      <w:pPr>
        <w:rPr>
          <w:rFonts w:cstheme="minorHAnsi"/>
          <w:sz w:val="28"/>
          <w:szCs w:val="28"/>
        </w:rPr>
      </w:pPr>
      <w:r w:rsidRPr="002A7AE8">
        <w:rPr>
          <w:rFonts w:cstheme="minorHAnsi"/>
          <w:sz w:val="28"/>
          <w:szCs w:val="28"/>
        </w:rPr>
        <w:t>Section 29(2) – likelihood of confusion</w:t>
      </w:r>
    </w:p>
    <w:p w:rsidR="002A7AE8" w:rsidRPr="002A7AE8" w:rsidRDefault="002A7AE8" w:rsidP="002A7AE8">
      <w:pPr>
        <w:rPr>
          <w:rFonts w:cstheme="minorHAnsi"/>
          <w:sz w:val="28"/>
          <w:szCs w:val="28"/>
        </w:rPr>
      </w:pPr>
      <w:r w:rsidRPr="002A7AE8">
        <w:rPr>
          <w:rFonts w:cstheme="minorHAnsi"/>
          <w:sz w:val="28"/>
          <w:szCs w:val="28"/>
        </w:rPr>
        <w:t>Section 29(2) provides that a registered trade mark is infringed where a person uses a mark that, because of: (a) its identity with the registered mark and similarity of the goods or services; (b) its similarity to the registered mark and identity or similarity of goods or services; or (c) its identity with the registered mark and identity of goods or services, is likely to cause confusion on the part of the public, or is likely to have an association with the registered trade mark. Section 29(3) provides that in case (c) — identical mark, identical goods or services — the court shall presume that there is a likelihood of confusion. This statutory presumption relieves the plaintiff of the burden of proving actual or likely confusion in the most obvious cases of infringement.</w:t>
      </w:r>
    </w:p>
    <w:p w:rsidR="002A7AE8" w:rsidRPr="002A7AE8" w:rsidRDefault="002A7AE8" w:rsidP="002A7AE8">
      <w:pPr>
        <w:rPr>
          <w:rFonts w:cstheme="minorHAnsi"/>
          <w:sz w:val="28"/>
          <w:szCs w:val="28"/>
        </w:rPr>
      </w:pPr>
      <w:r w:rsidRPr="002A7AE8">
        <w:rPr>
          <w:rFonts w:cstheme="minorHAnsi"/>
          <w:sz w:val="28"/>
          <w:szCs w:val="28"/>
        </w:rPr>
        <w:t>Section 29(4) – dilution of well-known marks</w:t>
      </w:r>
    </w:p>
    <w:p w:rsidR="002A7AE8" w:rsidRPr="002A7AE8" w:rsidRDefault="002A7AE8" w:rsidP="002A7AE8">
      <w:pPr>
        <w:rPr>
          <w:rFonts w:cstheme="minorHAnsi"/>
          <w:sz w:val="28"/>
          <w:szCs w:val="28"/>
        </w:rPr>
      </w:pPr>
      <w:r w:rsidRPr="002A7AE8">
        <w:rPr>
          <w:rFonts w:cstheme="minorHAnsi"/>
          <w:sz w:val="28"/>
          <w:szCs w:val="28"/>
        </w:rPr>
        <w:t xml:space="preserve">Section 29(4) provides that a registered trade mark is infringed where a person uses a mark that: (a) is identical with or similar to the registered trade mark; (b) is used in relation to goods or services that are not similar to those for which the trade mark is registered; and (c) the registered trade mark has a reputation in India and the use of the mark without due cause takes unfair advantage of, or is detrimental to, the distinctive character or repute of the registered trade mark. This provision protects famous marks against dilution — the gradual erosion of the distinctiveness and commercial value of a mark through unauthorised association with dissimilar goods or services. It does not </w:t>
      </w:r>
      <w:r w:rsidRPr="002A7AE8">
        <w:rPr>
          <w:rFonts w:cstheme="minorHAnsi"/>
          <w:sz w:val="28"/>
          <w:szCs w:val="28"/>
        </w:rPr>
        <w:lastRenderedPageBreak/>
        <w:t>require any likelihood of confusion; the damage to the mark's reputation or character is itself the harm. The mark must have a 'reputation in India'</w:t>
      </w:r>
    </w:p>
    <w:p w:rsidR="002A7AE8" w:rsidRPr="002A7AE8" w:rsidRDefault="002A7AE8" w:rsidP="002A7AE8">
      <w:pPr>
        <w:rPr>
          <w:rFonts w:cstheme="minorHAnsi"/>
          <w:sz w:val="28"/>
          <w:szCs w:val="28"/>
        </w:rPr>
      </w:pPr>
      <w:r w:rsidRPr="002A7AE8">
        <w:rPr>
          <w:rFonts w:cstheme="minorHAnsi"/>
          <w:sz w:val="28"/>
          <w:szCs w:val="28"/>
        </w:rPr>
        <w:t>— a threshold lower than 'well-known trade mark' under Section 2(1)(zg) but higher than mere registration.</w:t>
      </w:r>
    </w:p>
    <w:p w:rsidR="002A7AE8" w:rsidRPr="002A7AE8" w:rsidRDefault="002A7AE8" w:rsidP="002A7AE8">
      <w:pPr>
        <w:rPr>
          <w:rFonts w:cstheme="minorHAnsi"/>
          <w:sz w:val="28"/>
          <w:szCs w:val="28"/>
        </w:rPr>
      </w:pPr>
      <w:r w:rsidRPr="002A7AE8">
        <w:rPr>
          <w:rFonts w:cstheme="minorHAnsi"/>
          <w:sz w:val="28"/>
          <w:szCs w:val="28"/>
        </w:rPr>
        <w:t>Section 29(5) – use as trade name</w:t>
      </w:r>
    </w:p>
    <w:p w:rsidR="002A7AE8" w:rsidRPr="002A7AE8" w:rsidRDefault="002A7AE8" w:rsidP="002A7AE8">
      <w:pPr>
        <w:rPr>
          <w:rFonts w:cstheme="minorHAnsi"/>
          <w:sz w:val="28"/>
          <w:szCs w:val="28"/>
        </w:rPr>
      </w:pPr>
      <w:r w:rsidRPr="002A7AE8">
        <w:rPr>
          <w:rFonts w:cstheme="minorHAnsi"/>
          <w:sz w:val="28"/>
          <w:szCs w:val="28"/>
        </w:rPr>
        <w:t>Section 29(5) provides: "A registered trade mark is infringed by a person if he uses such registered trade mark, as his trade name or part of his trade name, or name of his business concern or part of the name, of his business concern dealing in goods or services in respect of which the trade mark is registered." This prevents traders from</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circumventing trade mark rights by adopting the registered mark as a company or business name rather than using it directly on goods or services. The protection is limited to use in connection with goods or services in the class for which the mark is registered.</w:t>
      </w:r>
    </w:p>
    <w:p w:rsidR="002A7AE8" w:rsidRPr="002A7AE8" w:rsidRDefault="002A7AE8" w:rsidP="002A7AE8">
      <w:pPr>
        <w:rPr>
          <w:rFonts w:cstheme="minorHAnsi"/>
          <w:sz w:val="28"/>
          <w:szCs w:val="28"/>
        </w:rPr>
      </w:pPr>
      <w:r w:rsidRPr="002A7AE8">
        <w:rPr>
          <w:rFonts w:cstheme="minorHAnsi"/>
          <w:sz w:val="28"/>
          <w:szCs w:val="28"/>
        </w:rPr>
        <w:t>Section 29(6) – meaning of 'use' of a registered mark</w:t>
      </w:r>
    </w:p>
    <w:p w:rsidR="002A7AE8" w:rsidRPr="002A7AE8" w:rsidRDefault="002A7AE8" w:rsidP="002A7AE8">
      <w:pPr>
        <w:rPr>
          <w:rFonts w:cstheme="minorHAnsi"/>
          <w:sz w:val="28"/>
          <w:szCs w:val="28"/>
        </w:rPr>
      </w:pPr>
      <w:r w:rsidRPr="002A7AE8">
        <w:rPr>
          <w:rFonts w:cstheme="minorHAnsi"/>
          <w:sz w:val="28"/>
          <w:szCs w:val="28"/>
        </w:rPr>
        <w:t>Section 29(6) provides an inclusive definition of what constitutes use of a registered mark for the purposes of Section 29: a person uses a registered mark if in particular they: (a) affix it to goods or the packaging thereof; (b) offer or expose goods for sale, put them on the market, stock them for these purposes under the mark, or offer or supply services under the mark; (c) import or export goods under the mark; or (d) use the registered trade mark on business papers or in advertising. This list covers the full spectrum of commercial activity through which infringement might occur.</w:t>
      </w:r>
    </w:p>
    <w:p w:rsidR="002A7AE8" w:rsidRPr="002A7AE8" w:rsidRDefault="002A7AE8" w:rsidP="002A7AE8">
      <w:pPr>
        <w:rPr>
          <w:rFonts w:cstheme="minorHAnsi"/>
          <w:sz w:val="28"/>
          <w:szCs w:val="28"/>
        </w:rPr>
      </w:pPr>
      <w:r w:rsidRPr="002A7AE8">
        <w:rPr>
          <w:rFonts w:cstheme="minorHAnsi"/>
          <w:sz w:val="28"/>
          <w:szCs w:val="28"/>
        </w:rPr>
        <w:t>Section 29(7) – application to labelling materials</w:t>
      </w:r>
    </w:p>
    <w:p w:rsidR="002A7AE8" w:rsidRPr="002A7AE8" w:rsidRDefault="002A7AE8" w:rsidP="002A7AE8">
      <w:pPr>
        <w:rPr>
          <w:rFonts w:cstheme="minorHAnsi"/>
          <w:sz w:val="28"/>
          <w:szCs w:val="28"/>
        </w:rPr>
      </w:pPr>
      <w:r w:rsidRPr="002A7AE8">
        <w:rPr>
          <w:rFonts w:cstheme="minorHAnsi"/>
          <w:sz w:val="28"/>
          <w:szCs w:val="28"/>
        </w:rPr>
        <w:t>Section 29(7) provides that a registered trade mark is infringed by a person who applies the mark to materials intended to be used for labelling or packaging goods, as a business paper, or for advertising goods or services, provided the person knew or had reason to believe that the application was not duly authorised. This provision targets suppliers of packaging and printing services who knowingly participate in infringement.</w:t>
      </w:r>
    </w:p>
    <w:p w:rsidR="002A7AE8" w:rsidRPr="002A7AE8" w:rsidRDefault="002A7AE8" w:rsidP="002A7AE8">
      <w:pPr>
        <w:rPr>
          <w:rFonts w:cstheme="minorHAnsi"/>
          <w:sz w:val="28"/>
          <w:szCs w:val="28"/>
        </w:rPr>
      </w:pPr>
      <w:r w:rsidRPr="002A7AE8">
        <w:rPr>
          <w:rFonts w:cstheme="minorHAnsi"/>
          <w:sz w:val="28"/>
          <w:szCs w:val="28"/>
        </w:rPr>
        <w:t>Section 29(8) – infringing advertising</w:t>
      </w:r>
    </w:p>
    <w:p w:rsidR="002A7AE8" w:rsidRPr="002A7AE8" w:rsidRDefault="002A7AE8" w:rsidP="002A7AE8">
      <w:pPr>
        <w:rPr>
          <w:rFonts w:cstheme="minorHAnsi"/>
          <w:sz w:val="28"/>
          <w:szCs w:val="28"/>
        </w:rPr>
      </w:pPr>
      <w:r w:rsidRPr="002A7AE8">
        <w:rPr>
          <w:rFonts w:cstheme="minorHAnsi"/>
          <w:sz w:val="28"/>
          <w:szCs w:val="28"/>
        </w:rPr>
        <w:lastRenderedPageBreak/>
        <w:t>Section 29(8) provides that a registered trade mark is infringed by advertising if such advertising: (a) takes unfair advantage of and is contrary to honest practices in industrial or commercial matters; (b) is detrimental to the distinctive character of the trade mark; or (c) is against the reputation of the trade mark. This provision is particularly relevant to comparative advertising. Not all comparative advertising infringes; only advertising that goes beyond honest comparison and takes unfair advantage of or damages the mark crosses the line.</w:t>
      </w:r>
    </w:p>
    <w:p w:rsidR="002A7AE8" w:rsidRPr="002A7AE8" w:rsidRDefault="002A7AE8" w:rsidP="002A7AE8">
      <w:pPr>
        <w:rPr>
          <w:rFonts w:cstheme="minorHAnsi"/>
          <w:sz w:val="28"/>
          <w:szCs w:val="28"/>
        </w:rPr>
      </w:pPr>
      <w:r w:rsidRPr="002A7AE8">
        <w:rPr>
          <w:rFonts w:cstheme="minorHAnsi"/>
          <w:sz w:val="28"/>
          <w:szCs w:val="28"/>
        </w:rPr>
        <w:t>Section 29(9) – spoken use</w:t>
      </w:r>
    </w:p>
    <w:p w:rsidR="002A7AE8" w:rsidRPr="002A7AE8" w:rsidRDefault="002A7AE8" w:rsidP="002A7AE8">
      <w:pPr>
        <w:rPr>
          <w:rFonts w:cstheme="minorHAnsi"/>
          <w:sz w:val="28"/>
          <w:szCs w:val="28"/>
        </w:rPr>
      </w:pPr>
      <w:r w:rsidRPr="002A7AE8">
        <w:rPr>
          <w:rFonts w:cstheme="minorHAnsi"/>
          <w:sz w:val="28"/>
          <w:szCs w:val="28"/>
        </w:rPr>
        <w:t>Section 29(9) provides that where the distinctive elements of a registered trade mark consist of or include words, the trade mark may be infringed by the spoken use of those words as well as by their visual representation. This provision ensures that infringement does not require the written or printed use of the mark; verbal references to the mark in advertising or commerce can also constitute infringement.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Limits on effect of registered trade mark – Section 30</w:t>
      </w:r>
    </w:p>
    <w:p w:rsidR="002A7AE8" w:rsidRPr="002A7AE8" w:rsidRDefault="002A7AE8" w:rsidP="002A7AE8">
      <w:pPr>
        <w:rPr>
          <w:rFonts w:cstheme="minorHAnsi"/>
          <w:sz w:val="28"/>
          <w:szCs w:val="28"/>
        </w:rPr>
      </w:pPr>
      <w:r w:rsidRPr="002A7AE8">
        <w:rPr>
          <w:rFonts w:cstheme="minorHAnsi"/>
          <w:sz w:val="28"/>
          <w:szCs w:val="28"/>
        </w:rPr>
        <w:t>Section 30 sets out the circumstances in which the use of a registered trade mark does not constitute infringement. Section 30(1) provides that Section 29 does not prevent use by any person of a registered trade mark for the purpose of identifying goods or services as those of the proprietor, provided the use: (a) is in accordance with honest practices in industrial or commercial matters; and (b) is not such as to take unfair advantage of or be detrimental to the distinctive character or repute of</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trade mark. This provision recognises the legitimate use of a registered mark to refer to the proprietor's own goods — a use that is necessary for effective commercial communication including comparative advertising, spare parts supply, and resale of original goods.</w:t>
      </w:r>
    </w:p>
    <w:p w:rsidR="002A7AE8" w:rsidRPr="002A7AE8" w:rsidRDefault="002A7AE8" w:rsidP="002A7AE8">
      <w:pPr>
        <w:rPr>
          <w:rFonts w:cstheme="minorHAnsi"/>
          <w:sz w:val="28"/>
          <w:szCs w:val="28"/>
        </w:rPr>
      </w:pPr>
      <w:r w:rsidRPr="002A7AE8">
        <w:rPr>
          <w:rFonts w:cstheme="minorHAnsi"/>
          <w:sz w:val="28"/>
          <w:szCs w:val="28"/>
        </w:rPr>
        <w:t xml:space="preserve">Section 30(2) provides that a registered trade mark is not infringed where: (a) the use indicates the kind, quality, quantity, intended purpose, value, geographical origin, time of production or other characteristics of goods or services; (b) the use is within any condition or limitation to which the registration is subject; (c) the use relates to goods or services in connection </w:t>
      </w:r>
      <w:r w:rsidRPr="002A7AE8">
        <w:rPr>
          <w:rFonts w:cstheme="minorHAnsi"/>
          <w:sz w:val="28"/>
          <w:szCs w:val="28"/>
        </w:rPr>
        <w:lastRenderedPageBreak/>
        <w:t>with which the registered proprietor or registered user has applied the mark and has not subsequently removed it, or has at any time consented to use; or (d) the use relates to goods adapted to form part of, or be accessory to, other goods in relation to which the mark has been used without infringement, and the use is reasonably necessary to indicate the adaptation. Section 30(3) provides that where goods bearing a registered trade mark are lawfully acquired, the sale or other dealing in those goods by the acquirer or any person claiming through the acquirer is not infringement, subject to Section 30(4) — which provides that this exemption does not apply where the condition of the goods has been changed or impaired after they were put on the market.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Passing off – Section 27(2) and common law</w:t>
      </w:r>
    </w:p>
    <w:p w:rsidR="002A7AE8" w:rsidRPr="002A7AE8" w:rsidRDefault="002A7AE8" w:rsidP="002A7AE8">
      <w:pPr>
        <w:rPr>
          <w:rFonts w:cstheme="minorHAnsi"/>
          <w:sz w:val="28"/>
          <w:szCs w:val="28"/>
        </w:rPr>
      </w:pPr>
      <w:r w:rsidRPr="002A7AE8">
        <w:rPr>
          <w:rFonts w:cstheme="minorHAnsi"/>
          <w:sz w:val="28"/>
          <w:szCs w:val="28"/>
        </w:rPr>
        <w:t>The action for passing off protects the goodwill associated with a trade mark or trade name against misrepresentation. It is available to both registered and unregistered mark owners and does not require the claimant to have registered the mark in any class. The elements of passing off were classically formulated as the 'classical trinity' in Reckitt &amp; Colman Products Ltd. v. Borden Inc. [1990] 1 WLR 491 (HL), which has been widely adopted by Indian courts. The three elements are: (i) goodwill: the claimant must have established goodwill or reputation in their trade or business attached to a distinctive mark, get-up, or name; (ii) misrepresentation: the defendant must have made or be making a misrepresentation — intentional or not — calculated to lead the public to believe that the defendant's goods or services are those of the claimant or are associated with or authorised by the claimant; and (iii) damage: the misrepresentation has caused or is likely to cause damage to the claimant's goodwill.</w:t>
      </w:r>
    </w:p>
    <w:p w:rsidR="002A7AE8" w:rsidRPr="002A7AE8" w:rsidRDefault="002A7AE8" w:rsidP="002A7AE8">
      <w:pPr>
        <w:rPr>
          <w:rFonts w:cstheme="minorHAnsi"/>
          <w:sz w:val="28"/>
          <w:szCs w:val="28"/>
        </w:rPr>
      </w:pPr>
      <w:r w:rsidRPr="002A7AE8">
        <w:rPr>
          <w:rFonts w:cstheme="minorHAnsi"/>
          <w:sz w:val="28"/>
          <w:szCs w:val="28"/>
        </w:rPr>
        <w:t>In Kaviraj Pandit Durga Dutt Sharma v. Navaratna Pharmaceutical Laboratories, AIR 1965 SC 980, the Supreme Court held that in a passing-off action, unlike an infringement action, the court must consider the overall impression created on the relevant consumer, including the get-up, packaging, and all surrounding circumstances, not merely the marks in isolation. In Laxmikant V. Patel v. Chetanbhai Shah, (2002) 3 SCC 65, the Court held that likelihood of injury to goodwill is sufficient</w:t>
      </w:r>
    </w:p>
    <w:p w:rsidR="002A7AE8" w:rsidRPr="002A7AE8" w:rsidRDefault="002A7AE8" w:rsidP="002A7AE8">
      <w:pPr>
        <w:rPr>
          <w:rFonts w:cstheme="minorHAnsi"/>
          <w:sz w:val="28"/>
          <w:szCs w:val="28"/>
        </w:rPr>
      </w:pPr>
      <w:r w:rsidRPr="002A7AE8">
        <w:rPr>
          <w:rFonts w:cstheme="minorHAnsi"/>
          <w:sz w:val="28"/>
          <w:szCs w:val="28"/>
        </w:rPr>
        <w:lastRenderedPageBreak/>
        <w:t>— actual damage need not be proved — and that an injunction should be granted promptly upon proof of dishonest adoption and likelihood of confusion.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Distinction between infringement and passing off</w:t>
      </w:r>
    </w:p>
    <w:p w:rsidR="002A7AE8" w:rsidRPr="002A7AE8" w:rsidRDefault="002A7AE8" w:rsidP="002A7AE8">
      <w:pPr>
        <w:rPr>
          <w:rFonts w:cstheme="minorHAnsi"/>
          <w:sz w:val="28"/>
          <w:szCs w:val="28"/>
        </w:rPr>
      </w:pPr>
      <w:r w:rsidRPr="002A7AE8">
        <w:rPr>
          <w:rFonts w:cstheme="minorHAnsi"/>
          <w:sz w:val="28"/>
          <w:szCs w:val="28"/>
        </w:rPr>
        <w:t>Basis</w:t>
      </w:r>
      <w:r w:rsidRPr="002A7AE8">
        <w:rPr>
          <w:rFonts w:cstheme="minorHAnsi"/>
          <w:sz w:val="28"/>
          <w:szCs w:val="28"/>
        </w:rPr>
        <w:tab/>
        <w:t>Infringement</w:t>
      </w:r>
      <w:r w:rsidRPr="002A7AE8">
        <w:rPr>
          <w:rFonts w:cstheme="minorHAnsi"/>
          <w:sz w:val="28"/>
          <w:szCs w:val="28"/>
        </w:rPr>
        <w:tab/>
        <w:t>Passing off</w:t>
      </w:r>
    </w:p>
    <w:p w:rsidR="002A7AE8" w:rsidRPr="002A7AE8" w:rsidRDefault="002A7AE8" w:rsidP="002A7AE8">
      <w:pPr>
        <w:rPr>
          <w:rFonts w:cstheme="minorHAnsi"/>
          <w:sz w:val="28"/>
          <w:szCs w:val="28"/>
        </w:rPr>
      </w:pPr>
      <w:r w:rsidRPr="002A7AE8">
        <w:rPr>
          <w:rFonts w:cstheme="minorHAnsi"/>
          <w:sz w:val="28"/>
          <w:szCs w:val="28"/>
        </w:rPr>
        <w:t>Registration</w:t>
      </w:r>
      <w:r w:rsidRPr="002A7AE8">
        <w:rPr>
          <w:rFonts w:cstheme="minorHAnsi"/>
          <w:sz w:val="28"/>
          <w:szCs w:val="28"/>
        </w:rPr>
        <w:tab/>
        <w:t>Required — only registered marks</w:t>
      </w:r>
      <w:r w:rsidRPr="002A7AE8">
        <w:rPr>
          <w:rFonts w:cstheme="minorHAnsi"/>
          <w:sz w:val="28"/>
          <w:szCs w:val="28"/>
        </w:rPr>
        <w:tab/>
        <w:t>Not required — also protects unregistered marks</w:t>
      </w:r>
    </w:p>
    <w:p w:rsidR="002A7AE8" w:rsidRPr="002A7AE8" w:rsidRDefault="002A7AE8" w:rsidP="002A7AE8">
      <w:pPr>
        <w:rPr>
          <w:rFonts w:cstheme="minorHAnsi"/>
          <w:sz w:val="28"/>
          <w:szCs w:val="28"/>
        </w:rPr>
      </w:pPr>
      <w:r w:rsidRPr="002A7AE8">
        <w:rPr>
          <w:rFonts w:cstheme="minorHAnsi"/>
          <w:sz w:val="28"/>
          <w:szCs w:val="28"/>
        </w:rPr>
        <w:t>Statutory basis</w:t>
      </w:r>
      <w:r w:rsidRPr="002A7AE8">
        <w:rPr>
          <w:rFonts w:cstheme="minorHAnsi"/>
          <w:sz w:val="28"/>
          <w:szCs w:val="28"/>
        </w:rPr>
        <w:tab/>
        <w:t>Section 29, Trade Marks Act, 1999</w:t>
      </w:r>
      <w:r w:rsidRPr="002A7AE8">
        <w:rPr>
          <w:rFonts w:cstheme="minorHAnsi"/>
          <w:sz w:val="28"/>
          <w:szCs w:val="28"/>
        </w:rPr>
        <w:tab/>
        <w:t>Section 27(2) read with common law</w:t>
      </w:r>
    </w:p>
    <w:p w:rsidR="002A7AE8" w:rsidRPr="002A7AE8" w:rsidRDefault="002A7AE8" w:rsidP="002A7AE8">
      <w:pPr>
        <w:rPr>
          <w:rFonts w:cstheme="minorHAnsi"/>
          <w:sz w:val="28"/>
          <w:szCs w:val="28"/>
        </w:rPr>
      </w:pPr>
      <w:r w:rsidRPr="002A7AE8">
        <w:rPr>
          <w:rFonts w:cstheme="minorHAnsi"/>
          <w:sz w:val="28"/>
          <w:szCs w:val="28"/>
        </w:rPr>
        <w:t>Nature</w:t>
      </w:r>
      <w:r w:rsidRPr="002A7AE8">
        <w:rPr>
          <w:rFonts w:cstheme="minorHAnsi"/>
          <w:sz w:val="28"/>
          <w:szCs w:val="28"/>
        </w:rPr>
        <w:tab/>
        <w:t>Statutory remedy</w:t>
      </w:r>
      <w:r w:rsidRPr="002A7AE8">
        <w:rPr>
          <w:rFonts w:cstheme="minorHAnsi"/>
          <w:sz w:val="28"/>
          <w:szCs w:val="28"/>
        </w:rPr>
        <w:tab/>
        <w:t>Common law remedy in equity</w:t>
      </w:r>
    </w:p>
    <w:p w:rsidR="002A7AE8" w:rsidRPr="002A7AE8" w:rsidRDefault="002A7AE8" w:rsidP="002A7AE8">
      <w:pPr>
        <w:rPr>
          <w:rFonts w:cstheme="minorHAnsi"/>
          <w:sz w:val="28"/>
          <w:szCs w:val="28"/>
        </w:rPr>
      </w:pPr>
      <w:r w:rsidRPr="002A7AE8">
        <w:rPr>
          <w:rFonts w:cstheme="minorHAnsi"/>
          <w:sz w:val="28"/>
          <w:szCs w:val="28"/>
        </w:rPr>
        <w:t>What is protected</w:t>
      </w:r>
      <w:r w:rsidRPr="002A7AE8">
        <w:rPr>
          <w:rFonts w:cstheme="minorHAnsi"/>
          <w:sz w:val="28"/>
          <w:szCs w:val="28"/>
        </w:rPr>
        <w:tab/>
        <w:t>The registered mark itself</w:t>
      </w:r>
      <w:r w:rsidRPr="002A7AE8">
        <w:rPr>
          <w:rFonts w:cstheme="minorHAnsi"/>
          <w:sz w:val="28"/>
          <w:szCs w:val="28"/>
        </w:rPr>
        <w:tab/>
        <w:t>Goodwill and reputation of the business</w:t>
      </w:r>
    </w:p>
    <w:p w:rsidR="002A7AE8" w:rsidRPr="002A7AE8" w:rsidRDefault="002A7AE8" w:rsidP="002A7AE8">
      <w:pPr>
        <w:rPr>
          <w:rFonts w:cstheme="minorHAnsi"/>
          <w:sz w:val="28"/>
          <w:szCs w:val="28"/>
        </w:rPr>
      </w:pPr>
      <w:r w:rsidRPr="002A7AE8">
        <w:rPr>
          <w:rFonts w:cstheme="minorHAnsi"/>
          <w:sz w:val="28"/>
          <w:szCs w:val="28"/>
        </w:rPr>
        <w:t>Proof required</w:t>
      </w:r>
      <w:r w:rsidRPr="002A7AE8">
        <w:rPr>
          <w:rFonts w:cstheme="minorHAnsi"/>
          <w:sz w:val="28"/>
          <w:szCs w:val="28"/>
        </w:rPr>
        <w:tab/>
        <w:t>Use of identical or deceptively similar mark sufficient</w:t>
      </w:r>
      <w:r w:rsidRPr="002A7AE8">
        <w:rPr>
          <w:rFonts w:cstheme="minorHAnsi"/>
          <w:sz w:val="28"/>
          <w:szCs w:val="28"/>
        </w:rPr>
        <w:tab/>
        <w:t>Must prove goodwill, misrepresentation, and damage</w:t>
      </w:r>
    </w:p>
    <w:p w:rsidR="002A7AE8" w:rsidRPr="002A7AE8" w:rsidRDefault="002A7AE8" w:rsidP="002A7AE8">
      <w:pPr>
        <w:rPr>
          <w:rFonts w:cstheme="minorHAnsi"/>
          <w:sz w:val="28"/>
          <w:szCs w:val="28"/>
        </w:rPr>
      </w:pPr>
      <w:r w:rsidRPr="002A7AE8">
        <w:rPr>
          <w:rFonts w:cstheme="minorHAnsi"/>
          <w:sz w:val="28"/>
          <w:szCs w:val="28"/>
        </w:rPr>
        <w:t>Misrepresentation</w:t>
      </w:r>
      <w:r w:rsidRPr="002A7AE8">
        <w:rPr>
          <w:rFonts w:cstheme="minorHAnsi"/>
          <w:sz w:val="28"/>
          <w:szCs w:val="28"/>
        </w:rPr>
        <w:tab/>
        <w:t>Not essential to prove</w:t>
      </w:r>
      <w:r w:rsidRPr="002A7AE8">
        <w:rPr>
          <w:rFonts w:cstheme="minorHAnsi"/>
          <w:sz w:val="28"/>
          <w:szCs w:val="28"/>
        </w:rPr>
        <w:tab/>
        <w:t>Essential element of the action</w:t>
      </w:r>
    </w:p>
    <w:p w:rsidR="002A7AE8" w:rsidRPr="002A7AE8" w:rsidRDefault="002A7AE8" w:rsidP="002A7AE8">
      <w:pPr>
        <w:rPr>
          <w:rFonts w:cstheme="minorHAnsi"/>
          <w:sz w:val="28"/>
          <w:szCs w:val="28"/>
        </w:rPr>
      </w:pPr>
      <w:r w:rsidRPr="002A7AE8">
        <w:rPr>
          <w:rFonts w:cstheme="minorHAnsi"/>
          <w:sz w:val="28"/>
          <w:szCs w:val="28"/>
        </w:rPr>
        <w:t>Damage</w:t>
      </w:r>
      <w:r w:rsidRPr="002A7AE8">
        <w:rPr>
          <w:rFonts w:cstheme="minorHAnsi"/>
          <w:sz w:val="28"/>
          <w:szCs w:val="28"/>
        </w:rPr>
        <w:tab/>
        <w:t>Not required to prove actual damage</w:t>
      </w:r>
      <w:r w:rsidRPr="002A7AE8">
        <w:rPr>
          <w:rFonts w:cstheme="minorHAnsi"/>
          <w:sz w:val="28"/>
          <w:szCs w:val="28"/>
        </w:rPr>
        <w:tab/>
        <w:t>Likelihood of damage sufficient but must be proved</w:t>
      </w:r>
    </w:p>
    <w:p w:rsidR="002A7AE8" w:rsidRPr="002A7AE8" w:rsidRDefault="002A7AE8" w:rsidP="002A7AE8">
      <w:pPr>
        <w:rPr>
          <w:rFonts w:cstheme="minorHAnsi"/>
          <w:sz w:val="28"/>
          <w:szCs w:val="28"/>
        </w:rPr>
      </w:pPr>
      <w:r w:rsidRPr="002A7AE8">
        <w:rPr>
          <w:rFonts w:cstheme="minorHAnsi"/>
          <w:sz w:val="28"/>
          <w:szCs w:val="28"/>
        </w:rPr>
        <w:t>Get-up comparison</w:t>
      </w:r>
      <w:r w:rsidRPr="002A7AE8">
        <w:rPr>
          <w:rFonts w:cstheme="minorHAnsi"/>
          <w:sz w:val="28"/>
          <w:szCs w:val="28"/>
        </w:rPr>
        <w:tab/>
        <w:t>Not relevant — mark is compared in isolation</w:t>
      </w:r>
      <w:r w:rsidRPr="002A7AE8">
        <w:rPr>
          <w:rFonts w:cstheme="minorHAnsi"/>
          <w:sz w:val="28"/>
          <w:szCs w:val="28"/>
        </w:rPr>
        <w:tab/>
        <w:t>Overall impression including get-up is considered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Jurisdiction – Section 134</w:t>
      </w:r>
    </w:p>
    <w:p w:rsidR="002A7AE8" w:rsidRPr="002A7AE8" w:rsidRDefault="002A7AE8" w:rsidP="002A7AE8">
      <w:pPr>
        <w:rPr>
          <w:rFonts w:cstheme="minorHAnsi"/>
          <w:sz w:val="28"/>
          <w:szCs w:val="28"/>
        </w:rPr>
      </w:pPr>
      <w:r w:rsidRPr="002A7AE8">
        <w:rPr>
          <w:rFonts w:cstheme="minorHAnsi"/>
          <w:sz w:val="28"/>
          <w:szCs w:val="28"/>
        </w:rPr>
        <w:t xml:space="preserve">Section 134(1) provides that no suit for infringement of a registered trade mark, for any right in a registered trade mark, or for passing off arising out of use of a mark identical with or deceptively similar to the plaintiff's trade mark, whether registered or unregistered, shall be instituted in any court inferior to a District Court having jurisdiction to try the suit. Section 134(2) introduces a significant modification to the ordinary rules of civil jurisdiction by providing that a 'District Court having jurisdiction' shall, notwithstanding anything in the Code of Civil Procedure, 1908, include a District Court within whose local limits the person instituting the suit or proceeding actually and voluntarily resides, or </w:t>
      </w:r>
      <w:r w:rsidRPr="002A7AE8">
        <w:rPr>
          <w:rFonts w:cstheme="minorHAnsi"/>
          <w:sz w:val="28"/>
          <w:szCs w:val="28"/>
        </w:rPr>
        <w:lastRenderedPageBreak/>
        <w:t>carries on business, or personally works for gain. The Explanation provides that 'person' for this purpose includes the registered proprietor and the registered user. This provision allows trade mark owners to file suit in a court convenient to them, even if the defendant has no presence or activities in that jurisdiction.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Reliefs in infringement or passing-off suits – Section 135</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135(1) provides: "The relief which a court may grant in any suit for infringement or for passing off referred to in section 134 includes injunction (subject to such terms, if any, as the court thinks fit) and at the option of the plaintiff, either damages or an account of profits, together with or without any order for the delivery-up of the infringing labels and marks for destruction or erasure."</w:t>
      </w:r>
    </w:p>
    <w:p w:rsidR="002A7AE8" w:rsidRPr="002A7AE8" w:rsidRDefault="002A7AE8" w:rsidP="002A7AE8">
      <w:pPr>
        <w:rPr>
          <w:rFonts w:cstheme="minorHAnsi"/>
          <w:sz w:val="28"/>
          <w:szCs w:val="28"/>
        </w:rPr>
      </w:pPr>
      <w:r w:rsidRPr="002A7AE8">
        <w:rPr>
          <w:rFonts w:cstheme="minorHAnsi"/>
          <w:sz w:val="28"/>
          <w:szCs w:val="28"/>
        </w:rPr>
        <w:t>Injunctions are the most important and most frequently sought remedy. An injunction restrains the defendant from continuing or recommencing the infringing activity. Section 135(2) provides for several specific forms of interlocutory relief: an ex parte injunction where the matter is urgent; an order for discovery of documents relating to the infringement; an order preserving infringing goods, documents, or other evidence pending final determination; and a Mareva-type order restraining the defendant from disposing of assets in a manner that would impair the plaintiff's ability to recover damages, costs, or other pecuniary relief. The ex parte Anton Piller-type injunction and search and seizure order may also be sought on application.</w:t>
      </w:r>
    </w:p>
    <w:p w:rsidR="002A7AE8" w:rsidRPr="002A7AE8" w:rsidRDefault="002A7AE8" w:rsidP="002A7AE8">
      <w:pPr>
        <w:rPr>
          <w:rFonts w:cstheme="minorHAnsi"/>
          <w:sz w:val="28"/>
          <w:szCs w:val="28"/>
        </w:rPr>
      </w:pPr>
      <w:r w:rsidRPr="002A7AE8">
        <w:rPr>
          <w:rFonts w:cstheme="minorHAnsi"/>
          <w:sz w:val="28"/>
          <w:szCs w:val="28"/>
        </w:rPr>
        <w:t>Courts in India have granted John Doe orders (orders against unnamed defendants) to prevent large-scale counterfeiting by market distributors whose identities are not yet known.</w:t>
      </w:r>
    </w:p>
    <w:p w:rsidR="002A7AE8" w:rsidRPr="002A7AE8" w:rsidRDefault="002A7AE8" w:rsidP="002A7AE8">
      <w:pPr>
        <w:rPr>
          <w:rFonts w:cstheme="minorHAnsi"/>
          <w:sz w:val="28"/>
          <w:szCs w:val="28"/>
        </w:rPr>
      </w:pPr>
      <w:r w:rsidRPr="002A7AE8">
        <w:rPr>
          <w:rFonts w:cstheme="minorHAnsi"/>
          <w:sz w:val="28"/>
          <w:szCs w:val="28"/>
        </w:rPr>
        <w:t xml:space="preserve">Damages compensate the plaintiff for the loss actually suffered as a result of the infringement. The plaintiff may instead elect an account of profits, which requires the defendant to disgorge the profits made through the infringing use of the trade mark. The plaintiff may not claim both damages and an account of profits in respect of the same acts of infringement; the choice between them is an election made by the plaintiff. Section 135(3) limits the award of damages (other than nominal damages) in two circumstances: (a) where the defendant was unaware of the registration and had no reasonable grounds for believing </w:t>
      </w:r>
      <w:r w:rsidRPr="002A7AE8">
        <w:rPr>
          <w:rFonts w:cstheme="minorHAnsi"/>
          <w:sz w:val="28"/>
          <w:szCs w:val="28"/>
        </w:rPr>
        <w:lastRenderedPageBreak/>
        <w:t>the mark was registered, and ceased use upon becoming aware; or (b) in passing-off cases, where the defendant was unaware of the plaintiff's use and ceased use upon becoming aware. An order for delivery-up and destruction of infringing goods, labels, and packaging eliminates infringing goods from the market and prevents them from being recycled.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Criminal liability – Sections 103 to 118</w:t>
      </w:r>
    </w:p>
    <w:p w:rsidR="002A7AE8" w:rsidRPr="002A7AE8" w:rsidRDefault="002A7AE8" w:rsidP="002A7AE8">
      <w:pPr>
        <w:rPr>
          <w:rFonts w:cstheme="minorHAnsi"/>
          <w:sz w:val="28"/>
          <w:szCs w:val="28"/>
        </w:rPr>
      </w:pPr>
      <w:r w:rsidRPr="002A7AE8">
        <w:rPr>
          <w:rFonts w:cstheme="minorHAnsi"/>
          <w:sz w:val="28"/>
          <w:szCs w:val="28"/>
        </w:rPr>
        <w:t>The Act provides criminal remedies for wilful trade mark counterfeiting and related offences. Section 103 provides that any person who falsifies a trade mark, falsely applies a registered mark to goods or services, makes or has in possession dies or instruments for falsifying marks, applies a false trade description, or tampers with an indication of origin, shall, unless they prove they acted without intent to defraud, be punishable with imprisonment for a term of not less than six months but which may extend to three years, and with a fine of not less than fifty thousand rupees but which may extend to two lakh rupees. Section 104 provides a similar penalty for selling goods or providing services to which a false trade mark or false trade description is applied, unless the defendant proves they had no reason to suspect the mark was false, gave all information in their power on demand, or acted innocently.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105 provides enhanced penalties for second and subsequent offences: imprisonment of not less than one year extendable to three years, and a fine of not less than one lakh rupees extendable to two lakh rupees. Section 115(3) makes the offences under Sections 103, 104, and 105 cognizable, and Section 115(4) empowers police officers not below the rank of Deputy Superintendent of Police to search and seize without warrant goods and instruments involved in the commission of such offences.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Groundless threats – Section 142</w:t>
      </w:r>
    </w:p>
    <w:p w:rsidR="002A7AE8" w:rsidRPr="002A7AE8" w:rsidRDefault="002A7AE8" w:rsidP="002A7AE8">
      <w:pPr>
        <w:rPr>
          <w:rFonts w:cstheme="minorHAnsi"/>
          <w:sz w:val="28"/>
          <w:szCs w:val="28"/>
        </w:rPr>
      </w:pPr>
      <w:r w:rsidRPr="002A7AE8">
        <w:rPr>
          <w:rFonts w:cstheme="minorHAnsi"/>
          <w:sz w:val="28"/>
          <w:szCs w:val="28"/>
        </w:rPr>
        <w:t xml:space="preserve">Section 142(1) provides that where a person threatens another with infringement proceedings, whether by circulars, advertisements, or otherwise, a person aggrieved by such threats may bring a suit against the person making the threats for a declaration that the threats are unjustifiable, an injunction against continuation of the threats, and recovery of damages for any loss </w:t>
      </w:r>
      <w:r w:rsidRPr="002A7AE8">
        <w:rPr>
          <w:rFonts w:cstheme="minorHAnsi"/>
          <w:sz w:val="28"/>
          <w:szCs w:val="28"/>
        </w:rPr>
        <w:lastRenderedPageBreak/>
        <w:t>sustained. This provision protects traders from being intimidated by unfounded threats of trade mark litigation, which may deter legitimate commerce. The defendant can escape liability only by proving that the trade mark is registered and that the acts threatened constitute or would constitute infringement.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11.</w:t>
      </w:r>
      <w:r w:rsidRPr="002A7AE8">
        <w:rPr>
          <w:rFonts w:cstheme="minorHAnsi"/>
          <w:sz w:val="28"/>
          <w:szCs w:val="28"/>
        </w:rPr>
        <w:tab/>
        <w:t>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Kaviraj Pandit Durga Dutt Sharma v. Navaratna Pharmaceutical Laboratories</w:t>
      </w:r>
    </w:p>
    <w:p w:rsidR="002A7AE8" w:rsidRPr="002A7AE8" w:rsidRDefault="002A7AE8" w:rsidP="002A7AE8">
      <w:pPr>
        <w:rPr>
          <w:rFonts w:cstheme="minorHAnsi"/>
          <w:sz w:val="28"/>
          <w:szCs w:val="28"/>
        </w:rPr>
      </w:pPr>
      <w:r w:rsidRPr="002A7AE8">
        <w:rPr>
          <w:rFonts w:cstheme="minorHAnsi"/>
          <w:sz w:val="28"/>
          <w:szCs w:val="28"/>
        </w:rPr>
        <w:t>Citation: AIR 1965 SC 980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The plaintiff was the registered proprietor of 'Navaratna' for pharmaceutical preparations. The defendant also used the mark in connection with similar pharmaceutical goods. The plaintiff sued for both infringement and passing off. The Supreme Court had to address the distinction between the two actions and the applicable test for comparison of marks in each.</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In an infringement action, must the court compare only the competing marks, or must it take into account the overall get-up and packaging? (ii) How does the test for infringement differ from the test for passing off?</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drew a clear distinction. In an action for infringement, the court must compare the defendant's mark directly with the registered trade mark. The similarities or differences in the get-up, packaging, or other descriptive matter on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lastRenderedPageBreak/>
        <w:t>defendant's goods are irrelevant to this comparison. If the defendant uses the registered mark or a mark deceptively similar to it, infringement is established regardless of other differences. In a passing-off action, however, the overall impression created by the defendant's goods — including mark, get-up, packaging, and labelling — must be considered, because the question is whether the defendant is misrepresenting their goods as those of the plaintiff. The test for infringement is therefore more focused and favourable to the plaintiff than the broader holistic test for passing off.</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Cadila Health Care Ltd. v. Cadila Pharmaceuticals Ltd.</w:t>
      </w:r>
    </w:p>
    <w:p w:rsidR="002A7AE8" w:rsidRPr="002A7AE8" w:rsidRDefault="002A7AE8" w:rsidP="002A7AE8">
      <w:pPr>
        <w:rPr>
          <w:rFonts w:cstheme="minorHAnsi"/>
          <w:sz w:val="28"/>
          <w:szCs w:val="28"/>
        </w:rPr>
      </w:pPr>
      <w:r w:rsidRPr="002A7AE8">
        <w:rPr>
          <w:rFonts w:cstheme="minorHAnsi"/>
          <w:sz w:val="28"/>
          <w:szCs w:val="28"/>
        </w:rPr>
        <w:t>Citation: (2001) 5 SCC 73</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Cadila Health Care and Cadila Pharmaceuticals had been part of the same group before a business separation. Cadila Health Care marketed an anti-malarial drug as 'FALCIGO' and Cadila Pharmaceuticals marketed a competing product as 'FALCITAB'. The plaintiff alleged that 'FALCITAB' was deceptively similar to 'FALCIGO' and sought an injunction. The pharmaceuticals were sold over the counter and could be purchased by consumers who were illiterate or semi-literate.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What is the standard of comparison to be applied when assessing deceptive similarity in trade marks for pharmaceutical products? (ii) What factors must courts consider?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 xml:space="preserve">The Supreme Court held that the standard of care applied to pharmaceutical marks must be stricter than in other sectors because of the risk to public health arising from confusion about medicines. Consumers of pharmaceutical products span a wide spectrum of literacy and sophistication and may rely heavily on the sound or appearance of a drug name. Confusion between two </w:t>
      </w:r>
      <w:r w:rsidRPr="002A7AE8">
        <w:rPr>
          <w:rFonts w:cstheme="minorHAnsi"/>
          <w:sz w:val="28"/>
          <w:szCs w:val="28"/>
        </w:rPr>
        <w:lastRenderedPageBreak/>
        <w:t>medicines could result in the wrong medication being dispensed with potentially fatal consequences. The Court enumerated the factors to be considered: the nature of the marks, the similarity in sound, appearance, and meaning, the nature and identity of the goods, the manner and channel of purchase, the class of consumers, and all surrounding circumstances.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Laxmikant V. Patel v. Chetanbhai Shah</w:t>
      </w:r>
    </w:p>
    <w:p w:rsidR="002A7AE8" w:rsidRPr="002A7AE8" w:rsidRDefault="002A7AE8" w:rsidP="002A7AE8">
      <w:pPr>
        <w:rPr>
          <w:rFonts w:cstheme="minorHAnsi"/>
          <w:sz w:val="28"/>
          <w:szCs w:val="28"/>
        </w:rPr>
      </w:pPr>
      <w:r w:rsidRPr="002A7AE8">
        <w:rPr>
          <w:rFonts w:cstheme="minorHAnsi"/>
          <w:sz w:val="28"/>
          <w:szCs w:val="28"/>
        </w:rPr>
        <w:t>Citation: (2002) 3 SCC 65</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plaintiff had established a successful colour photography business under the name 'Mukta Jeevan Colour Lab'. The defendant set up a similar business in the same locality using a confusingly similar name. The plaintiff had not registered the name as a trade mark but had built up substantial goodwill through years of business. The plaintiff filed a passing-off suit and sought an injunction.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dishonest adoption of a similar business name without authorisation amounts to passing off. (ii) Whether actual damage must be proved before an injunction will be granted in a passing-off case.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 xml:space="preserve">The Supreme Court held that the fundamental principle underlying passing off is that no person is entitled to represent their business, goods, or services as those of another. Once the plaintiff establishes dishonest adoption and likelihood of confusion causing damage to goodwill, the court should not require proof of actual damage before granting an injunction. Likelihood of injury to goodwill and probable damage is sufficient. The Court emphasised that delay in seeking an injunction, if explained, should not disentitle the </w:t>
      </w:r>
      <w:r w:rsidRPr="002A7AE8">
        <w:rPr>
          <w:rFonts w:cstheme="minorHAnsi"/>
          <w:sz w:val="28"/>
          <w:szCs w:val="28"/>
        </w:rPr>
        <w:lastRenderedPageBreak/>
        <w:t>plaintiff to relief, and that courts should act promptly to prevent ongoing misappropriation of goodwill.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The law of trade mark infringement and passing off under the Trade Marks Act, 1999 provides a comprehensive framework protecting trade mark proprietors against the full spectrum of unauthorised uses that can occur in modern commerce. Section 29 covers infringement in its traditional form (deceptively similar marks for similar goods), extends to dilution of well-known marks across dissimilar goods under Section 29(4), addresses use as a trade name under Section 29(5), and regulates infringing advertising under Section 29(8). Section 30 maintains the balance between proprietors' rights and legitimate third-party activities including comparative advertising and dealings in exhausted goods. The passing-off action under Section 27(2) extends protection to unregistered marks, requiring proof of goodwill, misrepresentation, and damage through the classical trinity. The distinction between infringement and passing off — most clearly articulated in Kaviraj Pandit Durga Dutt Sharma — reflects the fundamental difference between a property-based right in a registered mark and a reputation-based right in an established goodwill. Section 134 grants the plaintiff a convenient forum, while Section 135 provides an effective menu of civil remedies including injunctions, damages, account of profits, and delivery-up. Criminal liability under Sections 103 to 105 deters deliberate counterfeiting. The cases of Cadila Health Care v. Cadila Pharmaceuticals and Laxmikant V. Patel v.</w:t>
      </w:r>
    </w:p>
    <w:p w:rsidR="002A7AE8" w:rsidRPr="002A7AE8" w:rsidRDefault="002A7AE8" w:rsidP="002A7AE8">
      <w:pPr>
        <w:rPr>
          <w:rFonts w:cstheme="minorHAnsi"/>
          <w:sz w:val="28"/>
          <w:szCs w:val="28"/>
        </w:rPr>
      </w:pPr>
      <w:r w:rsidRPr="002A7AE8">
        <w:rPr>
          <w:rFonts w:cstheme="minorHAnsi"/>
          <w:sz w:val="28"/>
          <w:szCs w:val="28"/>
        </w:rPr>
        <w:t>Chetanbhai Shah illustrate the contextual sensitivity with which these principles are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applied, with stricter standards where the potential harm to consumers is greatest and prompt relief where dishonest adoption is clear.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Important case laws – Module 4 (Trade Marks Act, 1999)</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1.</w:t>
      </w:r>
      <w:r w:rsidRPr="002A7AE8">
        <w:rPr>
          <w:rFonts w:cstheme="minorHAnsi"/>
          <w:sz w:val="28"/>
          <w:szCs w:val="28"/>
        </w:rPr>
        <w:tab/>
        <w:t>Kaviraj Pandit Durga Dutt Sharma v. Navaratna Pharmaceutical Laboratories</w:t>
      </w:r>
    </w:p>
    <w:p w:rsidR="002A7AE8" w:rsidRPr="002A7AE8" w:rsidRDefault="002A7AE8" w:rsidP="002A7AE8">
      <w:pPr>
        <w:rPr>
          <w:rFonts w:cstheme="minorHAnsi"/>
          <w:sz w:val="28"/>
          <w:szCs w:val="28"/>
        </w:rPr>
      </w:pPr>
      <w:r w:rsidRPr="002A7AE8">
        <w:rPr>
          <w:rFonts w:cstheme="minorHAnsi"/>
          <w:sz w:val="28"/>
          <w:szCs w:val="28"/>
        </w:rPr>
        <w:t>Citation: AIR 1965 SC 980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The plaintiff, Kaviraj Pandit Durga Dutt Sharma, was the registered proprietor of the trade mark 'Navaratna' for pharmaceutical preparations. The defendant, Navaratna Pharmaceutical Laboratories, also used the mark 'Navaratna' in connection with pharmaceutical goods of a similar description. The plaintiff instituted proceedings for both infringement of the registered trade mark and passing off, contending that the defendant's use of an identical name was calculated to deceive consumers and cause confusion in the market. The matter ultimately reached the Supreme Court, which was called upon to determine the relationship between the two causes of action and the distinct tests applicable to each.</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In an action for infringement of a registered trade mark, must the plaintiff prove that the defendant's overall get-up or packaging is similar to that of the plaintiff, or is it sufficient to establish that the defendant has used the registered mark or a deceptively similar mark? (ii) How does the test for infringement differ from the test applicable in an action for passing off?</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 xml:space="preserve">The Supreme Court laid down the foundational distinction between infringement and passing off. In an action for infringement of a registered trade mark, the comparison required is between the defendant's mark and the registered trade mark — not between the entirety of the defendant's label and the plaintiff's label. Once it is established that the defendant is using the registered mark or a mark deceptively similar to it on goods within the registered class, infringement is established regardless of differences in the get-up, packaging, price, or other descriptive matter. The mark is the gist of the action and nothing else is material. In a passing-off action, by contrast, the </w:t>
      </w:r>
      <w:r w:rsidRPr="002A7AE8">
        <w:rPr>
          <w:rFonts w:cstheme="minorHAnsi"/>
          <w:sz w:val="28"/>
          <w:szCs w:val="28"/>
        </w:rPr>
        <w:lastRenderedPageBreak/>
        <w:t>court must consider the overall impression created by the defendant's goods including the mark, get-up, label design, packaging, colour scheme, and all surrounding features, because the question is whether the defendant has misrepresented their goods as those of the plaintiff. The broader holistic comparison in passing off reflects its foundation in the law of misrepresentation rather than the infringement of a property right.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Significance: This case is the foundational Indian authority on the distinction between infringement and passing off, establishing principles that have been consistently applied and elaborated in subsequent decisions. It confirmed that the statutory infringement remedy is more straightforward and less burdensome to prove than passing off.</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Parle Products Pvt. Ltd. v. J.P. and Co., Mysore</w:t>
      </w:r>
    </w:p>
    <w:p w:rsidR="002A7AE8" w:rsidRPr="002A7AE8" w:rsidRDefault="002A7AE8" w:rsidP="002A7AE8">
      <w:pPr>
        <w:rPr>
          <w:rFonts w:cstheme="minorHAnsi"/>
          <w:sz w:val="28"/>
          <w:szCs w:val="28"/>
        </w:rPr>
      </w:pPr>
      <w:r w:rsidRPr="002A7AE8">
        <w:rPr>
          <w:rFonts w:cstheme="minorHAnsi"/>
          <w:sz w:val="28"/>
          <w:szCs w:val="28"/>
        </w:rPr>
        <w:t>Citation: AIR 1972 SC 1359</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Parle Products had a registered trade mark 'Parle Gluco' for biscuits associated with a distinctive label featuring a particular combination of text, design, and colours. The defendant launched a competing biscuit product 'Glucose D' with a label that was visually similar to Parle's label in its overall layout, typography, and colour scheme, though the words were different. Parle alleged infringement and passing off, and the matter came before the Supreme Court on the question of the applicable standard for comparing the labels to determine deceptive similarity.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What is the appropriate method of comparison to determine whether two composite trade marks comprising words and devices are deceptively similar? (ii) Is it necessary for every element of the two marks to be identical, or is it sufficient if the overall impression created by both marks is similar?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Held:</w:t>
      </w:r>
    </w:p>
    <w:p w:rsidR="002A7AE8" w:rsidRPr="002A7AE8" w:rsidRDefault="002A7AE8" w:rsidP="002A7AE8">
      <w:pPr>
        <w:rPr>
          <w:rFonts w:cstheme="minorHAnsi"/>
          <w:sz w:val="28"/>
          <w:szCs w:val="28"/>
        </w:rPr>
      </w:pPr>
      <w:r w:rsidRPr="002A7AE8">
        <w:rPr>
          <w:rFonts w:cstheme="minorHAnsi"/>
          <w:sz w:val="28"/>
          <w:szCs w:val="28"/>
        </w:rPr>
        <w:t>The Supreme Court held that when comparing two trade marks to determine deceptive similarity, the court must consider the marks as a whole — viewing them from the perspective of the average consumer of ordinary intelligence who exercises no more than a reasonable degree of attention. It is not necessary that every detail of the marks should be identical. Marks are not examined under a microscope; an average consumer retains a general impression of a mark and does not analyse its components in detail. The relevant question is whether the overall resemblance between the marks is such as to be likely to deceive or cause confusion in the mind of the average consumer. The Court held that the similarity between the Parle Gluco label and the Glucose D label was sufficient to cause confusion among ordinary consumers.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Significance: This case established the 'overall impression' or 'gestalt' test for determining deceptive similarity in India, which remains the primary standard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applied in trade mark infringement and passing-off litigation. It is among the most frequently cited trade mark judgments of the Supreme Court.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Cadila Health Care Ltd. v. Cadila Pharmaceuticals Ltd.</w:t>
      </w:r>
    </w:p>
    <w:p w:rsidR="002A7AE8" w:rsidRPr="002A7AE8" w:rsidRDefault="002A7AE8" w:rsidP="002A7AE8">
      <w:pPr>
        <w:rPr>
          <w:rFonts w:cstheme="minorHAnsi"/>
          <w:sz w:val="28"/>
          <w:szCs w:val="28"/>
        </w:rPr>
      </w:pPr>
      <w:r w:rsidRPr="002A7AE8">
        <w:rPr>
          <w:rFonts w:cstheme="minorHAnsi"/>
          <w:sz w:val="28"/>
          <w:szCs w:val="28"/>
        </w:rPr>
        <w:t>Citation: (2001) 5 SCC 73</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 xml:space="preserve">The Cadila group of companies underwent a business separation resulting in two independent pharmaceutical companies — Cadila Health Care Ltd. and Cadila Pharmaceuticals Ltd. Both companies manufactured and sold pharmaceutical products under brand names that included the parent word 'Cadila', a source of common origin. The specific dispute involved Cadila Health Care's anti-malarial drug sold under the mark 'FALCIGO' and Cadila Pharmaceuticals' product sold under the mark 'FALCITAB'. Both names were derived from 'falciparum', the name of the malaria parasite, and were sold as tablets for the treatment of malaria. The plaintiff contended that the </w:t>
      </w:r>
      <w:r w:rsidRPr="002A7AE8">
        <w:rPr>
          <w:rFonts w:cstheme="minorHAnsi"/>
          <w:sz w:val="28"/>
          <w:szCs w:val="28"/>
        </w:rPr>
        <w:lastRenderedPageBreak/>
        <w:t>defendant's mark was confusingly similar and that the products were dispensed to patients who might receive the wrong medicine if confused.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'FALCITAB' was deceptively similar to 'FALCIGO' so as to constitute passing off. (ii) What enhanced standards, if any, should be applied when assessing the likelihood of confusion between trade marks for pharmaceutical products? (iii) What factors must courts take into account in such cases?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held that the standard of care applied when assessing deceptive similarity in pharmaceutical products must be more exacting than in consumer goods generally. This is because pharmaceutical products may be purchased by or dispensed to patients who are illiterate, semi-literate, visually impaired, or in urgent medical need and who may rely on the visual appearance or sound of the drug name rather than its precise spelling. The difference between two similarly named drugs could, if confused, result in the administration of the wrong medication with potentially fatal consequences. The Court formulated a non-exhaustive list of factors to be considered: the nature of the marks; the nature of the goods; the resemblance between the marks in all relevant respects including visual appearance, pronunciation, and meaning; the class of consumers likely to purchase the goods; the mode of purchase — whether over the counter, by prescription, or in bulk; and all other surrounding circumstances. Applying these factors, 'FALCITAB' and 'FALCIGO' were held to be confusingly similar.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Significance: This is the foundational Indian judgment on the heightened standard applicable to pharmaceutical trade marks. It explicitly acknowledges the public health dimension of pharmaceutical trade mark disputes and has been followed extensively in subsequent pharmaceutical trade mark cases.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N.R. Dongre v. Whirlpool Corporation</w:t>
      </w:r>
    </w:p>
    <w:p w:rsidR="002A7AE8" w:rsidRPr="002A7AE8" w:rsidRDefault="002A7AE8" w:rsidP="002A7AE8">
      <w:pPr>
        <w:rPr>
          <w:rFonts w:cstheme="minorHAnsi"/>
          <w:sz w:val="28"/>
          <w:szCs w:val="28"/>
        </w:rPr>
      </w:pPr>
      <w:r w:rsidRPr="002A7AE8">
        <w:rPr>
          <w:rFonts w:cstheme="minorHAnsi"/>
          <w:sz w:val="28"/>
          <w:szCs w:val="28"/>
        </w:rPr>
        <w:t>Citation: 1996 PTC (16) 583 (SC); (1996) 5 SCC 714</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Whirlpool Corporation, the American manufacturer of household appliances, had marketed its products under the 'WHIRLPOOL' mark globally for decades. In India, while Whirlpool had not maintained an active domestic trade mark registration, its products had become known to Indian consumers through advertisements in internationally circulated publications and through sales to diplomatic missions, international organisations, and returning travellers. An Indian company, N.R. Dongre and others, applied for and obtained a trade mark registration for 'Whirlpool' in India for washing machines and began using it commercially. Whirlpool Corporation filed a suit for passing off based on its established trans-border reputation.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Whether a foreign company whose trade mark is well-known internationally but which does not have a current domestic trade mark registration or substantial commercial operations in India can claim protection for its mark in India through an action for passing off. (ii) Whether the doctrine of 'trans-border reputation' — the acquisition of goodwill in a country through international advertising and reputation spillover — is recognised in Indian law.</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upheld the injunction restraining the defendant from using the 'Whirlpool' mark. The Court recognised the doctrine of trans-border reputation in Indian trade mark law, holding that in the modern era of global communication, international travel, and worldwide media — including satellite television and international publications — the reputation and goodwill of a well-known trade mark is not confined within the borders of the country where the proprietor conducts its primary commercial operations. A mark may acquire goodwill and reputation in India through international advertising, even without formal domestic use, if the relevant Indian public has become aware of and associates the mark with the foreign proprietor. Such internationally acquired reputation is entitled to legal protection through the action of passing off against domestic traders who seek to misappropriate it.</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Significance: This is the seminal Indian case on trans-border reputation, establishing that internationally famous trade marks may be protected in India against domestic imitators even without formal domestic registration or substantial physical commercial presence.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Yahoo! Inc. v. Akash Arora and Another</w:t>
      </w:r>
    </w:p>
    <w:p w:rsidR="002A7AE8" w:rsidRPr="002A7AE8" w:rsidRDefault="002A7AE8" w:rsidP="002A7AE8">
      <w:pPr>
        <w:rPr>
          <w:rFonts w:cstheme="minorHAnsi"/>
          <w:sz w:val="28"/>
          <w:szCs w:val="28"/>
        </w:rPr>
      </w:pPr>
      <w:r w:rsidRPr="002A7AE8">
        <w:rPr>
          <w:rFonts w:cstheme="minorHAnsi"/>
          <w:sz w:val="28"/>
          <w:szCs w:val="28"/>
        </w:rPr>
        <w:t>Citation: 1999 PTC (19) 201 (Delhi High Court)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Yahoo! Inc. was the American internet company that had developed the globally famous 'Yahoo!' trade mark and the 'yahoo.com' domain name as an internet portal providing search engine services, email, news, and various other internet services. The company had invested substantially in promoting the mark internationally. The defendant, Akash Arora, registered and operated the domain name 'yahooindia.com' and offered substantially similar internet services under the name 'Yahoo India', without any authorisation from or affiliation with Yahoo! Inc. Yahoo! filed a suit for passing off alleging that the defendant was misrepresenting its services as those of, or associated with, Yahoo!, and thereby trading on Yahoo!'s established goodwill.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an internet domain name is a commercial identifier capable of protection as a trade mark or trade name under Indian law. (ii) Whether the defendant's operation of 'yahooindia.com' for similar internet services amounted to misrepresentation constituting passing off. (iii) Whether the well-known Yahoo! mark was entitled to protection against this form of misappropriation.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 xml:space="preserve">The Delhi High Court held that internet domain names are not merely technical addresses; they serve as commercial identifiers in the digital marketplace in </w:t>
      </w:r>
      <w:r w:rsidRPr="002A7AE8">
        <w:rPr>
          <w:rFonts w:cstheme="minorHAnsi"/>
          <w:sz w:val="28"/>
          <w:szCs w:val="28"/>
        </w:rPr>
        <w:lastRenderedPageBreak/>
        <w:t>the same way as trade marks serve to identify the commercial origin of goods and services in the physical marketplace. Internet users who encounter 'yahooindia.com' in connection with internet portal services similar to those of Yahoo! would naturally assume that the site was operated by or was associated with Yahoo!. This constituted a misrepresentation of the commercial source of the defendant's services, causing or likely to cause damage to Yahoo!'s goodwill. The Court granted an injunction restraining the defendant from using the domain name and from representing any connection with Yahoo! Inc.</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Significance: This was the first major Indian case to extend trade mark and passing-off protection to internet domain names. It established the principle that the law of passing off applies fully to the online environment and that domain names performing a source-identifying function are entitled to the same protection as trade marks. This decision paved the way for subsequent cyber-squatting cases.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Satyam Infoway Ltd. v. Sifynet Solutions Pvt. Ltd.</w:t>
      </w:r>
    </w:p>
    <w:p w:rsidR="002A7AE8" w:rsidRPr="002A7AE8" w:rsidRDefault="002A7AE8" w:rsidP="002A7AE8">
      <w:pPr>
        <w:rPr>
          <w:rFonts w:cstheme="minorHAnsi"/>
          <w:sz w:val="28"/>
          <w:szCs w:val="28"/>
        </w:rPr>
      </w:pPr>
      <w:r w:rsidRPr="002A7AE8">
        <w:rPr>
          <w:rFonts w:cstheme="minorHAnsi"/>
          <w:sz w:val="28"/>
          <w:szCs w:val="28"/>
        </w:rPr>
        <w:t>Citation: (2004) 6 SCC 145</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Satyam Infoway Ltd. was a leading internet service provider in India that had marketed its services under the brand name 'Sify' — a name derived from the first four letters of 'satyam infosys'. The company had invested substantially in advertising its services under this distinctive brand. The respondent, Sifynet Solutions, began offering internet-related services under the domain names 'sifynet.com' and 'sifynet.net', which incorporated the distinctive 'sify' element from Satyam's brand name. Satyam filed a suit for passing off contending that the respondent's use was deceptively similar to its well-established brand and was likely to mislead internet users.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lastRenderedPageBreak/>
        <w:t>(i) Whether the legal principles protecting trade marks and trade names under Indian law extend to internet domain names. (ii) Whether a passing-off action is maintainable in respect of a domain name incorporating the distinctive element of another party's well-established brand. (iii) What elements must be established to succeed in a domain name passing-off action?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affirmed the Delhi High Court's grant of an injunction in favour of Satyam Infoway. The Court held definitively that domain names perform the same commercial function as trade marks in the digital world and are not merely technical internet addresses. A domain name can represent the commercial identity of a business in cyberspace and may acquire substantial goodwill and reputation. A passing-off action is therefore maintainable in respect of domain names, and the plaintiff must establish the same classical trinity of elements as in any passing-off action: established goodwill in the name or mark; a misrepresentation by the defendant, whether intentional or not, likely to lead the public to believe that the defendant's services are those of, or are associated with, the plaintiff; and damage or likelihood of damage to the plaintiff's goodwill resulting from the misrepresentation. The Court found all three elements established on the facts.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Significance: This remains the leading Supreme Court authority on the legal status of domain names under Indian trade mark and passing-off law. It definitively confirmed the principle from Yahoo! v. Akash Arora at the apex court level and established that the classical principles of passing off apply fully to domain name disputes, providing a clear and principled framework for resolving such disputes.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Toyota Jidosha Kabushiki Kaisha v. Prius Auto Industries Ltd.</w:t>
      </w:r>
    </w:p>
    <w:p w:rsidR="002A7AE8" w:rsidRPr="002A7AE8" w:rsidRDefault="002A7AE8" w:rsidP="002A7AE8">
      <w:pPr>
        <w:rPr>
          <w:rFonts w:cstheme="minorHAnsi"/>
          <w:sz w:val="28"/>
          <w:szCs w:val="28"/>
        </w:rPr>
      </w:pPr>
      <w:r w:rsidRPr="002A7AE8">
        <w:rPr>
          <w:rFonts w:cstheme="minorHAnsi"/>
          <w:sz w:val="28"/>
          <w:szCs w:val="28"/>
        </w:rPr>
        <w:t>Citation: (2018) 2 SCC 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lastRenderedPageBreak/>
        <w:t>Toyota Motor Corporation (Kabushiki Kaisha) sought to enforce its internationally famous 'Prius' trade mark — associated with the world's first commercially mass-produced hybrid automobile — against Prius Auto Industries Ltd., an Indian company that had been marketing automobile parts under the name 'Prius' since 2001.</w:t>
      </w:r>
    </w:p>
    <w:p w:rsidR="002A7AE8" w:rsidRPr="002A7AE8" w:rsidRDefault="002A7AE8" w:rsidP="002A7AE8">
      <w:pPr>
        <w:rPr>
          <w:rFonts w:cstheme="minorHAnsi"/>
          <w:sz w:val="28"/>
          <w:szCs w:val="28"/>
        </w:rPr>
      </w:pPr>
      <w:r w:rsidRPr="002A7AE8">
        <w:rPr>
          <w:rFonts w:cstheme="minorHAnsi"/>
          <w:sz w:val="28"/>
          <w:szCs w:val="28"/>
        </w:rPr>
        <w:t>Toyota's Prius hybrid car was first launched in Japan in 1997, began international sales in 2000, but was not commercially marketed or sold in India until several years later. Toyota argued that the global fame of the Prius brand, established through worldwide sales and advertising, was sufficient to establish the mark's reputation in India at the time Prius Auto Industries adopted it.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What quantum and quality of evidence is required to establish trans-border reputation in India for purposes of a passing-off action? (ii) Does a trade mark's international fame in markets outside India automatically translate into protectable goodwill within Indian territory? (iii) How should the doctrine of trans-border reputation recognised in Whirlpool be qualified or applied in cases where the foreign mark owner has not engaged in advertising specifically directed at Indian consumers?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declined to restrain Prius Auto Industries, holding that the doctrine of trans-border reputation requires proof by cogent and credible evidence that the foreign trade mark owner's mark was actually known and recognised by the relevant section of the Indian public within Indian territory at the time the defendant adopted the mark in India. The mere fact that a mark is globally famous — even well-known to car enthusiasts worldwide — does not automatically create protectable goodwill in India for the purpose of a passing-off action. The evidence must show that the reputation has actually percolated into the Indian consumer's consciousness through advertising, media coverage, word of mouth, or other channels specifically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lastRenderedPageBreak/>
        <w:t>reaching India. As Toyota's evidence of pre-2001 Indian brand awareness for 'Prius' was insufficient to establish this, the Court refused to grant the injunction sought.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Significance: This judgment is the most important recent qualification of the trans-border reputation doctrine in India. It draws a clear distinction between the mere existence of an international brand and the actual establishment of goodwill in a specific national market. The case clarifies that foreign trade mark owners cannot rely solely on their global reputation; they must adduce positive evidence of recognition within the Indian market specifically. The decision has significant implications for international brand owners seeking to enter India after already launching elsewhere.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 xml:space="preserve">The case laws examined in this module collectively chart the development of Indian trade mark jurisprudence across key doctrinal areas. Kaviraj Pandit Durga Dutt Sharma v. Navaratna Pharmaceutical Laboratories established the foundational distinction between infringement and passing off, clarifying the different standards of comparison applicable to each. Parle Products v. J.P. and Co. refined the overall impression test for deceptive similarity, establishing the principle that marks are compared from the perspective of an ordinarily intelligent consumer rather than under a legal microscope. Cadila Health Care v. Cadila Pharmaceuticals introduced heightened standards for pharmaceutical marks, acknowledging that trade mark confusion in the medicines sector has potentially fatal consequences. N.R. Dongre v. Whirlpool Corporation recognised the trans-border reputation doctrine, enabling internationally famous marks to be protected in India even without domestic registration or use. Yahoo! Inc. v. Akash Arora pioneered the extension of trade mark and passing-off principles to the digital environment, establishing that domain names are protectable commercial identifiers. Satyam Infoway v. Sifynet Solutions cemented this principle at the Supreme Court level, applying the classical trinity of passing off to domain name disputes. Toyota Jidosha Kabushiki Kaisha v. Prius Auto Industries qualified the trans-border reputation doctrine, requiring proof of actual Indian market recognition rather than mere reliance on global fame. Together, these decisions demonstrate the Indian </w:t>
      </w:r>
      <w:r w:rsidRPr="002A7AE8">
        <w:rPr>
          <w:rFonts w:cstheme="minorHAnsi"/>
          <w:sz w:val="28"/>
          <w:szCs w:val="28"/>
        </w:rPr>
        <w:lastRenderedPageBreak/>
        <w:t>judiciary's coherent, principled, and pragmatic approach to trade mark law: consistent adherence to established doctrines while adapting their application to the contexts of pharmaceutical safety, digital commerce, and international brand protection.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Short notes on trademark law – Module 4</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Effect of registration of trade marks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Registration of a trade mark under the Trade Marks Act, 1999 transforms what may otherwise be merely a common law right — enforceable through the action for passing off — into a statutory property right with clearly defined attributes, enforceable against a wider class of defendants with a lower burden of proof. The Act draws a sharp distinction between the position of a registered and an unregistered trade mark owner, making registration the foundation of effective statutory protection. The principal provisions governing the effects of registration are Sections 27, 28, 31, 32, 33, 34, and 35.</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Bar against unregistered mark infringement proceedings – Section 27(1)</w:t>
      </w:r>
    </w:p>
    <w:p w:rsidR="002A7AE8" w:rsidRPr="002A7AE8" w:rsidRDefault="002A7AE8" w:rsidP="002A7AE8">
      <w:pPr>
        <w:rPr>
          <w:rFonts w:cstheme="minorHAnsi"/>
          <w:sz w:val="28"/>
          <w:szCs w:val="28"/>
        </w:rPr>
      </w:pPr>
      <w:r w:rsidRPr="002A7AE8">
        <w:rPr>
          <w:rFonts w:cstheme="minorHAnsi"/>
          <w:sz w:val="28"/>
          <w:szCs w:val="28"/>
        </w:rPr>
        <w:t>Section 27(1) provides: "No person shall be entitled to institute any proceeding to prevent, or to recover damages for, the infringement of an unregistered trade mark." This provision confines the statutory infringement action exclusively to registered marks. An owner of an unregistered mark cannot rely on Section 29 and the associated remedies under Section 135; they must instead pursue the common law action for passing off, which requires proof of goodwill, misrepresentation, and damage — a significantly more demanding burden. Section 27(2) expressly preserves passing-off rights, ensuring that this limitation does not leave unregistered marks without any legal protection.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Exclusive right to use – Section 28(1)</w:t>
      </w:r>
    </w:p>
    <w:p w:rsidR="002A7AE8" w:rsidRPr="002A7AE8" w:rsidRDefault="002A7AE8" w:rsidP="002A7AE8">
      <w:pPr>
        <w:rPr>
          <w:rFonts w:cstheme="minorHAnsi"/>
          <w:sz w:val="28"/>
          <w:szCs w:val="28"/>
        </w:rPr>
      </w:pPr>
      <w:r w:rsidRPr="002A7AE8">
        <w:rPr>
          <w:rFonts w:cstheme="minorHAnsi"/>
          <w:sz w:val="28"/>
          <w:szCs w:val="28"/>
        </w:rPr>
        <w:lastRenderedPageBreak/>
        <w:t>Section 28(1) provides: "Subject to the other provisions of this Act, the registration of a trade mark shall, if valid, give to the registered proprietor of the trade mark the exclusive right to the use of the trade mark in relation to the goods or services in respect of which the trade mark is registered and to obtain relief in respect of infringement of the trade mark in the manner provided by this Act." This confers a positive statutory entitlement — the exclusive right to use — as well as a negative right to prevent others from infringing. The phrase 'if valid' preserves the defendant's ability to challenge validity as a defence. Section 28(2) subjects the exclusive right to any conditions and limitations entered on the register. Section 28(3) qualifies the exclusive right where two or more persons are registered for identical or nearly resembling marks, providing that the exclusive right of each does not operate as against the other merely by reason of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Prima facie evidence of validity – Section 31</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31(1) provides: "In all legal proceedings relating to a trade mark registered under this Act (including applications under section 57), the original registration of the trade mark and of all subsequent assignments and transmissions of the trade mark shall be prima facie evidence of the validity thereof." This provision significantly simplifies enforcement for the registered proprietor. In infringement proceedings, the plaintiff does not bear the burden of proving that their registration is valid; it is presumed valid and the defendant must adduce sufficient evidence to rebut that presumption. Section 31(2) provides a specific rule about proof of distinctiveness, confirming that a registered mark shall not be invalidated on the ground that it was not registrable under Section 9 at the time of registration, unless it is proved that the mark had not in fact become distinctive at the date of registration and evidence of distinctiveness was not submitted before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Protection of acquired distinctiveness – Section 32</w:t>
      </w:r>
    </w:p>
    <w:p w:rsidR="002A7AE8" w:rsidRPr="002A7AE8" w:rsidRDefault="002A7AE8" w:rsidP="002A7AE8">
      <w:pPr>
        <w:rPr>
          <w:rFonts w:cstheme="minorHAnsi"/>
          <w:sz w:val="28"/>
          <w:szCs w:val="28"/>
        </w:rPr>
      </w:pPr>
      <w:r w:rsidRPr="002A7AE8">
        <w:rPr>
          <w:rFonts w:cstheme="minorHAnsi"/>
          <w:sz w:val="28"/>
          <w:szCs w:val="28"/>
        </w:rPr>
        <w:t xml:space="preserve">Section 32 provides: "Where a trade mark is registered in breach of sub-section (1) of section 9, it shall not be declared invalid if, in consequence of the use which has been made of it, it has after registration and before commencement </w:t>
      </w:r>
      <w:r w:rsidRPr="002A7AE8">
        <w:rPr>
          <w:rFonts w:cstheme="minorHAnsi"/>
          <w:sz w:val="28"/>
          <w:szCs w:val="28"/>
        </w:rPr>
        <w:lastRenderedPageBreak/>
        <w:t>of any legal proceedings challenging the validity of such registration, acquired a distinctive character in relation to the goods or services for which it is registered." This provision recognises the dynamic nature of distinctiveness — a mark that lacked inherent distinctiveness at the time of registration may, through subsequent use, acquire a secondary meaning strong enough to make it valid and enforceable despite the original defect in registrability. The provision is confined to marks that fall foul of Section 9(1) (lacking distinctive character, descriptive, or customary marks); it does not apply to marks refused under Section 9(2) (deceptive, hurting religious sentiments, scandalous, or prohibited).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Acquiescence – Section 33</w:t>
      </w:r>
    </w:p>
    <w:p w:rsidR="002A7AE8" w:rsidRPr="002A7AE8" w:rsidRDefault="002A7AE8" w:rsidP="002A7AE8">
      <w:pPr>
        <w:rPr>
          <w:rFonts w:cstheme="minorHAnsi"/>
          <w:sz w:val="28"/>
          <w:szCs w:val="28"/>
        </w:rPr>
      </w:pPr>
      <w:r w:rsidRPr="002A7AE8">
        <w:rPr>
          <w:rFonts w:cstheme="minorHAnsi"/>
          <w:sz w:val="28"/>
          <w:szCs w:val="28"/>
        </w:rPr>
        <w:t>Section 33(1) provides that where the proprietor of an earlier trade mark has acquiesced for a continuous period of five years in the use of a registered later trade mark, being aware of that use, they shall no longer be entitled to apply for a declaration of invalidity of the later mark or to oppose its use, unless the later mark was applied for in bad faith. Section 33(2) provides that where Section 33(1) applies, the proprietor of the later mark is not entitled to oppose the use of the earlier mark or earlier right. Acquiescence, combined with the passage of time, thus creates a mutual bar on challenging the continued coexistence of both marks. The rationale is that a proprietor who knowingly tolerates the use of a later mark for five years must be taken to have accepted that coexistence and should not be permitted to disturb it after such passage of time.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Saving for prior users and bona fide use – Sections 34 and 35</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Section 34 provides that registration does not entitle the proprietor to interfere with the use by any person of a mark identical with or nearly resembling the registered mark in relation to goods or services in relation to which that person or a predecessor in title has continuously used the mark from a date prior to: (a) the use of the registered mark by the proprietor or their predecessor; or (b) the date of registration. This protects the 'prior user' — a person who began using a mark honestly and continuously before the </w:t>
      </w:r>
      <w:r w:rsidRPr="002A7AE8">
        <w:rPr>
          <w:rFonts w:cstheme="minorHAnsi"/>
          <w:sz w:val="28"/>
          <w:szCs w:val="28"/>
        </w:rPr>
        <w:lastRenderedPageBreak/>
        <w:t>registered proprietor — from being displaced by the later registration. Section 35 saves any bona fide use by a person of their own name or place of business, or the name of any of their predecessors in business, from constituting infringement, recognising a person's natural right to trade under their own name.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Non-conventional trade marks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The traditional concept of a trade mark centred on visible signs such as words, names, letters, numbers, and device marks. As commercial practices have evolved, new forms of distinctive commercial identifiers have emerged that do not fit within this traditional mould. These are collectively referred to as 'non-conventional trade marks'. The broad definition of 'trade mark' in Section 2(1)(zb) and of 'mark' in Section 2(1)(m) of the Trade Marks Act, 1999, which expressly includes the shape of goods, their packaging, and combinations of colours, provides the statutory foundation for the registration and protection of non-conventional marks in India.</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Sound marks</w:t>
      </w:r>
    </w:p>
    <w:p w:rsidR="002A7AE8" w:rsidRPr="002A7AE8" w:rsidRDefault="002A7AE8" w:rsidP="002A7AE8">
      <w:pPr>
        <w:rPr>
          <w:rFonts w:cstheme="minorHAnsi"/>
          <w:sz w:val="28"/>
          <w:szCs w:val="28"/>
        </w:rPr>
      </w:pPr>
      <w:r w:rsidRPr="002A7AE8">
        <w:rPr>
          <w:rFonts w:cstheme="minorHAnsi"/>
          <w:sz w:val="28"/>
          <w:szCs w:val="28"/>
        </w:rPr>
        <w:t>A sound mark is a distinctive sound used to identify the commercial origin of goods or services. Examples include the famous Intel 'bong' audio signature, the roar of MGM's lion, and the Nokia default ringtone. In India, sound marks have been registrable since the Trade Marks Act, 1999 came into force, provided the sound can be graphically represented — through musical notation, a staff notation showing the notes or a spectrogram — and is capable of distinguishing the goods or services with which it is associated. The Trade Marks Rules, 2017 provide specifically for the filing of audio files (MP3 format) as part of applications for sound marks. The applicant must demonstrate that the sound has acquired distinctiveness — that consumers recognise it as indicating the commercial origin of particular goods or services — as most sounds are not inherently distinctive as trade marks.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3.</w:t>
      </w:r>
      <w:r w:rsidRPr="002A7AE8">
        <w:rPr>
          <w:rFonts w:cstheme="minorHAnsi"/>
          <w:sz w:val="28"/>
          <w:szCs w:val="28"/>
        </w:rPr>
        <w:tab/>
        <w:t>Colour marks</w:t>
      </w:r>
    </w:p>
    <w:p w:rsidR="002A7AE8" w:rsidRPr="002A7AE8" w:rsidRDefault="002A7AE8" w:rsidP="002A7AE8">
      <w:pPr>
        <w:rPr>
          <w:rFonts w:cstheme="minorHAnsi"/>
          <w:sz w:val="28"/>
          <w:szCs w:val="28"/>
        </w:rPr>
      </w:pPr>
      <w:r w:rsidRPr="002A7AE8">
        <w:rPr>
          <w:rFonts w:cstheme="minorHAnsi"/>
          <w:sz w:val="28"/>
          <w:szCs w:val="28"/>
        </w:rPr>
        <w:t>A single colour or a combination of colours may function as a trade mark where it has acquired distinctiveness through long and exclusive use in connection with particular goods or services. The challenge with colour marks lies in satisfying the high</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threshold of distinctiveness required: since colours are primarily ornamental, decorative, or functional, and there is a strong public interest in keeping individual colours free for general use, the courts and registries demand compelling evidence that the colour or colour combination has come to be exclusively associated in the minds of consumers with a particular commercial source. Section 10(1) of the Act expressly provides that a trade mark may be limited wholly or in part to any combination of colours. Famous examples from international practice include the purple colour of Cadbury chocolate wrappers and Christian Louboutin's red lacquered sole. In India, colour marks have been registered for distinctive packaging colour schemes in categories such as pharmaceuticals and food products.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Shape marks</w:t>
      </w:r>
    </w:p>
    <w:p w:rsidR="002A7AE8" w:rsidRPr="002A7AE8" w:rsidRDefault="002A7AE8" w:rsidP="002A7AE8">
      <w:pPr>
        <w:rPr>
          <w:rFonts w:cstheme="minorHAnsi"/>
          <w:sz w:val="28"/>
          <w:szCs w:val="28"/>
        </w:rPr>
      </w:pPr>
      <w:r w:rsidRPr="002A7AE8">
        <w:rPr>
          <w:rFonts w:cstheme="minorHAnsi"/>
          <w:sz w:val="28"/>
          <w:szCs w:val="28"/>
        </w:rPr>
        <w:t>The three-dimensional shape of goods or their packaging may be registered as a trade mark, provided it is distinctive and does not fall within any of the three exclusions in Section 9(3): the shape resulting from the nature of the goods (e.g., the spherical shape of a ball); the shape necessary to obtain a technical result (e.g., the threaded end of a bolt); and the shape that gives substantial value to the goods as such (e.g., the artistic design of a sculpture). The rationale for these exclusions is to prevent technical and functional features from being monopolised through trade mark law rather than through the time-limited protection of patent law. Shape marks that have acquired distinctiveness through use — such as the Coca-Cola contoured bottle — may be registered as a result of that acquired secondary meaning. In India, shape marks have been registered for product shapes and packaging in sectors including pharmaceuticals, tobacco, and beverages.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Smell, taste, and texture marks</w:t>
      </w:r>
    </w:p>
    <w:p w:rsidR="002A7AE8" w:rsidRPr="002A7AE8" w:rsidRDefault="002A7AE8" w:rsidP="002A7AE8">
      <w:pPr>
        <w:rPr>
          <w:rFonts w:cstheme="minorHAnsi"/>
          <w:sz w:val="28"/>
          <w:szCs w:val="28"/>
        </w:rPr>
      </w:pPr>
      <w:r w:rsidRPr="002A7AE8">
        <w:rPr>
          <w:rFonts w:cstheme="minorHAnsi"/>
          <w:sz w:val="28"/>
          <w:szCs w:val="28"/>
        </w:rPr>
        <w:lastRenderedPageBreak/>
        <w:t>These are the most challenging categories of non-conventional marks to register, primarily because of the graphical representation requirement. A scent cannot be easily or precisely described in a graphical format that enables others to identify it exactly and unambiguously. Various attempts have been made in different jurisdictions — including verbal descriptions, chemical formulae, and chromatograms</w:t>
      </w:r>
    </w:p>
    <w:p w:rsidR="002A7AE8" w:rsidRPr="002A7AE8" w:rsidRDefault="002A7AE8" w:rsidP="002A7AE8">
      <w:pPr>
        <w:rPr>
          <w:rFonts w:cstheme="minorHAnsi"/>
          <w:sz w:val="28"/>
          <w:szCs w:val="28"/>
        </w:rPr>
      </w:pPr>
      <w:r w:rsidRPr="002A7AE8">
        <w:rPr>
          <w:rFonts w:cstheme="minorHAnsi"/>
          <w:sz w:val="28"/>
          <w:szCs w:val="28"/>
        </w:rPr>
        <w:t>— but none has consistently met the standard of precision required. Similar difficulties arise with taste and texture marks. As a practical matter, Indian trade mark law permits registration of smell, taste, and texture marks in principle, but very few if any such registrations have been granted due to the graphical representation hurdle.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Motion marks and hologram marks</w:t>
      </w:r>
    </w:p>
    <w:p w:rsidR="002A7AE8" w:rsidRPr="002A7AE8" w:rsidRDefault="002A7AE8" w:rsidP="002A7AE8">
      <w:pPr>
        <w:rPr>
          <w:rFonts w:cstheme="minorHAnsi"/>
          <w:sz w:val="28"/>
          <w:szCs w:val="28"/>
        </w:rPr>
      </w:pPr>
      <w:r w:rsidRPr="002A7AE8">
        <w:rPr>
          <w:rFonts w:cstheme="minorHAnsi"/>
          <w:sz w:val="28"/>
          <w:szCs w:val="28"/>
        </w:rPr>
        <w:t>Motion marks comprise moving images or animated sequences that are associated with a particular commercial source. Famous examples include the 20th Century Fox searchlights sequence and the animated Google 'doodle' logo transitions. Hologram</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marks consist of three-dimensional images that appear to change depending on the viewing angle, and are often used as anti-counterfeiting security features on documents and products. Both categories may in principle be registered as trade marks in India where they are capable of being represented graphically (through a series of still frames for motion marks, or through a description and representative frames for holograms) and possess distinctiveness. The Trade Marks Rules, 2017 accommodate these newer mark types by allowing applications to be accompanied by electronic files demonstrating the mark.</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Protection of domain names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 and background</w:t>
      </w:r>
    </w:p>
    <w:p w:rsidR="002A7AE8" w:rsidRPr="002A7AE8" w:rsidRDefault="002A7AE8" w:rsidP="002A7AE8">
      <w:pPr>
        <w:rPr>
          <w:rFonts w:cstheme="minorHAnsi"/>
          <w:sz w:val="28"/>
          <w:szCs w:val="28"/>
        </w:rPr>
      </w:pPr>
      <w:r w:rsidRPr="002A7AE8">
        <w:rPr>
          <w:rFonts w:cstheme="minorHAnsi"/>
          <w:sz w:val="28"/>
          <w:szCs w:val="28"/>
        </w:rPr>
        <w:t xml:space="preserve">A domain name is the unique alphanumeric address used to identify a website on the internet, such as 'amazon.com', 'flipkart.com', or 'irctc.co.in'. Domain </w:t>
      </w:r>
      <w:r w:rsidRPr="002A7AE8">
        <w:rPr>
          <w:rFonts w:cstheme="minorHAnsi"/>
          <w:sz w:val="28"/>
          <w:szCs w:val="28"/>
        </w:rPr>
        <w:lastRenderedPageBreak/>
        <w:t>names are registered through accredited registrars under a first-come, first-served system administered by the Internet Corporation for Assigned Names and Numbers (ICANN) and its country-code equivalents. While the Domain Name System (DNS) was originally designed for purely technical purposes, the commercial reality is that a domain name often becomes the primary identifier of a business's online presence, performing a function analogous to a trade mark or trade name in the physical marketplace. The Trade Marks Act, 1999 does not specifically define or make provision for domain names, but Indian courts have applied existing trade mark and passing-off principles to domain name disputes, leading to a well-developed body of case law.</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Domain names as trade marks</w:t>
      </w:r>
    </w:p>
    <w:p w:rsidR="002A7AE8" w:rsidRPr="002A7AE8" w:rsidRDefault="002A7AE8" w:rsidP="002A7AE8">
      <w:pPr>
        <w:rPr>
          <w:rFonts w:cstheme="minorHAnsi"/>
          <w:sz w:val="28"/>
          <w:szCs w:val="28"/>
        </w:rPr>
      </w:pPr>
      <w:r w:rsidRPr="002A7AE8">
        <w:rPr>
          <w:rFonts w:cstheme="minorHAnsi"/>
          <w:sz w:val="28"/>
          <w:szCs w:val="28"/>
        </w:rPr>
        <w:t>A domain name may receive trade mark protection — through registration or through the action for passing off — where it satisfies the same requirements applicable to any other trade mark: it must be capable of distinguishing the goods or services of one undertaking from those of another, and it must not fall within any absolute ground for refusal. Where a business has used a domain name as its primary brand identifier and has built up substantial goodwill in that name, the domain name is treated as a trade mark for legal purposes. This is well established by Yahoo! Inc. v. Akash Arora, 1999 PTC (19) 201 (Del) and affirmed by the Supreme Court in Satyam Infoway Ltd. v. Sifynet Solutions Pvt. Ltd., (2004) 6 SCC 145.</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Cyber squatting and its legal implications</w:t>
      </w:r>
    </w:p>
    <w:p w:rsidR="002A7AE8" w:rsidRPr="002A7AE8" w:rsidRDefault="002A7AE8" w:rsidP="002A7AE8">
      <w:pPr>
        <w:rPr>
          <w:rFonts w:cstheme="minorHAnsi"/>
          <w:sz w:val="28"/>
          <w:szCs w:val="28"/>
        </w:rPr>
      </w:pPr>
      <w:r w:rsidRPr="002A7AE8">
        <w:rPr>
          <w:rFonts w:cstheme="minorHAnsi"/>
          <w:sz w:val="28"/>
          <w:szCs w:val="28"/>
        </w:rPr>
        <w:t>Cyber squatting is the bad-faith registration of domain names identical or confusingly similar to registered or well-known trade marks, typically with the intention of selling the domain name to the trade mark owner at a profit, or of diverting internet traffic to a competing or unrelated website. It causes harm to trade mark owners by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denying them control over their brand identity online, by diluting the distinctiveness of their mark, and by potentially diverting consumers and commercial opportunities. Indian courts have addressed cyber squatting primarily through the action for passing off, supplemented in appropriate </w:t>
      </w:r>
      <w:r w:rsidRPr="002A7AE8">
        <w:rPr>
          <w:rFonts w:cstheme="minorHAnsi"/>
          <w:sz w:val="28"/>
          <w:szCs w:val="28"/>
        </w:rPr>
        <w:lastRenderedPageBreak/>
        <w:t>cases by claims for trade mark infringement where the trade mark is registered. In addition to judicial remedies, domain name disputes may be resolved through the Uniform Domain Name Dispute Resolution Policy (UDRP) administered by ICANN or through the .IN Dispute Resolution Policy (INDRP) for Indian domain names.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Key legal principles from case law</w:t>
      </w:r>
    </w:p>
    <w:p w:rsidR="002A7AE8" w:rsidRPr="002A7AE8" w:rsidRDefault="002A7AE8" w:rsidP="002A7AE8">
      <w:pPr>
        <w:rPr>
          <w:rFonts w:cstheme="minorHAnsi"/>
          <w:sz w:val="28"/>
          <w:szCs w:val="28"/>
        </w:rPr>
      </w:pPr>
      <w:r w:rsidRPr="002A7AE8">
        <w:rPr>
          <w:rFonts w:cstheme="minorHAnsi"/>
          <w:sz w:val="28"/>
          <w:szCs w:val="28"/>
        </w:rPr>
        <w:t>From Yahoo! v. Akash Arora and Satyam Infoway v. Sifynet Solutions, the following principles emerge: (i) domain names are commercial identifiers performing the same function as trade marks in the digital environment; (ii) a passing-off action is maintainable in respect of domain names upon proof of the classical trinity — goodwill, misrepresentation, and damage; (iii) the proprietor of a well-known trade mark is entitled to protection against the registration of confusingly similar domain names even where the domain name registrant's goods or services are identical to those of the mark owner; (iv) confusion in the online context may be particularly acute because internet users who encounter a confusingly similar domain name may assume it is the official website of the mark owner without reading further; and (v) courts will grant injunctions promptly in cases of clear cyber squatting or domain name passing off.</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Parallel importation and exhaustion of rights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 xml:space="preserve">Parallel importation — also referred to as grey market importation — refers to the commercial practice of importing genuine goods bearing a registered trade mark into a country through distribution channels that are not authorised by the local trade mark owner, but the goods having been put on the market in the exporting country by or with the consent of the trade mark proprietor. The goods are 'genuine' in the sense that they were manufactured by or under licence from the trade mark owner and legitimately bear the mark; what is disputed is the right of the importer to bring them into the country without the domestic trade mark owner's specific consent. The legal position on parallel </w:t>
      </w:r>
      <w:r w:rsidRPr="002A7AE8">
        <w:rPr>
          <w:rFonts w:cstheme="minorHAnsi"/>
          <w:sz w:val="28"/>
          <w:szCs w:val="28"/>
        </w:rPr>
        <w:lastRenderedPageBreak/>
        <w:t>imports depends upon which doctrine of exhaustion of trade mark rights the country adopts.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The doctrine of exhaustion of rights</w:t>
      </w:r>
    </w:p>
    <w:p w:rsidR="002A7AE8" w:rsidRPr="002A7AE8" w:rsidRDefault="002A7AE8" w:rsidP="002A7AE8">
      <w:pPr>
        <w:rPr>
          <w:rFonts w:cstheme="minorHAnsi"/>
          <w:sz w:val="28"/>
          <w:szCs w:val="28"/>
        </w:rPr>
      </w:pPr>
      <w:r w:rsidRPr="002A7AE8">
        <w:rPr>
          <w:rFonts w:cstheme="minorHAnsi"/>
          <w:sz w:val="28"/>
          <w:szCs w:val="28"/>
        </w:rPr>
        <w:t>The doctrine of exhaustion provides that when a trade mark owner (or a person with the owner's consent) places goods bearing the mark on the market, the owner's rights to control the subsequent commercial exploitation of those specific goods are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'exhausted'. The trade mark owner cannot use their trade mark rights to prevent the resale or importation of goods they have already placed in commerce. The basis of exhaustion is that the trade mark has already performed its function of indicating the commercial origin of the goods when they were first sold; the mark owner has received the economic benefit of the first sale and cannot use the mark to extend their control over the subsequent chain of distribution. Different systems apply different geographical scopes to exhaustion.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National exhaustion</w:t>
      </w:r>
    </w:p>
    <w:p w:rsidR="002A7AE8" w:rsidRPr="002A7AE8" w:rsidRDefault="002A7AE8" w:rsidP="002A7AE8">
      <w:pPr>
        <w:rPr>
          <w:rFonts w:cstheme="minorHAnsi"/>
          <w:sz w:val="28"/>
          <w:szCs w:val="28"/>
        </w:rPr>
      </w:pPr>
      <w:r w:rsidRPr="002A7AE8">
        <w:rPr>
          <w:rFonts w:cstheme="minorHAnsi"/>
          <w:sz w:val="28"/>
          <w:szCs w:val="28"/>
        </w:rPr>
        <w:t>Under national exhaustion, trade mark rights are exhausted only when the goods are placed on the market within the country in question. If the trade mark owner sells the goods in a foreign country, their domestic trade mark rights are not exhausted and they may use those rights to prevent importation of the goods. This system provides the highest level of protection for trade mark owners and authorised distributors but tends to result in higher prices for consumers, since it prevents arbitrage between markets where prices differ. Countries with national exhaustion regimes effectively allow trade mark owners to segment international markets and maintain price differentials.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International exhaustion</w:t>
      </w:r>
    </w:p>
    <w:p w:rsidR="002A7AE8" w:rsidRPr="002A7AE8" w:rsidRDefault="002A7AE8" w:rsidP="002A7AE8">
      <w:pPr>
        <w:rPr>
          <w:rFonts w:cstheme="minorHAnsi"/>
          <w:sz w:val="28"/>
          <w:szCs w:val="28"/>
        </w:rPr>
      </w:pPr>
      <w:r w:rsidRPr="002A7AE8">
        <w:rPr>
          <w:rFonts w:cstheme="minorHAnsi"/>
          <w:sz w:val="28"/>
          <w:szCs w:val="28"/>
        </w:rPr>
        <w:t xml:space="preserve">Under international exhaustion, trade mark rights are exhausted once the goods are placed on the market anywhere in the world by or with the consent of the trade mark owner. The domestic trade mark owner cannot use trade </w:t>
      </w:r>
      <w:r w:rsidRPr="002A7AE8">
        <w:rPr>
          <w:rFonts w:cstheme="minorHAnsi"/>
          <w:sz w:val="28"/>
          <w:szCs w:val="28"/>
        </w:rPr>
        <w:lastRenderedPageBreak/>
        <w:t>mark rights to prevent importation of genuine goods bearing the mark that have been lawfully sold elsewhere. International exhaustion favours lower prices for consumers and prevents trade mark owners from using their intellectual property rights to maintain artificial price segmentation between different national markets.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Indian position – Sections 30(3) and 30(4)</w:t>
      </w:r>
    </w:p>
    <w:p w:rsidR="002A7AE8" w:rsidRPr="002A7AE8" w:rsidRDefault="002A7AE8" w:rsidP="002A7AE8">
      <w:pPr>
        <w:rPr>
          <w:rFonts w:cstheme="minorHAnsi"/>
          <w:sz w:val="28"/>
          <w:szCs w:val="28"/>
        </w:rPr>
      </w:pPr>
      <w:r w:rsidRPr="002A7AE8">
        <w:rPr>
          <w:rFonts w:cstheme="minorHAnsi"/>
          <w:sz w:val="28"/>
          <w:szCs w:val="28"/>
        </w:rPr>
        <w:t>Section 30(3) provides: "Where the goods bearing a registered trade mark are lawfully acquired by a person, the sale of the goods in the market or otherwise dealing in those goods by that person or by a person claiming under or through him is not infringement of a trade mark by reason only of— (a) the registered trade mark having been assigned by the registered proprietor to some other person, after the acquisition of those goods; or (b) the goods having been put on the market under the registered trade mark by the proprietor or with his consent." This provision reflects a principle of international exhaustion — once goods are placed on the market anywhere in the world by or with the proprietor's consent, dealing in those goods within India does not constitute infringement.</w:t>
      </w:r>
    </w:p>
    <w:p w:rsidR="002A7AE8" w:rsidRPr="002A7AE8" w:rsidRDefault="002A7AE8" w:rsidP="002A7AE8">
      <w:pPr>
        <w:rPr>
          <w:rFonts w:cstheme="minorHAnsi"/>
          <w:sz w:val="28"/>
          <w:szCs w:val="28"/>
        </w:rPr>
      </w:pPr>
      <w:r w:rsidRPr="002A7AE8">
        <w:rPr>
          <w:rFonts w:cstheme="minorHAnsi"/>
          <w:sz w:val="28"/>
          <w:szCs w:val="28"/>
        </w:rPr>
        <w:t>Section 30(4) qualifies Section 30(3): "Sub-section (3) shall not apply where there exists legitimate reasons for the proprietor to oppose further dealings in the goods in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particular, where the condition of the goods, has been changed or impaired after they have been put on the market." Where the goods have been altered, repackaged, relabelled, damaged, or otherwise impaired after leaving the trade mark owner's control, the owner may legitimately object to their importation or sale under the registered mark. The rationale is that the mark continues to function as a guarantee of the quality originally associated with it; selling impaired goods under the original mark misleads consumers about the quality they are receiving.</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Case law</w:t>
      </w:r>
    </w:p>
    <w:p w:rsidR="002A7AE8" w:rsidRPr="002A7AE8" w:rsidRDefault="002A7AE8" w:rsidP="002A7AE8">
      <w:pPr>
        <w:rPr>
          <w:rFonts w:cstheme="minorHAnsi"/>
          <w:sz w:val="28"/>
          <w:szCs w:val="28"/>
        </w:rPr>
      </w:pPr>
      <w:r w:rsidRPr="002A7AE8">
        <w:rPr>
          <w:rFonts w:cstheme="minorHAnsi"/>
          <w:sz w:val="28"/>
          <w:szCs w:val="28"/>
        </w:rPr>
        <w:t xml:space="preserve">In Kapil Wadhwa v. Samsung Electronics Co. Ltd., 2012 (52) PTC 338 (Del), the Delhi High Court Division Bench considered whether Samsung could prevent a </w:t>
      </w:r>
      <w:r w:rsidRPr="002A7AE8">
        <w:rPr>
          <w:rFonts w:cstheme="minorHAnsi"/>
          <w:sz w:val="28"/>
          <w:szCs w:val="28"/>
        </w:rPr>
        <w:lastRenderedPageBreak/>
        <w:t>parallel importer from importing genuine Samsung printers into India from a market where Samsung had authorised their sale. The Court held that Section 30(3) read with Section 30(4) of the Trade Marks Act, 1999 adopts a principle of international exhaustion, and that the importation and resale of genuine goods lawfully placed on the market elsewhere by or with the consent of the trade mark owner does not constitute trade mark infringement in India. The Court held that only where the condition of the goods has been changed or impaired may the proprietor legitimately object to their further dealing. This decision confirmed the international exhaustion principle under Indian trade mark law and has significant implications for consumer access to genuine goods at competitive prices.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Policy considerations</w:t>
      </w:r>
    </w:p>
    <w:p w:rsidR="002A7AE8" w:rsidRPr="002A7AE8" w:rsidRDefault="002A7AE8" w:rsidP="002A7AE8">
      <w:pPr>
        <w:rPr>
          <w:rFonts w:cstheme="minorHAnsi"/>
          <w:sz w:val="28"/>
          <w:szCs w:val="28"/>
        </w:rPr>
      </w:pPr>
      <w:r w:rsidRPr="002A7AE8">
        <w:rPr>
          <w:rFonts w:cstheme="minorHAnsi"/>
          <w:sz w:val="28"/>
          <w:szCs w:val="28"/>
        </w:rPr>
        <w:t>The debate around parallel imports raises fundamental questions about the balance between intellectual property rights and competition policy, consumer welfare, and the economics of global trade. Proponents of international exhaustion argue that it benefits consumers through lower prices and wider availability, promotes competition, prevents anti-competitive market segmentation, and prevents trade mark law from being used as a tool for market partitioning in ways that harm consumers. Proponents of national exhaustion or restrictions on parallel imports argue that they enable trade mark owners and authorised distributors to invest in maintaining quality standards, after-sales service, warranty fulfilment, and consumer support specific to the domestic market; that genuine goods sold in different markets may have different specifications or regulatory approvals; and that parallel imports undermine the value of exclusive distribution agreements and the incentives for authorised distributors to invest in market development.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The four topics examined in these short notes collectively illustrate the dynamic and multi-dimensional nature of trade mark law. The effect of registration — conferring exclusive rights under Section 28, presumptive validity under Section 31, protection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lastRenderedPageBreak/>
        <w:t>of acquired distinctiveness under Section 32, and long-stop protection through acquiescence under Section 33 — makes registration the cornerstone of effective brand protection in India. Non-conventional trade marks extend the system to new categories of commercial identifiers — sounds, colours, shapes, and emerging digital and three-dimensional marks — reflecting the sophistication of modern branding practices and the expansive scope of the definition in Section 2(1)(zb). The protection of domain names through trade mark and passing-off principles, confirmed by the Supreme Court in Satyam Infoway v. Sifynet Solutions, demonstrates the adaptability of existing legal principles to new commercial contexts without requiring legislative intervention, ensuring that the law keeps pace with the growth of digital commerce. Parallel importation and the doctrine of exhaustion under Sections 30(3) and 30(4) engage the fundamental tension between trade mark rights and the principles of free trade and competition, with Indian law adopting a position of international exhaustion that promotes consumer access to genuine goods while preserving the owner's right to object to altered or impaired goods. Together, these topics illuminate trade mark law as a living, commercially sensitive body of doctrine capable of addressing the full range of challenges presented by the contemporary marketplace, the digital environment, and the globalisation of trade.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1: Industrial design – meaning, origin and scope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Industrial design is a distinct and commercially significant branch of Intellectual Property Rights concerned with the protection of the visual and aesthetic features of industrially manufactured articles. While patent law protects technical inventions and copyright protects original literary and artistic expressions, industrial design law safeguards the appearance of products — their shape, configuration, pattern, ornamentation, and composition of lines or colours — insofar as these features appeal to the eye of the consumer. In contemporary commerce, the visual appeal of a product is often as commercially decisive as its technical performance.</w:t>
      </w:r>
    </w:p>
    <w:p w:rsidR="002A7AE8" w:rsidRPr="002A7AE8" w:rsidRDefault="002A7AE8" w:rsidP="002A7AE8">
      <w:pPr>
        <w:rPr>
          <w:rFonts w:cstheme="minorHAnsi"/>
          <w:sz w:val="28"/>
          <w:szCs w:val="28"/>
        </w:rPr>
      </w:pPr>
      <w:r w:rsidRPr="002A7AE8">
        <w:rPr>
          <w:rFonts w:cstheme="minorHAnsi"/>
          <w:sz w:val="28"/>
          <w:szCs w:val="28"/>
        </w:rPr>
        <w:t xml:space="preserve">Manufacturers, designers, and businesses invest substantial resources in creating distinctive product appearances that attract consumers and </w:t>
      </w:r>
      <w:r w:rsidRPr="002A7AE8">
        <w:rPr>
          <w:rFonts w:cstheme="minorHAnsi"/>
          <w:sz w:val="28"/>
          <w:szCs w:val="28"/>
        </w:rPr>
        <w:lastRenderedPageBreak/>
        <w:t>differentiate their goods in the marketplace. Without adequate legal protection, competitors could freely copy these aesthetic features, thereby benefiting from the creative and financial investment of others without contributing to the innovation process. In India, industrial design protection is governed by the Designs Act, 2000 (Act No. 16 of 2000), which replaced the earlier Designs Act, 1911 and came into force on 11 May 2001.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Statutory definition of design – Section 2(d)</w:t>
      </w:r>
    </w:p>
    <w:p w:rsidR="002A7AE8" w:rsidRPr="002A7AE8" w:rsidRDefault="002A7AE8" w:rsidP="002A7AE8">
      <w:pPr>
        <w:rPr>
          <w:rFonts w:cstheme="minorHAnsi"/>
          <w:sz w:val="28"/>
          <w:szCs w:val="28"/>
        </w:rPr>
      </w:pPr>
      <w:r w:rsidRPr="002A7AE8">
        <w:rPr>
          <w:rFonts w:cstheme="minorHAnsi"/>
          <w:sz w:val="28"/>
          <w:szCs w:val="28"/>
        </w:rPr>
        <w:t>Section 2(d) of the Designs Act, 2000 provides: "'design' means only the features of shape, configuration, pattern, ornament or composition of lines or colours applied to any article whether in two dimensional or three dimensional or in both forms, by any industrial process or means, whether manual, mechanical or chemical, separate or combined, which in the finished article appeal to and are judged solely by the eye; but does not include any mode or principle of construction or anything which is in substance a mere mechanical device, and does not include any trade mark as defined in clause (v) of sub-section (1) of section 2 of the Trade and Merchandise Marks Act, 1958 or property mark as defined in section 479 of the Indian Penal Code, 1860 or any artistic work as defined in clause (c) of section 2 of the Copyright Act, 1957."</w:t>
      </w:r>
    </w:p>
    <w:p w:rsidR="002A7AE8" w:rsidRPr="002A7AE8" w:rsidRDefault="002A7AE8" w:rsidP="002A7AE8">
      <w:pPr>
        <w:rPr>
          <w:rFonts w:cstheme="minorHAnsi"/>
          <w:sz w:val="28"/>
          <w:szCs w:val="28"/>
        </w:rPr>
      </w:pPr>
      <w:r w:rsidRPr="002A7AE8">
        <w:rPr>
          <w:rFonts w:cstheme="minorHAnsi"/>
          <w:sz w:val="28"/>
          <w:szCs w:val="28"/>
        </w:rPr>
        <w:t>Key words: 'shape' refers to the three-dimensional form of an article; 'configuration' means the relative arrangement of parts; 'pattern' means a repeated decorative motif; 'ornament' refers to decorative features; 'composition of lines or colours' covers two-dimensional surface decoration. The phrase 'appeal to and are judged solely by the eye' is the hallmark of design protection, distinguishing it from patent protection which covers functional and technical aspects. A design must be perceptible in the finished article as it appears to an ordinary observer.</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Meaning of 'article' – Section 2(a)</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Section 2(a) provides: "'article' means any article of manufacture and any substance, artificial, or partly artificial and partly natural; and includes any part of an article capable of being made and sold separately." This wide definition ensures that components of complex products — such as the door of a </w:t>
      </w:r>
      <w:r w:rsidRPr="002A7AE8">
        <w:rPr>
          <w:rFonts w:cstheme="minorHAnsi"/>
          <w:sz w:val="28"/>
          <w:szCs w:val="28"/>
        </w:rPr>
        <w:lastRenderedPageBreak/>
        <w:t>refrigerator, the handset of a telephone, or the wheel of a vehicle — may independently receive design protection where they are capable of being separately manufactured and sold. The definition does not extend to naturally occurring substances in their unmodified form.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Essential elements of a protectable design</w:t>
      </w:r>
    </w:p>
    <w:p w:rsidR="002A7AE8" w:rsidRPr="002A7AE8" w:rsidRDefault="002A7AE8" w:rsidP="002A7AE8">
      <w:pPr>
        <w:rPr>
          <w:rFonts w:cstheme="minorHAnsi"/>
          <w:sz w:val="28"/>
          <w:szCs w:val="28"/>
        </w:rPr>
      </w:pPr>
      <w:r w:rsidRPr="002A7AE8">
        <w:rPr>
          <w:rFonts w:cstheme="minorHAnsi"/>
          <w:sz w:val="28"/>
          <w:szCs w:val="28"/>
        </w:rPr>
        <w:t>To qualify for registration under the Designs Act, 2000, a design must satisfy the following cumulative requirements. First, it must relate to the visual appearance of an article in the form of shape, configuration, pattern, ornament, or composition of lines or colours. Second, it must be applied to an article of manufacture as defined under Section 2(a). Third, the application must be by an industrial process, whether manual, mechanical, or chemical. Fourth, the features must be visible in the finished article and not hidden from view in normal use. Fifth, the features must appeal to and be judged solely by the eye, meaning they must have aesthetic quality and not be purely functional. Sixth, the design must be new or original and not previously published anywhere in the world before the filing date or priority date. Seventh, the design must be significantly distinguishable from known designs or combinations of known designs.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Exclusions from the definition of design</w:t>
      </w:r>
    </w:p>
    <w:p w:rsidR="002A7AE8" w:rsidRPr="002A7AE8" w:rsidRDefault="002A7AE8" w:rsidP="002A7AE8">
      <w:pPr>
        <w:rPr>
          <w:rFonts w:cstheme="minorHAnsi"/>
          <w:sz w:val="28"/>
          <w:szCs w:val="28"/>
        </w:rPr>
      </w:pPr>
      <w:r w:rsidRPr="002A7AE8">
        <w:rPr>
          <w:rFonts w:cstheme="minorHAnsi"/>
          <w:sz w:val="28"/>
          <w:szCs w:val="28"/>
        </w:rPr>
        <w:t>The definition under Section 2(d) expressly excludes several categories. Any mode or principle of construction is excluded — purely technical or structural features fall outside the scope of design protection and are instead the domain of patent law under the Patents Act, 1970. Anything that is in substance a mere mechanical device is excluded — where the entire purpose of a feature is functional, it cannot receive design protection regardless of its visual appearance. Trade marks as defined under trade mark legislation are excluded — marks used to identify commercial origin are protected under the Trade Marks Act, 1999 and not design law. Property marks as defined under Section 479 of the Indian Penal Code, 1860 are excluded. Artistic works as defined under Section 2(c) of the Copyright Act, 1957 are excluded — original artistic works receive automatic copyright protection and registration as a design is not required or appropriate for such works.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Design law distinguished from patent law and copyright</w:t>
      </w:r>
    </w:p>
    <w:p w:rsidR="002A7AE8" w:rsidRPr="002A7AE8" w:rsidRDefault="002A7AE8" w:rsidP="002A7AE8">
      <w:pPr>
        <w:rPr>
          <w:rFonts w:cstheme="minorHAnsi"/>
          <w:sz w:val="28"/>
          <w:szCs w:val="28"/>
        </w:rPr>
      </w:pPr>
      <w:r w:rsidRPr="002A7AE8">
        <w:rPr>
          <w:rFonts w:cstheme="minorHAnsi"/>
          <w:sz w:val="28"/>
          <w:szCs w:val="28"/>
        </w:rPr>
        <w:t>Design law, patent law, and copyright represent three distinct regimes of intellectual property protection that serve different purposes and protect different subject matter. Patent law under the Patents Act, 1970 protects new inventions involving an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inventive step and capable of industrial application — the emphasis is on technical function and novelty of the inventive concept. Design law under the Designs Act, 2000 protects the aesthetic appearance of articles — features that appeal solely to the eye — regardless of the technical function the article serves. The same article may thus attract both patent protection (for its technical features) and design protection (for its visual appearance), provided the respective requirements are independently met. Copyright under the Copyright Act, 1957 protects original literary, dramatic, musical, and artistic works upon their creation, without any requirement of registration. The relationship between copyright and design law is governed by Section 15 of the Copyright Act, 1957, which provides that copyright in an artistic work ceases to exist when the work or a corresponding design has been applied industrially more than fifty times in relation to any article — at which point design protection under the Designs Act becomes the appropriate regime.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Origin and historical development of industrial design law</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International development</w:t>
      </w:r>
    </w:p>
    <w:p w:rsidR="002A7AE8" w:rsidRPr="002A7AE8" w:rsidRDefault="002A7AE8" w:rsidP="002A7AE8">
      <w:pPr>
        <w:rPr>
          <w:rFonts w:cstheme="minorHAnsi"/>
          <w:sz w:val="28"/>
          <w:szCs w:val="28"/>
        </w:rPr>
      </w:pPr>
      <w:r w:rsidRPr="002A7AE8">
        <w:rPr>
          <w:rFonts w:cstheme="minorHAnsi"/>
          <w:sz w:val="28"/>
          <w:szCs w:val="28"/>
        </w:rPr>
        <w:t xml:space="preserve">The protection of industrial designs as a distinct category of intellectual property emerged during the nineteenth century, driven by the Industrial Revolution and the growth of mass production. The earliest statutory protections were enacted in England for textile designs in the first half of the nineteenth century and subsequently extended to other articles. The international recognition of industrial design protection was formalised through the Paris Convention for the Protection of Industrial Property, 1883, which included industrial designs within the scope of protected intellectual property. The Paris Convention introduced the principle of national treatment, </w:t>
      </w:r>
      <w:r w:rsidRPr="002A7AE8">
        <w:rPr>
          <w:rFonts w:cstheme="minorHAnsi"/>
          <w:sz w:val="28"/>
          <w:szCs w:val="28"/>
        </w:rPr>
        <w:lastRenderedPageBreak/>
        <w:t>ensuring that nationals of any contracting state receive the same protection in other contracting states as those states grant to their own nationals.</w:t>
      </w:r>
    </w:p>
    <w:p w:rsidR="002A7AE8" w:rsidRPr="002A7AE8" w:rsidRDefault="002A7AE8" w:rsidP="002A7AE8">
      <w:pPr>
        <w:rPr>
          <w:rFonts w:cstheme="minorHAnsi"/>
          <w:sz w:val="28"/>
          <w:szCs w:val="28"/>
        </w:rPr>
      </w:pPr>
      <w:r w:rsidRPr="002A7AE8">
        <w:rPr>
          <w:rFonts w:cstheme="minorHAnsi"/>
          <w:sz w:val="28"/>
          <w:szCs w:val="28"/>
        </w:rPr>
        <w:t>Article 4 of the Paris Convention also introduced the right of priority, entitling an applicant who files a design application in one convention country to claim that date as the priority date for applications in other convention countries filed within six months of the first filing.</w:t>
      </w:r>
    </w:p>
    <w:p w:rsidR="002A7AE8" w:rsidRPr="002A7AE8" w:rsidRDefault="002A7AE8" w:rsidP="002A7AE8">
      <w:pPr>
        <w:rPr>
          <w:rFonts w:cstheme="minorHAnsi"/>
          <w:sz w:val="28"/>
          <w:szCs w:val="28"/>
        </w:rPr>
      </w:pPr>
      <w:r w:rsidRPr="002A7AE8">
        <w:rPr>
          <w:rFonts w:cstheme="minorHAnsi"/>
          <w:sz w:val="28"/>
          <w:szCs w:val="28"/>
        </w:rPr>
        <w:t>The Hague Agreement Concerning the International Registration of Industrial Designs, initially concluded in 1925 and subsequently revised, provides a centralised mechanism for the international registration of industrial designs through WIPO. The TRIPS Agreement of 1994 imposed binding minimum standards for the protection of industrial designs on all WTO member states through Articles 25 and 26. The Locarno Agreement, 1968 established the international classification system for the purposes of the registration of industrial designs, currently consisting of 32 classes and 219 subclasses of products.</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Development in India</w:t>
      </w:r>
    </w:p>
    <w:p w:rsidR="002A7AE8" w:rsidRPr="002A7AE8" w:rsidRDefault="002A7AE8" w:rsidP="002A7AE8">
      <w:pPr>
        <w:rPr>
          <w:rFonts w:cstheme="minorHAnsi"/>
          <w:sz w:val="28"/>
          <w:szCs w:val="28"/>
        </w:rPr>
      </w:pPr>
      <w:r w:rsidRPr="002A7AE8">
        <w:rPr>
          <w:rFonts w:cstheme="minorHAnsi"/>
          <w:sz w:val="28"/>
          <w:szCs w:val="28"/>
        </w:rPr>
        <w:t>India's industrial design protection during the colonial period was governed by the Designs Act, 1911, which was part of the broader Indian Patents and Designs Act,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1911 of that period. The 1911 Act provided basic protection for registered designs but was considered inadequate in the context of modern international trade and intellectual property standards. The Designs Act, 2000 was enacted to replace the 1911 Act and align Indian design law with TRIPS obligations. The 2000 Act introduced an enhanced term of protection of up to fifteen years (ten years initial plus five years extension), a more comprehensive cancellation regime under Section 19, clearer provisions on piracy and remedies under Section 22, provisions on international priority through convention applications under Section 44, and the introduction of the Locarno Classification system for articles. The Act came into force on 11 May 2001 by notification under Section 1(3).</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Novelty and originality – requirements for registration</w:t>
      </w:r>
    </w:p>
    <w:p w:rsidR="002A7AE8" w:rsidRPr="002A7AE8" w:rsidRDefault="002A7AE8" w:rsidP="002A7AE8">
      <w:pPr>
        <w:rPr>
          <w:rFonts w:cstheme="minorHAnsi"/>
          <w:sz w:val="28"/>
          <w:szCs w:val="28"/>
        </w:rPr>
      </w:pPr>
      <w:r w:rsidRPr="002A7AE8">
        <w:rPr>
          <w:rFonts w:cstheme="minorHAnsi"/>
          <w:sz w:val="28"/>
          <w:szCs w:val="28"/>
        </w:rPr>
        <w:lastRenderedPageBreak/>
        <w:t>Section 4(a) of the Designs Act, 2000 provides that a design which is not new or original shall not be registered. Section 2(g) defines 'original' in relation to a design as meaning that the design originates from the author of the design and includes cases where, although old in themselves, the design idea is new in its application to a particular article. Novelty is assessed with reference to the prior art as of the filing date or, where applicable, the priority date of the application. Novelty is a global standard: a design that has been disclosed anywhere in the world before the filing date — whether by publication in tangible form, by use in trade, or by any other means — is not novel. The test for originality requires that the design should not be a mere slavish copy of existing designs and should possess some distinctive visual quality. The Supreme Court in Bharat Glass Tube Ltd. v. Gopal Glass Works Ltd. (2008) 10 SCC 657 clarified that mere existence of a design abroad does not amount to prior publication unless the design was actually made accessible to the public.</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Proprietor of a new or original design – Section 2(j)</w:t>
      </w:r>
    </w:p>
    <w:p w:rsidR="002A7AE8" w:rsidRPr="002A7AE8" w:rsidRDefault="002A7AE8" w:rsidP="002A7AE8">
      <w:pPr>
        <w:rPr>
          <w:rFonts w:cstheme="minorHAnsi"/>
          <w:sz w:val="28"/>
          <w:szCs w:val="28"/>
        </w:rPr>
      </w:pPr>
      <w:r w:rsidRPr="002A7AE8">
        <w:rPr>
          <w:rFonts w:cstheme="minorHAnsi"/>
          <w:sz w:val="28"/>
          <w:szCs w:val="28"/>
        </w:rPr>
        <w:t>Section 2(j) defines the 'proprietor of a new or original design'. Where the author of the design executes the work for good consideration for another person, the person for whom the work is executed is the proprietor. Where any person acquires the design or the right to apply the design to any article, whether exclusively or otherwise, that person is the proprietor to the extent of the acquisition. In any other case, the author of the design is the proprietor. Where the property in or right to apply the design has devolved from the original proprietor to another person, that other person is also included within the definition of proprietor. This definition is important for determining who may apply for registration under Section 5(1).</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Objects of the Designs Act, 2000</w:t>
      </w:r>
    </w:p>
    <w:p w:rsidR="002A7AE8" w:rsidRPr="002A7AE8" w:rsidRDefault="002A7AE8" w:rsidP="002A7AE8">
      <w:pPr>
        <w:rPr>
          <w:rFonts w:cstheme="minorHAnsi"/>
          <w:sz w:val="28"/>
          <w:szCs w:val="28"/>
        </w:rPr>
      </w:pPr>
      <w:r w:rsidRPr="002A7AE8">
        <w:rPr>
          <w:rFonts w:cstheme="minorHAnsi"/>
          <w:sz w:val="28"/>
          <w:szCs w:val="28"/>
        </w:rPr>
        <w:t>The Designs Act, 2000 serves several overlapping objectives. It protects the commercial investment of manufacturers and designers in the aesthetic features of their products by granting an exclusive right to use the design for a limited period. It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lastRenderedPageBreak/>
        <w:t>encourages innovation in industrial aesthetics by ensuring that designers can recover their investment in design creation before competitors are permitted to copy it. It contributes to fair competition by preventing trade rivals from free-riding on the creative effort and commercial expenditure of others. It provides consumers with access to a variety of distinctively designed products, enhancing choice and market transparency. It aligns India's industrial design regime with TRIPS obligations and international best practices, facilitating international trade and investment. The Act also serves the long-term public interest by ensuring that designs enter the public domain after the expiry of the maximum protection period, at which point any person may freely use the design.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Industrial design law under the Designs Act, 2000 occupies a distinct and commercially important space within India's intellectual property framework. The statutory definition of design under Section 2(d) carefully circumscribes the protected subject matter as visual features of articles applied by industrial processes that appeal solely to the eye, deliberately excluding functional features, trade marks, and artistic works that are protected under separate legal regimes. The historical development of design law — from the colonial-era Designs Act, 1911 through the Paris Convention and TRIPS to the modern Designs Act, 2000 — reflects the progressive recognition of the commercial significance of product aesthetics in a market economy. The twin requirements of novelty and originality, applied globally as of the filing date, ensure that only genuine contributions to the design landscape receive statutory protection. The clearly defined exclusions — particularly the exclusion of modes or principles of construction and mere mechanical devices — maintain the boundary between design law and patent law, ensuring that functional monopolies cannot be obtained through the design registration route. The Designs Act, 2000 thus serves its dual purpose of incentivising creativity in industrial aesthetics while ensuring that the public domain remains accessible once the maximum protection period of fifteen years has elapsed.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2: TRIPS Agreement on industrial designs (Articles 25 and 26)</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The Agreement on Trade-Related Aspects of Intellectual Property Rights (TRIPS), forming Annex 1C to the Agreement Establishing the World Trade Organization, came into force on 1 January 1995 and establishes binding minimum standards for the protection and enforcement of intellectual property rights for all 164 WTO member states, including India. Industrial designs — meaning the ornamental or aesthetic features of articles — receive specific treatment in Part II, Section 4 of TRIPS, comprising Articles 25 and 26. These articles establish the minimum conditions for protection, the exclusive rights conferred, the permissible exceptions, and the minimum duration of protection. India, as a founding member of the WTO, enacted the Designs Act, 2000 in significant part to fulfil its TRIPS obligations in respect of industrial designs.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What is an industrial design?</w:t>
      </w:r>
    </w:p>
    <w:p w:rsidR="002A7AE8" w:rsidRPr="002A7AE8" w:rsidRDefault="002A7AE8" w:rsidP="002A7AE8">
      <w:pPr>
        <w:rPr>
          <w:rFonts w:cstheme="minorHAnsi"/>
          <w:sz w:val="28"/>
          <w:szCs w:val="28"/>
        </w:rPr>
      </w:pPr>
      <w:r w:rsidRPr="002A7AE8">
        <w:rPr>
          <w:rFonts w:cstheme="minorHAnsi"/>
          <w:sz w:val="28"/>
          <w:szCs w:val="28"/>
        </w:rPr>
        <w:t>Before examining Articles 25 and 26, it is necessary to understand the subject matter that these provisions address. An industrial design refers to the ornamental or aesthetic aspect of an article — its visual appearance rather than its technical function. Industrial designs may relate to the three-dimensional features of an article (such as its shape or configuration) or to two-dimensional features (such as patterns, lines, or colours applied to the surface). Protection under design law is specifically for these aesthetic characteristics, as distinct from the technical features of an article (protected by patent law) or the textual or artistic content associated with an article (protected by copyright). Examples of protectable industrial designs include the shape of a perfume bottle, the surface pattern applied to a textile, the external design of a mobile phone casing, the ornamental features of furniture, and distinctive packaging designs.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Article 25 – Requirements for protection</w:t>
      </w:r>
    </w:p>
    <w:p w:rsidR="002A7AE8" w:rsidRPr="002A7AE8" w:rsidRDefault="002A7AE8" w:rsidP="002A7AE8">
      <w:pPr>
        <w:rPr>
          <w:rFonts w:cstheme="minorHAnsi"/>
          <w:sz w:val="28"/>
          <w:szCs w:val="28"/>
        </w:rPr>
      </w:pPr>
      <w:r w:rsidRPr="002A7AE8">
        <w:rPr>
          <w:rFonts w:cstheme="minorHAnsi"/>
          <w:sz w:val="28"/>
          <w:szCs w:val="28"/>
        </w:rPr>
        <w:t xml:space="preserve">Article 25(1) provides: "Members shall provide for the protection of independently created industrial designs that are new or original. Members may provide that designs are not new or original if they do not significantly differ from known designs or combinations of known designs. Members may </w:t>
      </w:r>
      <w:r w:rsidRPr="002A7AE8">
        <w:rPr>
          <w:rFonts w:cstheme="minorHAnsi"/>
          <w:sz w:val="28"/>
          <w:szCs w:val="28"/>
        </w:rPr>
        <w:lastRenderedPageBreak/>
        <w:t>provide that such protection shall not extend to designs dictated essentially by technical or functional considerations."</w:t>
      </w:r>
    </w:p>
    <w:p w:rsidR="002A7AE8" w:rsidRPr="002A7AE8" w:rsidRDefault="002A7AE8" w:rsidP="002A7AE8">
      <w:pPr>
        <w:rPr>
          <w:rFonts w:cstheme="minorHAnsi"/>
          <w:sz w:val="28"/>
          <w:szCs w:val="28"/>
        </w:rPr>
      </w:pPr>
      <w:r w:rsidRPr="002A7AE8">
        <w:rPr>
          <w:rFonts w:cstheme="minorHAnsi"/>
          <w:sz w:val="28"/>
          <w:szCs w:val="28"/>
        </w:rPr>
        <w:t>Key words: 'independently created' means the design must originate from the designer's own creative effort and not be copied from existing designs. 'New or original' sets the minimum quality threshold — members may satisfy this requirement through either a novelty standard (not previously disclosed) or an originality standard (the designer's own intellectual creation). The proviso permitting exclusion of designs that do not 'significantly differ' from known designs enables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member states to require a meaningful degree of distinctiveness, not mere trivial difference. The final proviso, excluding designs 'dictated essentially by technical or functional considerations', ensures that functional features remain outside the scope of design protection and continue to be governed by patent law. This provision is given effect in India through Section 2(d) of the Designs Act, 2000, which excludes modes of construction and mere mechanical devices from the definition of design, and through Section 4(c), which bars registration of designs not significantly distinguishable from known designs.</w:t>
      </w:r>
    </w:p>
    <w:p w:rsidR="002A7AE8" w:rsidRPr="002A7AE8" w:rsidRDefault="002A7AE8" w:rsidP="002A7AE8">
      <w:pPr>
        <w:rPr>
          <w:rFonts w:cstheme="minorHAnsi"/>
          <w:sz w:val="28"/>
          <w:szCs w:val="28"/>
        </w:rPr>
      </w:pPr>
      <w:r w:rsidRPr="002A7AE8">
        <w:rPr>
          <w:rFonts w:cstheme="minorHAnsi"/>
          <w:sz w:val="28"/>
          <w:szCs w:val="28"/>
        </w:rPr>
        <w:t>Article 25(2) provides: "Each Member shall ensure that requirements for securing protection for textile designs, in particular in regard to any cost, examination or publication, do not unreasonably impair the opportunity to seek and obtain such protection. Members are free to meet this obligation through industrial design law or through copyright law." This provision reflects the particular commercial importance of the textile industry and the need to ensure that protection for textile designs is accessible. Many designs in the textile sector are created rapidly and in large volumes, making traditional design registration procedures potentially burdensome. Article 25(2) permits flexibility: members may choose to protect textile designs through design law (requiring registration) or through copyright law (subsisting automatically), provided that the protection is genuinely accessible.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Article 26 – Rights conferred and exceptions</w:t>
      </w:r>
    </w:p>
    <w:p w:rsidR="002A7AE8" w:rsidRPr="002A7AE8" w:rsidRDefault="002A7AE8" w:rsidP="002A7AE8">
      <w:pPr>
        <w:rPr>
          <w:rFonts w:cstheme="minorHAnsi"/>
          <w:sz w:val="28"/>
          <w:szCs w:val="28"/>
        </w:rPr>
      </w:pPr>
      <w:r w:rsidRPr="002A7AE8">
        <w:rPr>
          <w:rFonts w:cstheme="minorHAnsi"/>
          <w:sz w:val="28"/>
          <w:szCs w:val="28"/>
        </w:rPr>
        <w:t xml:space="preserve">Article 26(1) provides: "The owner of a protected industrial design shall have the right to prevent third parties not having the owner's consent from making, </w:t>
      </w:r>
      <w:r w:rsidRPr="002A7AE8">
        <w:rPr>
          <w:rFonts w:cstheme="minorHAnsi"/>
          <w:sz w:val="28"/>
          <w:szCs w:val="28"/>
        </w:rPr>
        <w:lastRenderedPageBreak/>
        <w:t>selling or importing articles bearing or embodying a design which is a copy, or substantially a copy, of the protected design, when such acts are undertaken for commercial purposes."</w:t>
      </w:r>
    </w:p>
    <w:p w:rsidR="002A7AE8" w:rsidRPr="002A7AE8" w:rsidRDefault="002A7AE8" w:rsidP="002A7AE8">
      <w:pPr>
        <w:rPr>
          <w:rFonts w:cstheme="minorHAnsi"/>
          <w:sz w:val="28"/>
          <w:szCs w:val="28"/>
        </w:rPr>
      </w:pPr>
      <w:r w:rsidRPr="002A7AE8">
        <w:rPr>
          <w:rFonts w:cstheme="minorHAnsi"/>
          <w:sz w:val="28"/>
          <w:szCs w:val="28"/>
        </w:rPr>
        <w:t>Key words: 'making' means manufacturing or producing articles embodying the protected design without authorisation; 'selling' means commercial sale or offering for sale; 'importing' means bringing articles bearing the design into the country for commercial purposes. The phrase 'substantially a copy' extends protection beyond exact reproductions to close imitations — a minor variation does not defeat protection if the essential visual appearance of the protected design is replicated. The qualifier 'for commercial purposes' limits the scope of the exclusive right to commercial exploitation, leaving aside truly private and non-commercial activities. This provision is implemented in India through Section 22 of the Designs Act, 2000, which prohibits application, importation, publication, and sale of articles bearing a registered design or a fraudulent or obvious imitation thereof without the consent of the registered proprietor.</w:t>
      </w:r>
    </w:p>
    <w:p w:rsidR="002A7AE8" w:rsidRPr="002A7AE8" w:rsidRDefault="002A7AE8" w:rsidP="002A7AE8">
      <w:pPr>
        <w:rPr>
          <w:rFonts w:cstheme="minorHAnsi"/>
          <w:sz w:val="28"/>
          <w:szCs w:val="28"/>
        </w:rPr>
      </w:pPr>
      <w:r w:rsidRPr="002A7AE8">
        <w:rPr>
          <w:rFonts w:cstheme="minorHAnsi"/>
          <w:sz w:val="28"/>
          <w:szCs w:val="28"/>
        </w:rPr>
        <w:t>Article 26(2) provides: "Members may provide limited exceptions to the protection of industrial designs, provided that such exceptions do not unreasonably conflict with the normal exploitation of protected industrial designs and do not unreasonably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prejudice the legitimate interests of the owner of the protected design, taking account of the legitimate interests of third parties." This provision mirrors the 'three-step test' concept used elsewhere in TRIPS and permits member states to legislate exceptions for educational use, private non-commercial use, research, and similar activities, subject to the three cumulative conditions. It ensures that design protection does not prevent socially beneficial activities that do not harm the commercial interests of design owners.</w:t>
      </w:r>
    </w:p>
    <w:p w:rsidR="002A7AE8" w:rsidRPr="002A7AE8" w:rsidRDefault="002A7AE8" w:rsidP="002A7AE8">
      <w:pPr>
        <w:rPr>
          <w:rFonts w:cstheme="minorHAnsi"/>
          <w:sz w:val="28"/>
          <w:szCs w:val="28"/>
        </w:rPr>
      </w:pPr>
      <w:r w:rsidRPr="002A7AE8">
        <w:rPr>
          <w:rFonts w:cstheme="minorHAnsi"/>
          <w:sz w:val="28"/>
          <w:szCs w:val="28"/>
        </w:rPr>
        <w:t>Article 26(3) provides: "The duration of protection available shall amount to at least 10 years." This sets the minimum statutory term of design protection for all WTO member states. India's Designs Act, 2000 provides for an initial term of ten years from the date of registration under Section 11(1), extendable by a further five years under Section 11(2), giving a maximum protection period of fifteen years — exceeding the TRIPS minimum.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5.</w:t>
      </w:r>
      <w:r w:rsidRPr="002A7AE8">
        <w:rPr>
          <w:rFonts w:cstheme="minorHAnsi"/>
          <w:sz w:val="28"/>
          <w:szCs w:val="28"/>
        </w:rPr>
        <w:tab/>
        <w:t>Comparison of Articles 25 and 26</w:t>
      </w:r>
    </w:p>
    <w:p w:rsidR="002A7AE8" w:rsidRPr="002A7AE8" w:rsidRDefault="002A7AE8" w:rsidP="002A7AE8">
      <w:pPr>
        <w:rPr>
          <w:rFonts w:cstheme="minorHAnsi"/>
          <w:sz w:val="28"/>
          <w:szCs w:val="28"/>
        </w:rPr>
      </w:pPr>
      <w:r w:rsidRPr="002A7AE8">
        <w:rPr>
          <w:rFonts w:cstheme="minorHAnsi"/>
          <w:sz w:val="28"/>
          <w:szCs w:val="28"/>
        </w:rPr>
        <w:t>Aspect</w:t>
      </w:r>
      <w:r w:rsidRPr="002A7AE8">
        <w:rPr>
          <w:rFonts w:cstheme="minorHAnsi"/>
          <w:sz w:val="28"/>
          <w:szCs w:val="28"/>
        </w:rPr>
        <w:tab/>
        <w:t>Article 25</w:t>
      </w:r>
      <w:r w:rsidRPr="002A7AE8">
        <w:rPr>
          <w:rFonts w:cstheme="minorHAnsi"/>
          <w:sz w:val="28"/>
          <w:szCs w:val="28"/>
        </w:rPr>
        <w:tab/>
        <w:t>Article 26</w:t>
      </w:r>
    </w:p>
    <w:p w:rsidR="002A7AE8" w:rsidRPr="002A7AE8" w:rsidRDefault="002A7AE8" w:rsidP="002A7AE8">
      <w:pPr>
        <w:rPr>
          <w:rFonts w:cstheme="minorHAnsi"/>
          <w:sz w:val="28"/>
          <w:szCs w:val="28"/>
        </w:rPr>
      </w:pPr>
      <w:r w:rsidRPr="002A7AE8">
        <w:rPr>
          <w:rFonts w:cstheme="minorHAnsi"/>
          <w:sz w:val="28"/>
          <w:szCs w:val="28"/>
        </w:rPr>
        <w:t>Subject</w:t>
      </w:r>
      <w:r w:rsidRPr="002A7AE8">
        <w:rPr>
          <w:rFonts w:cstheme="minorHAnsi"/>
          <w:sz w:val="28"/>
          <w:szCs w:val="28"/>
        </w:rPr>
        <w:tab/>
        <w:t>Requirements for protection</w:t>
      </w:r>
    </w:p>
    <w:p w:rsidR="002A7AE8" w:rsidRPr="002A7AE8" w:rsidRDefault="002A7AE8" w:rsidP="002A7AE8">
      <w:pPr>
        <w:rPr>
          <w:rFonts w:cstheme="minorHAnsi"/>
          <w:sz w:val="28"/>
          <w:szCs w:val="28"/>
        </w:rPr>
      </w:pPr>
      <w:r w:rsidRPr="002A7AE8">
        <w:rPr>
          <w:rFonts w:cstheme="minorHAnsi"/>
          <w:sz w:val="28"/>
          <w:szCs w:val="28"/>
        </w:rPr>
        <w:t>— novelty and originality</w:t>
      </w:r>
      <w:r w:rsidRPr="002A7AE8">
        <w:rPr>
          <w:rFonts w:cstheme="minorHAnsi"/>
          <w:sz w:val="28"/>
          <w:szCs w:val="28"/>
        </w:rPr>
        <w:tab/>
        <w:t>Rights conferred — exclusive rights of owner</w:t>
      </w:r>
    </w:p>
    <w:p w:rsidR="002A7AE8" w:rsidRPr="002A7AE8" w:rsidRDefault="002A7AE8" w:rsidP="002A7AE8">
      <w:pPr>
        <w:rPr>
          <w:rFonts w:cstheme="minorHAnsi"/>
          <w:sz w:val="28"/>
          <w:szCs w:val="28"/>
        </w:rPr>
      </w:pPr>
      <w:r w:rsidRPr="002A7AE8">
        <w:rPr>
          <w:rFonts w:cstheme="minorHAnsi"/>
          <w:sz w:val="28"/>
          <w:szCs w:val="28"/>
        </w:rPr>
        <w:t>Purpose</w:t>
      </w:r>
      <w:r w:rsidRPr="002A7AE8">
        <w:rPr>
          <w:rFonts w:cstheme="minorHAnsi"/>
          <w:sz w:val="28"/>
          <w:szCs w:val="28"/>
        </w:rPr>
        <w:tab/>
        <w:t>Defines what qualifies for protection</w:t>
      </w:r>
      <w:r w:rsidRPr="002A7AE8">
        <w:rPr>
          <w:rFonts w:cstheme="minorHAnsi"/>
          <w:sz w:val="28"/>
          <w:szCs w:val="28"/>
        </w:rPr>
        <w:tab/>
        <w:t>Grants and limits exclusive rights</w:t>
      </w:r>
    </w:p>
    <w:p w:rsidR="002A7AE8" w:rsidRPr="002A7AE8" w:rsidRDefault="002A7AE8" w:rsidP="002A7AE8">
      <w:pPr>
        <w:rPr>
          <w:rFonts w:cstheme="minorHAnsi"/>
          <w:sz w:val="28"/>
          <w:szCs w:val="28"/>
        </w:rPr>
      </w:pPr>
      <w:r w:rsidRPr="002A7AE8">
        <w:rPr>
          <w:rFonts w:cstheme="minorHAnsi"/>
          <w:sz w:val="28"/>
          <w:szCs w:val="28"/>
        </w:rPr>
        <w:t>Key rule</w:t>
      </w:r>
      <w:r w:rsidRPr="002A7AE8">
        <w:rPr>
          <w:rFonts w:cstheme="minorHAnsi"/>
          <w:sz w:val="28"/>
          <w:szCs w:val="28"/>
        </w:rPr>
        <w:tab/>
        <w:t>Protection for independently created, new designs</w:t>
      </w:r>
      <w:r w:rsidRPr="002A7AE8">
        <w:rPr>
          <w:rFonts w:cstheme="minorHAnsi"/>
          <w:sz w:val="28"/>
          <w:szCs w:val="28"/>
        </w:rPr>
        <w:tab/>
        <w:t>Right to prevent copying, sale, and importation</w:t>
      </w:r>
    </w:p>
    <w:p w:rsidR="002A7AE8" w:rsidRPr="002A7AE8" w:rsidRDefault="002A7AE8" w:rsidP="002A7AE8">
      <w:pPr>
        <w:rPr>
          <w:rFonts w:cstheme="minorHAnsi"/>
          <w:sz w:val="28"/>
          <w:szCs w:val="28"/>
        </w:rPr>
      </w:pPr>
      <w:r w:rsidRPr="002A7AE8">
        <w:rPr>
          <w:rFonts w:cstheme="minorHAnsi"/>
          <w:sz w:val="28"/>
          <w:szCs w:val="28"/>
        </w:rPr>
        <w:t>Exceptions</w:t>
      </w:r>
      <w:r w:rsidRPr="002A7AE8">
        <w:rPr>
          <w:rFonts w:cstheme="minorHAnsi"/>
          <w:sz w:val="28"/>
          <w:szCs w:val="28"/>
        </w:rPr>
        <w:tab/>
        <w:t>Functional designs may be excluded</w:t>
      </w:r>
      <w:r w:rsidRPr="002A7AE8">
        <w:rPr>
          <w:rFonts w:cstheme="minorHAnsi"/>
          <w:sz w:val="28"/>
          <w:szCs w:val="28"/>
        </w:rPr>
        <w:tab/>
        <w:t>Limited exceptions permitted</w:t>
      </w:r>
    </w:p>
    <w:p w:rsidR="002A7AE8" w:rsidRPr="002A7AE8" w:rsidRDefault="002A7AE8" w:rsidP="002A7AE8">
      <w:pPr>
        <w:rPr>
          <w:rFonts w:cstheme="minorHAnsi"/>
          <w:sz w:val="28"/>
          <w:szCs w:val="28"/>
        </w:rPr>
      </w:pPr>
      <w:r w:rsidRPr="002A7AE8">
        <w:rPr>
          <w:rFonts w:cstheme="minorHAnsi"/>
          <w:sz w:val="28"/>
          <w:szCs w:val="28"/>
        </w:rPr>
        <w:t>Term</w:t>
      </w:r>
      <w:r w:rsidRPr="002A7AE8">
        <w:rPr>
          <w:rFonts w:cstheme="minorHAnsi"/>
          <w:sz w:val="28"/>
          <w:szCs w:val="28"/>
        </w:rPr>
        <w:tab/>
        <w:t>No minimum set</w:t>
      </w:r>
      <w:r w:rsidRPr="002A7AE8">
        <w:rPr>
          <w:rFonts w:cstheme="minorHAnsi"/>
          <w:sz w:val="28"/>
          <w:szCs w:val="28"/>
        </w:rPr>
        <w:tab/>
        <w:t>Minimum 10 years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Implementation in India – key sections</w:t>
      </w:r>
    </w:p>
    <w:p w:rsidR="002A7AE8" w:rsidRPr="002A7AE8" w:rsidRDefault="002A7AE8" w:rsidP="002A7AE8">
      <w:pPr>
        <w:rPr>
          <w:rFonts w:cstheme="minorHAnsi"/>
          <w:sz w:val="28"/>
          <w:szCs w:val="28"/>
        </w:rPr>
      </w:pPr>
      <w:r w:rsidRPr="002A7AE8">
        <w:rPr>
          <w:rFonts w:cstheme="minorHAnsi"/>
          <w:sz w:val="28"/>
          <w:szCs w:val="28"/>
        </w:rPr>
        <w:t>Section 2(d) of the Designs Act, 2000 defines 'design' in a manner consistent with Article 25, limiting protection to features appealing to the eye and excluding functional elements, trade marks, and artistic works. Section 4 implements the novelty and originality requirements of Article 25, providing that designs which are not new or original, have been previously published, are not significantly distinguishable from known designs, or contain scandalous matter shall not be registered. Section 11 provides the ten-year initial term extendable by five years, which meets and exceeds the Article 26(3) minimum. Section 22 implements the Article 26(1) exclusive rights by providing that piracy — the unauthorised application, importation, or sale of articles bearing a registered design or its fraudulent or obvious imitation — is actionable, with the proprietor entitled to damages, injunction, and other remedies.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Importance and impact of TRIPS design provisions</w:t>
      </w:r>
    </w:p>
    <w:p w:rsidR="002A7AE8" w:rsidRPr="002A7AE8" w:rsidRDefault="002A7AE8" w:rsidP="002A7AE8">
      <w:pPr>
        <w:rPr>
          <w:rFonts w:cstheme="minorHAnsi"/>
          <w:sz w:val="28"/>
          <w:szCs w:val="28"/>
        </w:rPr>
      </w:pPr>
      <w:r w:rsidRPr="002A7AE8">
        <w:rPr>
          <w:rFonts w:cstheme="minorHAnsi"/>
          <w:sz w:val="28"/>
          <w:szCs w:val="28"/>
        </w:rPr>
        <w:t>The TRIPS provisions on industrial designs have had a significant normalising effect on the design laws of WTO member states. By requiring all members to provide protection for independently created, new or original designs for a minimum of ten years, TRIPS has raised the floor of protection globally, particularly in countries where design law was previously weak or non-</w:t>
      </w:r>
      <w:r w:rsidRPr="002A7AE8">
        <w:rPr>
          <w:rFonts w:cstheme="minorHAnsi"/>
          <w:sz w:val="28"/>
          <w:szCs w:val="28"/>
        </w:rPr>
        <w:lastRenderedPageBreak/>
        <w:t>existent. The provisions have encouraged the growth of design-intensive industries including fashion and textiles, consumer electronics, automotive design, furniture, and packaging. The obligation to protect designs strengthens the competitive advantage of design-innovative enterprises by giving them a temporary monopoly during which they can recoup their investment in design creation. At the same time, the permissibility of exceptions under Article 26(2) and the fixed minimum term under Article 26(3) ensure that design rights do not create permanent monopolies and that the public domain is enriched over time as protection expires.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Critical analysis of TRIPS design provisions</w:t>
      </w:r>
    </w:p>
    <w:p w:rsidR="002A7AE8" w:rsidRPr="002A7AE8" w:rsidRDefault="002A7AE8" w:rsidP="002A7AE8">
      <w:pPr>
        <w:rPr>
          <w:rFonts w:cstheme="minorHAnsi"/>
          <w:sz w:val="28"/>
          <w:szCs w:val="28"/>
        </w:rPr>
      </w:pPr>
      <w:r w:rsidRPr="002A7AE8">
        <w:rPr>
          <w:rFonts w:cstheme="minorHAnsi"/>
          <w:sz w:val="28"/>
          <w:szCs w:val="28"/>
        </w:rPr>
        <w:t>While the TRIPS provisions represent significant progress in the international harmonisation of design law, they have attracted several criticisms. The minimum ten-year term may be insufficient for industries where the useful commercial life of a design extends beyond that period, as in certain luxury goods sectors. The distinction between functional and aesthetic features is often difficult to draw in practice, creating uncertainty about the boundary between design protection and patent protection. Developing countries have faced challenges in building administrative capacity to examine and register designs in compliance with TRIPS standards. The provisions do not address emerging design contexts such as graphical user interfaces, icons, and digital designs, which are increasingly commercially significant but may not fit neatly within traditional design law categories. Despite these limitations, Articles 25 and 26 of TRIPS remain the foundational international standard for industrial design protection.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 xml:space="preserve">Articles 25 and 26 of the TRIPS Agreement form the core international framework for the protection of industrial designs. Article 25 establishes the substantive requirements for protection — independent creation combined with novelty or originality — and permits member states to exclude designs dictated purely by technical or functional considerations. Article 26 grants the owner of a protected design the exclusive right to prevent unauthorised making, selling, and importation of articles embodying the design or a substantial copy, subject to limited exceptions and for a minimum term of ten </w:t>
      </w:r>
      <w:r w:rsidRPr="002A7AE8">
        <w:rPr>
          <w:rFonts w:cstheme="minorHAnsi"/>
          <w:sz w:val="28"/>
          <w:szCs w:val="28"/>
        </w:rPr>
        <w:lastRenderedPageBreak/>
        <w:t>years. India's Designs Act, 2000 implements these obligations comprehensively through Sections 2(d), 4, 11, and 22, providing</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protection that meets and in certain respects exceeds the TRIPS minimum. Together, these provisions encourage creativity in industrial aesthetics, reward investment in product design, promote fair competition, and support the growth of design-intensive industries in the global economy.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3: International registration of industrial designs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Industrial designs are territorial rights: protection obtained in one country does not automatically extend to any other. In a globalised trading environment where the same product is marketed across multiple countries simultaneously, designers and manufacturers need protection in each market of commercial significance. Filing separate national applications in each country is expensive, administratively burdensome, and subject to divergent procedural requirements. The international framework for industrial design protection addresses this challenge through two main instruments: the Hague Agreement Concerning the International Registration of Industrial Designs administered by WIPO, and the convention priority system under Article 4 of the Paris Convention, 1883 implemented in India through Section 44 of the Designs Act, 2000.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The Hague System – framework and operation</w:t>
      </w:r>
    </w:p>
    <w:p w:rsidR="002A7AE8" w:rsidRPr="002A7AE8" w:rsidRDefault="002A7AE8" w:rsidP="002A7AE8">
      <w:pPr>
        <w:rPr>
          <w:rFonts w:cstheme="minorHAnsi"/>
          <w:sz w:val="28"/>
          <w:szCs w:val="28"/>
        </w:rPr>
      </w:pPr>
      <w:r w:rsidRPr="002A7AE8">
        <w:rPr>
          <w:rFonts w:cstheme="minorHAnsi"/>
          <w:sz w:val="28"/>
          <w:szCs w:val="28"/>
        </w:rPr>
        <w:t xml:space="preserve">The Hague Agreement provides the principal international mechanism for the centralised filing and management of industrial design registrations across multiple jurisdictions. The Agreement has been revised several times: the 1960 Hague Act and the 1999 Geneva Act are the currently active instruments, with the 1999 Act being significantly more widely subscribed. The Hague System is administered by the International Bureau of WIPO in Geneva. As of the time of writing, India is not a contracting party to the Hague System, meaning that Indian applicants cannot use the Hague System to obtain protection in foreign </w:t>
      </w:r>
      <w:r w:rsidRPr="002A7AE8">
        <w:rPr>
          <w:rFonts w:cstheme="minorHAnsi"/>
          <w:sz w:val="28"/>
          <w:szCs w:val="28"/>
        </w:rPr>
        <w:lastRenderedPageBreak/>
        <w:t>countries, nor can foreign Hague applicants use the Hague System to obtain design protection directly in India. Indian applicants wishing to obtain foreign protection must therefore file individual national applications in each country of interest, which may involve claiming priority from their Indian application under the Paris Convention system.</w:t>
      </w:r>
    </w:p>
    <w:p w:rsidR="002A7AE8" w:rsidRPr="002A7AE8" w:rsidRDefault="002A7AE8" w:rsidP="002A7AE8">
      <w:pPr>
        <w:rPr>
          <w:rFonts w:cstheme="minorHAnsi"/>
          <w:sz w:val="28"/>
          <w:szCs w:val="28"/>
        </w:rPr>
      </w:pPr>
      <w:r w:rsidRPr="002A7AE8">
        <w:rPr>
          <w:rFonts w:cstheme="minorHAnsi"/>
          <w:sz w:val="28"/>
          <w:szCs w:val="28"/>
        </w:rPr>
        <w:t>Under the Hague System, an applicant from a contracting state files a single international application with WIPO, either directly or through their national or regional office. The application designates the contracting parties where protection is sought. WIPO conducts a formal examination and, if the application is formally compliant, records the design in the International Register and publishes it in the International Designs Bulletin. WIPO notifies each designated contracting party, which then examines the application under its own domestic law. Each designated party may issue a refusal within a prescribed period (typically twelve months, extendable to eighteen months). If no refusal is issued, protection is deemed granted with the same effect as a national registration. The international registration is valid for an initial period of five years from the date of the international registration and may be renewed for successive five-year periods.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Priority rights under the Paris Convention – Section 44 of the Designs Act, 2000 Section 44(1) of the Designs Act, 2000 provides: "Any person who has applied for protection for any design in the United Kingdom or any other convention country, or his legal representative or assignee, shall be entitled to claim that the registration of the said design under this Act shall be in priority to other applicants and shall have the same date as the date of the application in the United Kingdom or such other convention country: Provided that— (a) the application is made within six months from the application for protection in the United Kingdom or such other convention country..."</w:t>
      </w:r>
    </w:p>
    <w:p w:rsidR="002A7AE8" w:rsidRPr="002A7AE8" w:rsidRDefault="002A7AE8" w:rsidP="002A7AE8">
      <w:pPr>
        <w:rPr>
          <w:rFonts w:cstheme="minorHAnsi"/>
          <w:sz w:val="28"/>
          <w:szCs w:val="28"/>
        </w:rPr>
      </w:pPr>
      <w:r w:rsidRPr="002A7AE8">
        <w:rPr>
          <w:rFonts w:cstheme="minorHAnsi"/>
          <w:sz w:val="28"/>
          <w:szCs w:val="28"/>
        </w:rPr>
        <w:t xml:space="preserve">Key words: 'convention country' refers to a country that has made a reciprocal arrangement with India under the Paris Convention or another treaty for the mutual protection of industrial designs. 'Priority date' means the date of the first application in the convention country, from which the novelty of the Indian application will be assessed. 'Six months' is the priority period within which the Indian application must be filed to claim the benefit of the earlier filing date. The effect of a successful priority claim is that the design is treated as if filed in India on the date of the original foreign application, preventing any </w:t>
      </w:r>
      <w:r w:rsidRPr="002A7AE8">
        <w:rPr>
          <w:rFonts w:cstheme="minorHAnsi"/>
          <w:sz w:val="28"/>
          <w:szCs w:val="28"/>
        </w:rPr>
        <w:lastRenderedPageBreak/>
        <w:t>publications or applications by others in the intervening period from destroying the novelty of the design.</w:t>
      </w:r>
    </w:p>
    <w:p w:rsidR="002A7AE8" w:rsidRPr="002A7AE8" w:rsidRDefault="002A7AE8" w:rsidP="002A7AE8">
      <w:pPr>
        <w:rPr>
          <w:rFonts w:cstheme="minorHAnsi"/>
          <w:sz w:val="28"/>
          <w:szCs w:val="28"/>
        </w:rPr>
      </w:pPr>
      <w:r w:rsidRPr="002A7AE8">
        <w:rPr>
          <w:rFonts w:cstheme="minorHAnsi"/>
          <w:sz w:val="28"/>
          <w:szCs w:val="28"/>
        </w:rPr>
        <w:t>Section 44(2) provides that the registration of a design shall not be invalidated by reason only of the exhibition or use of, or the publication of a description of, the design in India during the period specified as that within which the application may be made. Section 44(3) requires the application under Section 44 to be made in the same manner as an ordinary application under the Designs Act. Section 44(4) empowers the Central Government to make arrangements for reciprocal protection with countries that have made satisfactory provision for the protection of Indian designs.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Protection of industrial designs in India – overview of key provisions Section 2(d) – Definition of design</w:t>
      </w:r>
    </w:p>
    <w:p w:rsidR="002A7AE8" w:rsidRPr="002A7AE8" w:rsidRDefault="002A7AE8" w:rsidP="002A7AE8">
      <w:pPr>
        <w:rPr>
          <w:rFonts w:cstheme="minorHAnsi"/>
          <w:sz w:val="28"/>
          <w:szCs w:val="28"/>
        </w:rPr>
      </w:pPr>
      <w:r w:rsidRPr="002A7AE8">
        <w:rPr>
          <w:rFonts w:cstheme="minorHAnsi"/>
          <w:sz w:val="28"/>
          <w:szCs w:val="28"/>
        </w:rPr>
        <w:t>Section 2(d) defines 'design' as "only the features of shape, configuration, pattern,</w:t>
      </w:r>
    </w:p>
    <w:p w:rsidR="002A7AE8" w:rsidRPr="002A7AE8" w:rsidRDefault="002A7AE8" w:rsidP="002A7AE8">
      <w:pPr>
        <w:rPr>
          <w:rFonts w:cstheme="minorHAnsi"/>
          <w:sz w:val="28"/>
          <w:szCs w:val="28"/>
        </w:rPr>
      </w:pPr>
      <w:r w:rsidRPr="002A7AE8">
        <w:rPr>
          <w:rFonts w:cstheme="minorHAnsi"/>
          <w:sz w:val="28"/>
          <w:szCs w:val="28"/>
        </w:rPr>
        <w:t>ornament or composition of lines or colours applied to any article whether in two dimensional or three dimensional or in both forms, by any industrial process or means, whether manual, mechanical or chemical, separate or combined, which in the finished article appeal to and are judged solely by the eye." The definition confirms that India's design law protects aesthetic features of articles applied industrially, consistent with the international standard.</w:t>
      </w:r>
    </w:p>
    <w:p w:rsidR="002A7AE8" w:rsidRPr="002A7AE8" w:rsidRDefault="002A7AE8" w:rsidP="002A7AE8">
      <w:pPr>
        <w:rPr>
          <w:rFonts w:cstheme="minorHAnsi"/>
          <w:sz w:val="28"/>
          <w:szCs w:val="28"/>
        </w:rPr>
      </w:pPr>
      <w:r w:rsidRPr="002A7AE8">
        <w:rPr>
          <w:rFonts w:cstheme="minorHAnsi"/>
          <w:sz w:val="28"/>
          <w:szCs w:val="28"/>
        </w:rPr>
        <w:t>Section 4 – Prohibition of registration of certain designs</w:t>
      </w:r>
    </w:p>
    <w:p w:rsidR="002A7AE8" w:rsidRPr="002A7AE8" w:rsidRDefault="002A7AE8" w:rsidP="002A7AE8">
      <w:pPr>
        <w:rPr>
          <w:rFonts w:cstheme="minorHAnsi"/>
          <w:sz w:val="28"/>
          <w:szCs w:val="28"/>
        </w:rPr>
      </w:pPr>
      <w:r w:rsidRPr="002A7AE8">
        <w:rPr>
          <w:rFonts w:cstheme="minorHAnsi"/>
          <w:sz w:val="28"/>
          <w:szCs w:val="28"/>
        </w:rPr>
        <w:t>Section 4 provides that a design shall not be registered if: (a) it is not new or original;</w:t>
      </w:r>
    </w:p>
    <w:p w:rsidR="002A7AE8" w:rsidRPr="002A7AE8" w:rsidRDefault="002A7AE8" w:rsidP="002A7AE8">
      <w:pPr>
        <w:rPr>
          <w:rFonts w:cstheme="minorHAnsi"/>
          <w:sz w:val="28"/>
          <w:szCs w:val="28"/>
        </w:rPr>
      </w:pPr>
      <w:r w:rsidRPr="002A7AE8">
        <w:rPr>
          <w:rFonts w:cstheme="minorHAnsi"/>
          <w:sz w:val="28"/>
          <w:szCs w:val="28"/>
        </w:rPr>
        <w:t>(b) it has been disclosed to the public anywhere in India or in any other country by publication in tangible form or by use or in any other way prior to the filing date or priority date; (c) it is not significantly distinguishable from known designs or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combinations of known designs; or (d) it comprises or contains scandalous or obscene matter. The global novelty standard in Section 4(b) is of particular importance in the international context: prior publication or prior use anywhere in the world before the filing or priority date destroys novelty.</w:t>
      </w:r>
    </w:p>
    <w:p w:rsidR="002A7AE8" w:rsidRPr="002A7AE8" w:rsidRDefault="002A7AE8" w:rsidP="002A7AE8">
      <w:pPr>
        <w:rPr>
          <w:rFonts w:cstheme="minorHAnsi"/>
          <w:sz w:val="28"/>
          <w:szCs w:val="28"/>
        </w:rPr>
      </w:pPr>
      <w:r w:rsidRPr="002A7AE8">
        <w:rPr>
          <w:rFonts w:cstheme="minorHAnsi"/>
          <w:sz w:val="28"/>
          <w:szCs w:val="28"/>
        </w:rPr>
        <w:lastRenderedPageBreak/>
        <w:t>Section 5 – Application for registration</w:t>
      </w:r>
    </w:p>
    <w:p w:rsidR="002A7AE8" w:rsidRPr="002A7AE8" w:rsidRDefault="002A7AE8" w:rsidP="002A7AE8">
      <w:pPr>
        <w:rPr>
          <w:rFonts w:cstheme="minorHAnsi"/>
          <w:sz w:val="28"/>
          <w:szCs w:val="28"/>
        </w:rPr>
      </w:pPr>
      <w:r w:rsidRPr="002A7AE8">
        <w:rPr>
          <w:rFonts w:cstheme="minorHAnsi"/>
          <w:sz w:val="28"/>
          <w:szCs w:val="28"/>
        </w:rPr>
        <w:t>Section 5(1) provides that the Controller may, on the application of any person claiming to be the proprietor of any new or original design not previously published in any country and not contrary to public order or morality, register the design.</w:t>
      </w:r>
    </w:p>
    <w:p w:rsidR="002A7AE8" w:rsidRPr="002A7AE8" w:rsidRDefault="002A7AE8" w:rsidP="002A7AE8">
      <w:pPr>
        <w:rPr>
          <w:rFonts w:cstheme="minorHAnsi"/>
          <w:sz w:val="28"/>
          <w:szCs w:val="28"/>
        </w:rPr>
      </w:pPr>
      <w:r w:rsidRPr="002A7AE8">
        <w:rPr>
          <w:rFonts w:cstheme="minorHAnsi"/>
          <w:sz w:val="28"/>
          <w:szCs w:val="28"/>
        </w:rPr>
        <w:t>Section 5(2) requires the application to be in the prescribed form, filed at the Patent Office in the prescribed manner, and accompanied by the prescribed fee. The application must include representations of the design in the prescribed number of views sufficient to disclose its visual features. Section 5(6) provides that a design when registered shall be registered as of the date of the application, which is important for determining the priority date and the commencement of the term of protection.</w:t>
      </w:r>
    </w:p>
    <w:p w:rsidR="002A7AE8" w:rsidRPr="002A7AE8" w:rsidRDefault="002A7AE8" w:rsidP="002A7AE8">
      <w:pPr>
        <w:rPr>
          <w:rFonts w:cstheme="minorHAnsi"/>
          <w:sz w:val="28"/>
          <w:szCs w:val="28"/>
        </w:rPr>
      </w:pPr>
      <w:r w:rsidRPr="002A7AE8">
        <w:rPr>
          <w:rFonts w:cstheme="minorHAnsi"/>
          <w:sz w:val="28"/>
          <w:szCs w:val="28"/>
        </w:rPr>
        <w:t>Section 11 – Copyright on registration and term of protection</w:t>
      </w:r>
    </w:p>
    <w:p w:rsidR="002A7AE8" w:rsidRPr="002A7AE8" w:rsidRDefault="002A7AE8" w:rsidP="002A7AE8">
      <w:pPr>
        <w:rPr>
          <w:rFonts w:cstheme="minorHAnsi"/>
          <w:sz w:val="28"/>
          <w:szCs w:val="28"/>
        </w:rPr>
      </w:pPr>
      <w:r w:rsidRPr="002A7AE8">
        <w:rPr>
          <w:rFonts w:cstheme="minorHAnsi"/>
          <w:sz w:val="28"/>
          <w:szCs w:val="28"/>
        </w:rPr>
        <w:t>Section 11(1) provides: "When a design is registered, the registered proprietor of the design shall, subject to the provisions of this Act, have copyright in the design during ten years from the date of registration." Section 11(2) provides that if, before the expiration of the said ten years, application for extension is made to the Controller in the prescribed manner, the Controller shall, on payment of the prescribed fee, extend the period of copyright for a second period of five years from the expiration of the original period. Thus the maximum total protection period is fifteen years.</w:t>
      </w:r>
    </w:p>
    <w:p w:rsidR="002A7AE8" w:rsidRPr="002A7AE8" w:rsidRDefault="002A7AE8" w:rsidP="002A7AE8">
      <w:pPr>
        <w:rPr>
          <w:rFonts w:cstheme="minorHAnsi"/>
          <w:sz w:val="28"/>
          <w:szCs w:val="28"/>
        </w:rPr>
      </w:pPr>
      <w:r w:rsidRPr="002A7AE8">
        <w:rPr>
          <w:rFonts w:cstheme="minorHAnsi"/>
          <w:sz w:val="28"/>
          <w:szCs w:val="28"/>
        </w:rPr>
        <w:t>After expiry, the design enters the public domain and may be freely used by any person.</w:t>
      </w:r>
    </w:p>
    <w:p w:rsidR="002A7AE8" w:rsidRPr="002A7AE8" w:rsidRDefault="002A7AE8" w:rsidP="002A7AE8">
      <w:pPr>
        <w:rPr>
          <w:rFonts w:cstheme="minorHAnsi"/>
          <w:sz w:val="28"/>
          <w:szCs w:val="28"/>
        </w:rPr>
      </w:pPr>
      <w:r w:rsidRPr="002A7AE8">
        <w:rPr>
          <w:rFonts w:cstheme="minorHAnsi"/>
          <w:sz w:val="28"/>
          <w:szCs w:val="28"/>
        </w:rPr>
        <w:t>Section 22 – Piracy of registered design</w:t>
      </w:r>
    </w:p>
    <w:p w:rsidR="002A7AE8" w:rsidRPr="002A7AE8" w:rsidRDefault="002A7AE8" w:rsidP="002A7AE8">
      <w:pPr>
        <w:rPr>
          <w:rFonts w:cstheme="minorHAnsi"/>
          <w:sz w:val="28"/>
          <w:szCs w:val="28"/>
        </w:rPr>
      </w:pPr>
      <w:r w:rsidRPr="002A7AE8">
        <w:rPr>
          <w:rFonts w:cstheme="minorHAnsi"/>
          <w:sz w:val="28"/>
          <w:szCs w:val="28"/>
        </w:rPr>
        <w:t xml:space="preserve">Section 22(1) provides that during the existence of copyright in a registered design, it is unlawful for any person without the consent of the registered proprietor to: (a) apply the design or any fraudulent or obvious imitation to any article in the registered class for the purpose of sale; (b) import for sale any article in the registered class to which the design or an obvious imitation thereof has been applied; or (c) knowing the design to have been unlawfully applied, publish or expose for sale any such article. Section 22(2) provides that a person committing piracy shall be liable to pay to the registered proprietor a sum not exceeding twenty-five thousand rupees recoverable as a contract debt, or, if the proprietor elects to bring a suit for damages and an injunction, </w:t>
      </w:r>
      <w:r w:rsidRPr="002A7AE8">
        <w:rPr>
          <w:rFonts w:cstheme="minorHAnsi"/>
          <w:sz w:val="28"/>
          <w:szCs w:val="28"/>
        </w:rPr>
        <w:lastRenderedPageBreak/>
        <w:t>to pay such damages and be restrained accordingly. The total sum recoverable under the contract debt route in respect of any one design shall not exceed fifty thousand rupees.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Procedure for obtaining design protection internationally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For Indian applicants wishing to obtain international design protection, the following approach is available. First, the designer creates a new and original design and files an application for registration in India under Section 5 of the Designs Act, 2000. This establishes the priority date. Second, within six months of the Indian filing date, the applicant may file applications in convention countries claiming the Indian application date as the priority date under the Paris Convention framework. Third, in each convention country, the application is examined under local law. Some countries require substantive examination for novelty; others simply register formally and leave novelty assessment to the courts. Fourth, upon successful registration in each country, the applicant obtains design protection in that jurisdiction with protection commencing from the filing or priority date. Fifth, renewals must be managed jurisdiction by jurisdiction in accordance with each country's domestic law. If and when India accedes to the Hague System, Indian applicants would have the additional option of filing a single international application through WIPO, substantially simplifying this process.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Relationship between international principles and the Designs Act, 2000</w:t>
      </w:r>
    </w:p>
    <w:p w:rsidR="002A7AE8" w:rsidRPr="002A7AE8" w:rsidRDefault="002A7AE8" w:rsidP="002A7AE8">
      <w:pPr>
        <w:rPr>
          <w:rFonts w:cstheme="minorHAnsi"/>
          <w:sz w:val="28"/>
          <w:szCs w:val="28"/>
        </w:rPr>
      </w:pPr>
      <w:r w:rsidRPr="002A7AE8">
        <w:rPr>
          <w:rFonts w:cstheme="minorHAnsi"/>
          <w:sz w:val="28"/>
          <w:szCs w:val="28"/>
        </w:rPr>
        <w:t>International principle</w:t>
      </w:r>
      <w:r w:rsidRPr="002A7AE8">
        <w:rPr>
          <w:rFonts w:cstheme="minorHAnsi"/>
          <w:sz w:val="28"/>
          <w:szCs w:val="28"/>
        </w:rPr>
        <w:tab/>
        <w:t>Designs Act, 2000 provision</w:t>
      </w:r>
      <w:r w:rsidRPr="002A7AE8">
        <w:rPr>
          <w:rFonts w:cstheme="minorHAnsi"/>
          <w:sz w:val="28"/>
          <w:szCs w:val="28"/>
        </w:rPr>
        <w:tab/>
        <w:t>Content</w:t>
      </w:r>
    </w:p>
    <w:p w:rsidR="002A7AE8" w:rsidRPr="002A7AE8" w:rsidRDefault="002A7AE8" w:rsidP="002A7AE8">
      <w:pPr>
        <w:rPr>
          <w:rFonts w:cstheme="minorHAnsi"/>
          <w:sz w:val="28"/>
          <w:szCs w:val="28"/>
        </w:rPr>
      </w:pPr>
      <w:r w:rsidRPr="002A7AE8">
        <w:rPr>
          <w:rFonts w:cstheme="minorHAnsi"/>
          <w:sz w:val="28"/>
          <w:szCs w:val="28"/>
        </w:rPr>
        <w:t>Protectable subject matter</w:t>
      </w:r>
      <w:r w:rsidRPr="002A7AE8">
        <w:rPr>
          <w:rFonts w:cstheme="minorHAnsi"/>
          <w:sz w:val="28"/>
          <w:szCs w:val="28"/>
        </w:rPr>
        <w:tab/>
        <w:t>Section 2(d)</w:t>
      </w:r>
      <w:r w:rsidRPr="002A7AE8">
        <w:rPr>
          <w:rFonts w:cstheme="minorHAnsi"/>
          <w:sz w:val="28"/>
          <w:szCs w:val="28"/>
        </w:rPr>
        <w:tab/>
        <w:t>Definition of design</w:t>
      </w:r>
    </w:p>
    <w:p w:rsidR="002A7AE8" w:rsidRPr="002A7AE8" w:rsidRDefault="002A7AE8" w:rsidP="002A7AE8">
      <w:pPr>
        <w:rPr>
          <w:rFonts w:cstheme="minorHAnsi"/>
          <w:sz w:val="28"/>
          <w:szCs w:val="28"/>
        </w:rPr>
      </w:pPr>
      <w:r w:rsidRPr="002A7AE8">
        <w:rPr>
          <w:rFonts w:cstheme="minorHAnsi"/>
          <w:sz w:val="28"/>
          <w:szCs w:val="28"/>
        </w:rPr>
        <w:t>Novelty and originality</w:t>
      </w:r>
      <w:r w:rsidRPr="002A7AE8">
        <w:rPr>
          <w:rFonts w:cstheme="minorHAnsi"/>
          <w:sz w:val="28"/>
          <w:szCs w:val="28"/>
        </w:rPr>
        <w:tab/>
        <w:t>Section 4</w:t>
      </w:r>
      <w:r w:rsidRPr="002A7AE8">
        <w:rPr>
          <w:rFonts w:cstheme="minorHAnsi"/>
          <w:sz w:val="28"/>
          <w:szCs w:val="28"/>
        </w:rPr>
        <w:tab/>
        <w:t>Prohibition of unoriginal designs</w:t>
      </w:r>
    </w:p>
    <w:p w:rsidR="002A7AE8" w:rsidRPr="002A7AE8" w:rsidRDefault="002A7AE8" w:rsidP="002A7AE8">
      <w:pPr>
        <w:rPr>
          <w:rFonts w:cstheme="minorHAnsi"/>
          <w:sz w:val="28"/>
          <w:szCs w:val="28"/>
        </w:rPr>
      </w:pPr>
      <w:r w:rsidRPr="002A7AE8">
        <w:rPr>
          <w:rFonts w:cstheme="minorHAnsi"/>
          <w:sz w:val="28"/>
          <w:szCs w:val="28"/>
        </w:rPr>
        <w:t>Registration</w:t>
      </w:r>
      <w:r w:rsidRPr="002A7AE8">
        <w:rPr>
          <w:rFonts w:cstheme="minorHAnsi"/>
          <w:sz w:val="28"/>
          <w:szCs w:val="28"/>
        </w:rPr>
        <w:tab/>
        <w:t>Section 5</w:t>
      </w:r>
      <w:r w:rsidRPr="002A7AE8">
        <w:rPr>
          <w:rFonts w:cstheme="minorHAnsi"/>
          <w:sz w:val="28"/>
          <w:szCs w:val="28"/>
        </w:rPr>
        <w:tab/>
        <w:t>Application procedure</w:t>
      </w:r>
    </w:p>
    <w:p w:rsidR="002A7AE8" w:rsidRPr="002A7AE8" w:rsidRDefault="002A7AE8" w:rsidP="002A7AE8">
      <w:pPr>
        <w:rPr>
          <w:rFonts w:cstheme="minorHAnsi"/>
          <w:sz w:val="28"/>
          <w:szCs w:val="28"/>
        </w:rPr>
      </w:pPr>
      <w:r w:rsidRPr="002A7AE8">
        <w:rPr>
          <w:rFonts w:cstheme="minorHAnsi"/>
          <w:sz w:val="28"/>
          <w:szCs w:val="28"/>
        </w:rPr>
        <w:t>Priority from foreign applications</w:t>
      </w:r>
      <w:r w:rsidRPr="002A7AE8">
        <w:rPr>
          <w:rFonts w:cstheme="minorHAnsi"/>
          <w:sz w:val="28"/>
          <w:szCs w:val="28"/>
        </w:rPr>
        <w:tab/>
        <w:t>Section 44</w:t>
      </w:r>
      <w:r w:rsidRPr="002A7AE8">
        <w:rPr>
          <w:rFonts w:cstheme="minorHAnsi"/>
          <w:sz w:val="28"/>
          <w:szCs w:val="28"/>
        </w:rPr>
        <w:tab/>
        <w:t>Convention country priority</w:t>
      </w:r>
    </w:p>
    <w:p w:rsidR="002A7AE8" w:rsidRPr="002A7AE8" w:rsidRDefault="002A7AE8" w:rsidP="002A7AE8">
      <w:pPr>
        <w:rPr>
          <w:rFonts w:cstheme="minorHAnsi"/>
          <w:sz w:val="28"/>
          <w:szCs w:val="28"/>
        </w:rPr>
      </w:pPr>
      <w:r w:rsidRPr="002A7AE8">
        <w:rPr>
          <w:rFonts w:cstheme="minorHAnsi"/>
          <w:sz w:val="28"/>
          <w:szCs w:val="28"/>
        </w:rPr>
        <w:t>Exclusive rights</w:t>
      </w:r>
      <w:r w:rsidRPr="002A7AE8">
        <w:rPr>
          <w:rFonts w:cstheme="minorHAnsi"/>
          <w:sz w:val="28"/>
          <w:szCs w:val="28"/>
        </w:rPr>
        <w:tab/>
        <w:t>Section 11</w:t>
      </w:r>
      <w:r w:rsidRPr="002A7AE8">
        <w:rPr>
          <w:rFonts w:cstheme="minorHAnsi"/>
          <w:sz w:val="28"/>
          <w:szCs w:val="28"/>
        </w:rPr>
        <w:tab/>
        <w:t>Copyright on registration</w:t>
      </w:r>
    </w:p>
    <w:p w:rsidR="002A7AE8" w:rsidRPr="002A7AE8" w:rsidRDefault="002A7AE8" w:rsidP="002A7AE8">
      <w:pPr>
        <w:rPr>
          <w:rFonts w:cstheme="minorHAnsi"/>
          <w:sz w:val="28"/>
          <w:szCs w:val="28"/>
        </w:rPr>
      </w:pPr>
      <w:r w:rsidRPr="002A7AE8">
        <w:rPr>
          <w:rFonts w:cstheme="minorHAnsi"/>
          <w:sz w:val="28"/>
          <w:szCs w:val="28"/>
        </w:rPr>
        <w:t>Protection against copying</w:t>
      </w:r>
      <w:r w:rsidRPr="002A7AE8">
        <w:rPr>
          <w:rFonts w:cstheme="minorHAnsi"/>
          <w:sz w:val="28"/>
          <w:szCs w:val="28"/>
        </w:rPr>
        <w:tab/>
        <w:t>Section 22</w:t>
      </w:r>
      <w:r w:rsidRPr="002A7AE8">
        <w:rPr>
          <w:rFonts w:cstheme="minorHAnsi"/>
          <w:sz w:val="28"/>
          <w:szCs w:val="28"/>
        </w:rPr>
        <w:tab/>
        <w:t>Piracy of registered design</w:t>
      </w:r>
    </w:p>
    <w:p w:rsidR="002A7AE8" w:rsidRPr="002A7AE8" w:rsidRDefault="002A7AE8" w:rsidP="002A7AE8">
      <w:pPr>
        <w:rPr>
          <w:rFonts w:cstheme="minorHAnsi"/>
          <w:sz w:val="28"/>
          <w:szCs w:val="28"/>
        </w:rPr>
      </w:pPr>
      <w:r w:rsidRPr="002A7AE8">
        <w:rPr>
          <w:rFonts w:cstheme="minorHAnsi"/>
          <w:sz w:val="28"/>
          <w:szCs w:val="28"/>
        </w:rPr>
        <w:lastRenderedPageBreak/>
        <w:t>Term of protection</w:t>
      </w:r>
      <w:r w:rsidRPr="002A7AE8">
        <w:rPr>
          <w:rFonts w:cstheme="minorHAnsi"/>
          <w:sz w:val="28"/>
          <w:szCs w:val="28"/>
        </w:rPr>
        <w:tab/>
        <w:t>Section 11(1) and (2)</w:t>
      </w:r>
      <w:r w:rsidRPr="002A7AE8">
        <w:rPr>
          <w:rFonts w:cstheme="minorHAnsi"/>
          <w:sz w:val="28"/>
          <w:szCs w:val="28"/>
        </w:rPr>
        <w:tab/>
        <w:t>10 + 5 = 15 years maximum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Bharat Glass Tube Ltd. v. Gopal Glass Works Ltd.</w:t>
      </w:r>
    </w:p>
    <w:p w:rsidR="002A7AE8" w:rsidRPr="002A7AE8" w:rsidRDefault="002A7AE8" w:rsidP="002A7AE8">
      <w:pPr>
        <w:rPr>
          <w:rFonts w:cstheme="minorHAnsi"/>
          <w:sz w:val="28"/>
          <w:szCs w:val="28"/>
        </w:rPr>
      </w:pPr>
      <w:r w:rsidRPr="002A7AE8">
        <w:rPr>
          <w:rFonts w:cstheme="minorHAnsi"/>
          <w:sz w:val="28"/>
          <w:szCs w:val="28"/>
        </w:rPr>
        <w:t>Citation: (2008) 10 SCC 657</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Gopal Glass Works Ltd. was the registered proprietor of a design relating to diamond-shaped patterns applied to glass sheets. The design had been created abroad and subsequently registered in India under the Designs Act, 2000. Bharat Glass Tube Ltd. began manufacturing glass sheets with a similar design. Bharat Glass filed a petition for cancellation of the registered design under Section 19, arguing that the design lacked novelty because it had existed abroad before the Indian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a design that previously existed in a foreign country could still be considered new or original for the purposes of registration in India. (ii) Whether mere existence or prior design in a foreign country constituted prior publication sufficient to invalidate the Indian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upheld the validity of the registered design. The Court held that mere existence of a design abroad does not amount to prior publication unless the design was actually made available or accessible to the public before the filing date. Novelty must be judged based on whether the design was accessible to the public, not merely on whether it existed somewhere. The purpose of design law is to protect genuine creative effort and commercial value, and registration should not be invalidated on the basis of mere theoretical knowledge of a design's foreign existence.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Microfibres Inc. v. Girdhar &amp; Co.</w:t>
      </w:r>
    </w:p>
    <w:p w:rsidR="002A7AE8" w:rsidRPr="002A7AE8" w:rsidRDefault="002A7AE8" w:rsidP="002A7AE8">
      <w:pPr>
        <w:rPr>
          <w:rFonts w:cstheme="minorHAnsi"/>
          <w:sz w:val="28"/>
          <w:szCs w:val="28"/>
        </w:rPr>
      </w:pPr>
      <w:r w:rsidRPr="002A7AE8">
        <w:rPr>
          <w:rFonts w:cstheme="minorHAnsi"/>
          <w:sz w:val="28"/>
          <w:szCs w:val="28"/>
        </w:rPr>
        <w:t>Citation: 2006 (32) PTC 157 (Del)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Microfibres Inc. was an American company that created artistic designs used on upholstery fabrics. The company claimed protection against copying by Indian competitors, arguing that its designs were protected by copyright law. The defendant argued that once a design is applied industrially on a commercial scale, protection must be sought under the Designs Act and not under copyright law.</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an industrially applied artistic design should receive protection under copyright law or design law. (ii) Whether Section 15 of the Copyright Act, 1957 extinguishes copyright once a design has been applied industrially more than fifty times.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Delhi High Court held that designs applied industrially to commercial products on a large scale fall within the scope of design law. Once a design is capable of registration under the Designs Act and has been applied industrially, the appropriate protection regime is the Designs Act and not copyright. This decision reflects the principle that design law and copyright law are mutually exclusive regimes for industrially applied designs, consistent with Section 15 of the Copyright Act, 1957.</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 xml:space="preserve">International protection of industrial designs is essential for businesses operating across multiple markets. The Hague System provides a centralised, simplified mechanism for registration in multiple jurisdictions for contracting </w:t>
      </w:r>
      <w:r w:rsidRPr="002A7AE8">
        <w:rPr>
          <w:rFonts w:cstheme="minorHAnsi"/>
          <w:sz w:val="28"/>
          <w:szCs w:val="28"/>
        </w:rPr>
        <w:lastRenderedPageBreak/>
        <w:t>states, though India is not yet a party. In the interim, Indian applicants rely on the Paris Convention priority system under Section 44 of the Designs Act, 2000 to obtain international protection through national filings. India's domestic design law under the Designs Act, 2000 is substantively aligned with TRIPS obligations and international design protection standards, ensuring that designs registered in India receive protection consistent with global norms. The judicial decisions of the Supreme Court and Delhi High Court, particularly in Bharat Glass Tube and Microfibres, confirm the courts' consistent application of the principles of novelty, originality, and the distinction between copyright and design protection that form the foundation of international design law.</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5: Registration of industrial designs under the Designs Act, 2000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Registration is the gateway to design protection under the Designs Act, 2000. Unlike copyright, which subsists automatically upon creation of an original work without any registration requirement, design protection under the Act is contingent upon registration. An unregistered design has no statutory protection under the Designs Act, though it may receive limited protection through the common law action of passing off or through residual copyright where Section 15 of the Copyright Act, 1957 has not yet extinguished the copyright. The registration procedure is governed by Sections 3 to 10 of the Act, supported by the Designs Rules, 2001. Registration confers upon the proprietor a certificate of copyright in the design that is prima facie evidence of ownership and validity, and provides the foundation for all enforcement actions under Section 22.</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Controller and other officers – Section 3</w:t>
      </w:r>
    </w:p>
    <w:p w:rsidR="002A7AE8" w:rsidRPr="002A7AE8" w:rsidRDefault="002A7AE8" w:rsidP="002A7AE8">
      <w:pPr>
        <w:rPr>
          <w:rFonts w:cstheme="minorHAnsi"/>
          <w:sz w:val="28"/>
          <w:szCs w:val="28"/>
        </w:rPr>
      </w:pPr>
      <w:r w:rsidRPr="002A7AE8">
        <w:rPr>
          <w:rFonts w:cstheme="minorHAnsi"/>
          <w:sz w:val="28"/>
          <w:szCs w:val="28"/>
        </w:rPr>
        <w:t xml:space="preserve">Section 3(1) provides: "The Controller-General of Patents, Designs and Trade Marks appointed under sub-section (1) of section 4 of the Trade and Merchandise Marks Act, 1958, shall be the Controller of Designs for the purposes of this Act." Section 3(2) empowers the Central Government to appoint examiners and other officers with such designations as it thinks fit. Section 3(3) provides that officers appointed under Section 3(2) shall discharge </w:t>
      </w:r>
      <w:r w:rsidRPr="002A7AE8">
        <w:rPr>
          <w:rFonts w:cstheme="minorHAnsi"/>
          <w:sz w:val="28"/>
          <w:szCs w:val="28"/>
        </w:rPr>
        <w:lastRenderedPageBreak/>
        <w:t>the functions of the Controller under the Act under the superintendence and direction of the Controller, pursuant to general or special orders in writing. Section 3(4) preserves the Controller's power to withdraw any matter pending before a subordinate officer, deal with it directly, transfer it to another officer, or proceed with it either de novo or from the stage at which it was withdrawn.</w:t>
      </w:r>
    </w:p>
    <w:p w:rsidR="002A7AE8" w:rsidRPr="002A7AE8" w:rsidRDefault="002A7AE8" w:rsidP="002A7AE8">
      <w:pPr>
        <w:rPr>
          <w:rFonts w:cstheme="minorHAnsi"/>
          <w:sz w:val="28"/>
          <w:szCs w:val="28"/>
        </w:rPr>
      </w:pPr>
      <w:r w:rsidRPr="002A7AE8">
        <w:rPr>
          <w:rFonts w:cstheme="minorHAnsi"/>
          <w:sz w:val="28"/>
          <w:szCs w:val="28"/>
        </w:rPr>
        <w:t>The Controller of Designs functions as the principal authority responsible for the administration of design registration in India. The Patent Office in Kolkata serves as the national office for design registrations, with branch offices in Delhi, Mumbai, and Chennai. The Controller exercises quasi-judicial powers in dealing with design applications, opposition proceedings, cancellation petitions, and rectification applications.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Prohibition of registration of certain designs – Section 4</w:t>
      </w:r>
    </w:p>
    <w:p w:rsidR="002A7AE8" w:rsidRPr="002A7AE8" w:rsidRDefault="002A7AE8" w:rsidP="002A7AE8">
      <w:pPr>
        <w:rPr>
          <w:rFonts w:cstheme="minorHAnsi"/>
          <w:sz w:val="28"/>
          <w:szCs w:val="28"/>
        </w:rPr>
      </w:pPr>
      <w:r w:rsidRPr="002A7AE8">
        <w:rPr>
          <w:rFonts w:cstheme="minorHAnsi"/>
          <w:sz w:val="28"/>
          <w:szCs w:val="28"/>
        </w:rPr>
        <w:t>Section 4 of the Designs Act, 2000 provides: "A design which— (a) is not new or original; or (b) has been disclosed to the public anywhere in India or in any other country by publication in tangible form or by use or in any other way prior to the filing date, or where applicable, the priority date of the application for registration; or</w:t>
      </w:r>
    </w:p>
    <w:p w:rsidR="002A7AE8" w:rsidRPr="002A7AE8" w:rsidRDefault="002A7AE8" w:rsidP="002A7AE8">
      <w:pPr>
        <w:rPr>
          <w:rFonts w:cstheme="minorHAnsi"/>
          <w:sz w:val="28"/>
          <w:szCs w:val="28"/>
        </w:rPr>
      </w:pPr>
      <w:r w:rsidRPr="002A7AE8">
        <w:rPr>
          <w:rFonts w:cstheme="minorHAnsi"/>
          <w:sz w:val="28"/>
          <w:szCs w:val="28"/>
        </w:rPr>
        <w:t>(c) is not significantly distinguishable from known designs or combination of known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designs; or (d) comprises or contains scandalous or obscene matter, shall not be registered."</w:t>
      </w:r>
    </w:p>
    <w:p w:rsidR="002A7AE8" w:rsidRPr="002A7AE8" w:rsidRDefault="002A7AE8" w:rsidP="002A7AE8">
      <w:pPr>
        <w:rPr>
          <w:rFonts w:cstheme="minorHAnsi"/>
          <w:sz w:val="28"/>
          <w:szCs w:val="28"/>
        </w:rPr>
      </w:pPr>
      <w:r w:rsidRPr="002A7AE8">
        <w:rPr>
          <w:rFonts w:cstheme="minorHAnsi"/>
          <w:sz w:val="28"/>
          <w:szCs w:val="28"/>
        </w:rPr>
        <w:t>Section 4(a): Novelty and originality are the fundamental substantive requirements. Section 2(g) defines 'original' as originating from the author and includes cases where, though old in themselves, the design idea is new in its application to a particular article. The test for novelty is global and applies as of the filing date or priority date. Section 4(b): The global prior publication bar applies whether disclosure was by tangible publication, prior use in trade, exhibition, or any other means.</w:t>
      </w:r>
    </w:p>
    <w:p w:rsidR="002A7AE8" w:rsidRPr="002A7AE8" w:rsidRDefault="002A7AE8" w:rsidP="002A7AE8">
      <w:pPr>
        <w:rPr>
          <w:rFonts w:cstheme="minorHAnsi"/>
          <w:sz w:val="28"/>
          <w:szCs w:val="28"/>
        </w:rPr>
      </w:pPr>
      <w:r w:rsidRPr="002A7AE8">
        <w:rPr>
          <w:rFonts w:cstheme="minorHAnsi"/>
          <w:sz w:val="28"/>
          <w:szCs w:val="28"/>
        </w:rPr>
        <w:t xml:space="preserve">Section 16 provides limited exceptions to disclosure, protecting the proprietor where disclosure was made in breach of good faith, in circumstances of confidentiality, or by acceptance of a first and confidential order for articles bearing the design. Section 4(c): The significant distinguishability requirement </w:t>
      </w:r>
      <w:r w:rsidRPr="002A7AE8">
        <w:rPr>
          <w:rFonts w:cstheme="minorHAnsi"/>
          <w:sz w:val="28"/>
          <w:szCs w:val="28"/>
        </w:rPr>
        <w:lastRenderedPageBreak/>
        <w:t>goes beyond mere novelty and demands that the design produce a different overall visual impression from known designs when considered holistically. Section 4(d): Designs containing scandalous or obscene matter are refused as a matter of public policy. The Controller also has an independent power under Section 35 to refuse registration of a design whose use would be contrary to public order or morality.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Application for registration – Section 5</w:t>
      </w:r>
    </w:p>
    <w:p w:rsidR="002A7AE8" w:rsidRPr="002A7AE8" w:rsidRDefault="002A7AE8" w:rsidP="002A7AE8">
      <w:pPr>
        <w:rPr>
          <w:rFonts w:cstheme="minorHAnsi"/>
          <w:sz w:val="28"/>
          <w:szCs w:val="28"/>
        </w:rPr>
      </w:pPr>
      <w:r w:rsidRPr="002A7AE8">
        <w:rPr>
          <w:rFonts w:cstheme="minorHAnsi"/>
          <w:sz w:val="28"/>
          <w:szCs w:val="28"/>
        </w:rPr>
        <w:t>Section 5(1) provides: "The Controller may, on the application of any person claiming to be the proprietor of any new or original design not previously published in any country and which is not contrary to public order or morality, register the design under this Act: Provided that the Controller shall before such registration refer the application for examination, by an examiner appointed under sub-section (2) of section 3, as to whether such design is capable of being registered under this Act and the rules made thereunder and consider the report of the examiner on such reference."</w:t>
      </w:r>
    </w:p>
    <w:p w:rsidR="002A7AE8" w:rsidRPr="002A7AE8" w:rsidRDefault="002A7AE8" w:rsidP="002A7AE8">
      <w:pPr>
        <w:rPr>
          <w:rFonts w:cstheme="minorHAnsi"/>
          <w:sz w:val="28"/>
          <w:szCs w:val="28"/>
        </w:rPr>
      </w:pPr>
      <w:r w:rsidRPr="002A7AE8">
        <w:rPr>
          <w:rFonts w:cstheme="minorHAnsi"/>
          <w:sz w:val="28"/>
          <w:szCs w:val="28"/>
        </w:rPr>
        <w:t>Section 5(2) requires every application to be in the prescribed form, filed at the Patent Office in the prescribed manner, and accompanied by the prescribed fee. Section 5(3) provides that a design may be registered in not more than one class of articles; in case of doubt as to the class, the Controller determines the appropriate class and that decision is final. Section 5(4) preserves the Controller's discretion to refuse registration, with an appeal lying to the High Court under Section 36. Section 5(5) provides that an application that has not been completed so as to enable registration to be effected within the prescribed time due to the applicant's default or neglect shall be deemed abandoned. Section 5(6) provides the critical rule that a design when registered shall be registered as of the date of the application for registration, meaning that the registration is backdated to the filing date.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Registration in respect of particular article – Section 6</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Section 6(1) provides that a design may be registered in respect of any or all of the articles comprised in a prescribed class. Section 6(2) provides that any question as to the class within which any article falls shall be determined by </w:t>
      </w:r>
      <w:r w:rsidRPr="002A7AE8">
        <w:rPr>
          <w:rFonts w:cstheme="minorHAnsi"/>
          <w:sz w:val="28"/>
          <w:szCs w:val="28"/>
        </w:rPr>
        <w:lastRenderedPageBreak/>
        <w:t>the Controller, whose decision is final. The classification of articles in India follows the Locarno Classification, established by the Locarno Agreement, 1968, an international classification system for industrial designs maintained by WIPO. India is a signatory to the Locarno Agreement. The current version comprises 32 classes and 219 subclasses covering all types of manufactured articles. Section 6(3) permits the proprietor to register the same design in respect of other articles within the same class without the subsequent registration being refused on grounds of novelty or prior publication by reason only of the earlier registration, provided that the subsequent registration does not extend the total period of copyright beyond that arising from the previous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Publication of particulars of registered designs – Section 7</w:t>
      </w:r>
    </w:p>
    <w:p w:rsidR="002A7AE8" w:rsidRPr="002A7AE8" w:rsidRDefault="002A7AE8" w:rsidP="002A7AE8">
      <w:pPr>
        <w:rPr>
          <w:rFonts w:cstheme="minorHAnsi"/>
          <w:sz w:val="28"/>
          <w:szCs w:val="28"/>
        </w:rPr>
      </w:pPr>
      <w:r w:rsidRPr="002A7AE8">
        <w:rPr>
          <w:rFonts w:cstheme="minorHAnsi"/>
          <w:sz w:val="28"/>
          <w:szCs w:val="28"/>
        </w:rPr>
        <w:t>Section 7 requires the Controller, as soon as may be after the registration of a design, to cause publication of the prescribed particulars of the design in the prescribed manner. After publication, the design is open to public inspection under Section 17. Publication serves an important public notice function: it informs the public, particularly manufacturers and traders, of subsisting design rights so that they are put on notice before manufacturing or importing articles that might infringe the registered design. It also enables interested persons to identify designs that may be susceptible to cancellation under Section 19.</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Substitution of applicant – Section 8</w:t>
      </w:r>
    </w:p>
    <w:p w:rsidR="002A7AE8" w:rsidRPr="002A7AE8" w:rsidRDefault="002A7AE8" w:rsidP="002A7AE8">
      <w:pPr>
        <w:rPr>
          <w:rFonts w:cstheme="minorHAnsi"/>
          <w:sz w:val="28"/>
          <w:szCs w:val="28"/>
        </w:rPr>
      </w:pPr>
      <w:r w:rsidRPr="002A7AE8">
        <w:rPr>
          <w:rFonts w:cstheme="minorHAnsi"/>
          <w:sz w:val="28"/>
          <w:szCs w:val="28"/>
        </w:rPr>
        <w:t xml:space="preserve">Section 8(1) empowers the Controller to direct that an application proceed in the name of a claimant — or jointly in the names of the claimant and the applicant — where the Controller is satisfied that by virtue of assignment, agreement in writing, or operation of law, the claimant would be entitled to the design or an interest therein if the design were registered. This provision enables the correct proprietor to be substituted where the original application was filed by a person not entitled to the design, or where the rights have been transferred after filing but before registration. Section 8(2) requires the consent of all joint applicants before a direction may be given on the basis of an assignment by one joint applicant. Section 8(4) makes provision for the death of a joint applicant before registration, permitting the application to </w:t>
      </w:r>
      <w:r w:rsidRPr="002A7AE8">
        <w:rPr>
          <w:rFonts w:cstheme="minorHAnsi"/>
          <w:sz w:val="28"/>
          <w:szCs w:val="28"/>
        </w:rPr>
        <w:lastRenderedPageBreak/>
        <w:t>proceed in the name of the surviving applicants with the consent of the legal representative of the deceased.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Certificate of registration – Section 9</w:t>
      </w:r>
    </w:p>
    <w:p w:rsidR="002A7AE8" w:rsidRPr="002A7AE8" w:rsidRDefault="002A7AE8" w:rsidP="002A7AE8">
      <w:pPr>
        <w:rPr>
          <w:rFonts w:cstheme="minorHAnsi"/>
          <w:sz w:val="28"/>
          <w:szCs w:val="28"/>
        </w:rPr>
      </w:pPr>
      <w:r w:rsidRPr="002A7AE8">
        <w:rPr>
          <w:rFonts w:cstheme="minorHAnsi"/>
          <w:sz w:val="28"/>
          <w:szCs w:val="28"/>
        </w:rPr>
        <w:t>Section 9(1) provides: "The Controller shall grant a certificate of registration to the proprietor of the design when registered." The certificate of registration is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primary document evidencing the registered proprietor's ownership of the design and their exclusive right to use it during the period of protection. Section 9(2) permits the Controller to furnish one or more additional copies of the certificate in case of loss of the original or in other expedient circumstances. The certificate is important for enforcement purposes — it is produced in infringement proceedings as evidence of the subsisting registration and its scope.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Register of designs – Section 10</w:t>
      </w:r>
    </w:p>
    <w:p w:rsidR="002A7AE8" w:rsidRPr="002A7AE8" w:rsidRDefault="002A7AE8" w:rsidP="002A7AE8">
      <w:pPr>
        <w:rPr>
          <w:rFonts w:cstheme="minorHAnsi"/>
          <w:sz w:val="28"/>
          <w:szCs w:val="28"/>
        </w:rPr>
      </w:pPr>
      <w:r w:rsidRPr="002A7AE8">
        <w:rPr>
          <w:rFonts w:cstheme="minorHAnsi"/>
          <w:sz w:val="28"/>
          <w:szCs w:val="28"/>
        </w:rPr>
        <w:t>Section 10(1) provides: "There shall be kept at the patent office a book called the register of designs, wherein shall be entered the names and addresses of proprietors of registered designs, notifications of assignments and of transmissions of registered designs, and such other matter as may be prescribed and such register may be maintained wholly or partly on computer, floppies or diskettes, subject to such safeguards as may be prescribed." Section 10(2) provides that references in the Act to entries in the register include references to entries maintained on computer media. Section 10(3) incorporates the pre-existing register from the 1911 Act into the new register. Section 10(4) provides that the register of designs shall be prima facie evidence of any matter directed or authorised by the Act to be entered therein. The register is open to public inspection, enabling any person to search for and verify design registrations.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Copyright on registration and term of protection – Section 11</w:t>
      </w:r>
    </w:p>
    <w:p w:rsidR="002A7AE8" w:rsidRPr="002A7AE8" w:rsidRDefault="002A7AE8" w:rsidP="002A7AE8">
      <w:pPr>
        <w:rPr>
          <w:rFonts w:cstheme="minorHAnsi"/>
          <w:sz w:val="28"/>
          <w:szCs w:val="28"/>
        </w:rPr>
      </w:pPr>
      <w:r w:rsidRPr="002A7AE8">
        <w:rPr>
          <w:rFonts w:cstheme="minorHAnsi"/>
          <w:sz w:val="28"/>
          <w:szCs w:val="28"/>
        </w:rPr>
        <w:lastRenderedPageBreak/>
        <w:t>Section 11(1) provides: "When a design is registered, the registered proprietor of the design shall, subject to the provisions of this Act, have copyright in the design during ten years from the date of registration." Section 11(2) provides: "If, before the expiration of the said ten years, application for the extension of the period of copyright is made to the Controller in the prescribed manner, the Controller shall, on payment of the prescribed fee, extend the period of copyright for a second period of five years from the expiration of the original period of ten years." The use of the word 'copyright' in the Act is a term of art specific to design law and does not refer to copyright in the sense of the Copyright Act, 1957; it denotes the exclusive right to apply the design to any article in the registered class.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11.</w:t>
      </w:r>
      <w:r w:rsidRPr="002A7AE8">
        <w:rPr>
          <w:rFonts w:cstheme="minorHAnsi"/>
          <w:sz w:val="28"/>
          <w:szCs w:val="28"/>
        </w:rPr>
        <w:tab/>
        <w:t>Requirements before delivery on sale – Section 15</w:t>
      </w:r>
    </w:p>
    <w:p w:rsidR="002A7AE8" w:rsidRPr="002A7AE8" w:rsidRDefault="002A7AE8" w:rsidP="002A7AE8">
      <w:pPr>
        <w:rPr>
          <w:rFonts w:cstheme="minorHAnsi"/>
          <w:sz w:val="28"/>
          <w:szCs w:val="28"/>
        </w:rPr>
      </w:pPr>
      <w:r w:rsidRPr="002A7AE8">
        <w:rPr>
          <w:rFonts w:cstheme="minorHAnsi"/>
          <w:sz w:val="28"/>
          <w:szCs w:val="28"/>
        </w:rPr>
        <w:t>Section 15(1)(b) provides that before delivery on sale of any articles to which a registered design has been applied, the proprietor shall cause each such article to be marked with the prescribed mark or with prescribed words or figures denoting that the design is registered. Failure to mark renders the proprietor unable to recover any penalty or damages in respect of infringement unless the proprietor can show either that all proper steps were taken to ensure marking, or that the infringement took place after the person guilty of it knew or had received notice of the existence of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copyright. This provision links the ability to enforce design rights to the physical marking of articles, ensuring that the public is informed of the existence of design protection.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12.</w:t>
      </w:r>
      <w:r w:rsidRPr="002A7AE8">
        <w:rPr>
          <w:rFonts w:cstheme="minorHAnsi"/>
          <w:sz w:val="28"/>
          <w:szCs w:val="28"/>
        </w:rPr>
        <w:tab/>
        <w:t>Effect of disclosure on copyright – Section 16</w:t>
      </w:r>
    </w:p>
    <w:p w:rsidR="002A7AE8" w:rsidRPr="002A7AE8" w:rsidRDefault="002A7AE8" w:rsidP="002A7AE8">
      <w:pPr>
        <w:rPr>
          <w:rFonts w:cstheme="minorHAnsi"/>
          <w:sz w:val="28"/>
          <w:szCs w:val="28"/>
        </w:rPr>
      </w:pPr>
      <w:r w:rsidRPr="002A7AE8">
        <w:rPr>
          <w:rFonts w:cstheme="minorHAnsi"/>
          <w:sz w:val="28"/>
          <w:szCs w:val="28"/>
        </w:rPr>
        <w:t xml:space="preserve">Section 16 provides protection for the proprietor against certain categories of disclosure that would otherwise destroy novelty and prevent registration. The section provides that the following types of disclosure shall not be deemed to be publication of the design sufficient to invalidate copyright if registration is subsequently obtained: disclosure by the proprietor to another person in circumstances of confidentiality that would make it contrary to good faith for the other person to use or publish the design; disclosure in breach of good </w:t>
      </w:r>
      <w:r w:rsidRPr="002A7AE8">
        <w:rPr>
          <w:rFonts w:cstheme="minorHAnsi"/>
          <w:sz w:val="28"/>
          <w:szCs w:val="28"/>
        </w:rPr>
        <w:lastRenderedPageBreak/>
        <w:t>faith by any person other than the proprietor; and acceptance of a first and confidential order for articles bearing a new or original textile design intended for registration. These exceptions reflect the practical realities of the design industry, where designers may need to share designs with manufacturers or potential clients before registration is possible.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13.</w:t>
      </w:r>
      <w:r w:rsidRPr="002A7AE8">
        <w:rPr>
          <w:rFonts w:cstheme="minorHAnsi"/>
          <w:sz w:val="28"/>
          <w:szCs w:val="28"/>
        </w:rPr>
        <w:tab/>
        <w:t>Step-by-step procedure for registration</w:t>
      </w:r>
    </w:p>
    <w:p w:rsidR="002A7AE8" w:rsidRPr="002A7AE8" w:rsidRDefault="002A7AE8" w:rsidP="002A7AE8">
      <w:pPr>
        <w:rPr>
          <w:rFonts w:cstheme="minorHAnsi"/>
          <w:sz w:val="28"/>
          <w:szCs w:val="28"/>
        </w:rPr>
      </w:pPr>
      <w:r w:rsidRPr="002A7AE8">
        <w:rPr>
          <w:rFonts w:cstheme="minorHAnsi"/>
          <w:sz w:val="28"/>
          <w:szCs w:val="28"/>
        </w:rPr>
        <w:t>The registration process under the Designs Act, 2000 involves the following stages. Step 1: The applicant files an application in Form 1 under the Designs Rules, 2001 at the Patent Office, accompanied by representations or specimens of the design in the prescribed number of views sufficient to disclose the visual features, together with the prescribed fee. Step 2: The application undergoes formal examination by an examiner to verify procedural compliance including correct form, adequate representations, fee payment, and proper specification of the article class. Step 3: The examiner conducts substantive examination to assess whether the design satisfies the registrability requirements — novelty, originality, significant distinguishability, and the absence of excluded features. Step 4: If objections are raised, they are communicated to the applicant who must respond within the prescribed time. The applicant may request a hearing before the Controller under Section 33 before any adverse decision is finalised. Step 5: If the application is found to be in order, the Controller registers the design, enters the particulars in the register, and issues the certificate of registration under Section 9. The registration date relates back to the filing date under Section 5(6). Step 6: The Controller causes publication of the design under Section 7, after which the design is open to public inspection under Section 17.</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14.</w:t>
      </w:r>
      <w:r w:rsidRPr="002A7AE8">
        <w:rPr>
          <w:rFonts w:cstheme="minorHAnsi"/>
          <w:sz w:val="28"/>
          <w:szCs w:val="28"/>
        </w:rPr>
        <w:tab/>
        <w:t>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Bharat Glass Tube Ltd. v. Gopal Glass Works Ltd.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Citation: (2008) 10 SCC 657</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Facts:</w:t>
      </w:r>
    </w:p>
    <w:p w:rsidR="002A7AE8" w:rsidRPr="002A7AE8" w:rsidRDefault="002A7AE8" w:rsidP="002A7AE8">
      <w:pPr>
        <w:rPr>
          <w:rFonts w:cstheme="minorHAnsi"/>
          <w:sz w:val="28"/>
          <w:szCs w:val="28"/>
        </w:rPr>
      </w:pPr>
      <w:r w:rsidRPr="002A7AE8">
        <w:rPr>
          <w:rFonts w:cstheme="minorHAnsi"/>
          <w:sz w:val="28"/>
          <w:szCs w:val="28"/>
        </w:rPr>
        <w:t>Gopal Glass Works Ltd. was the registered proprietor of a design relating to diamond-shaped patterns applied to glass sheets. Bharat Glass Tube Ltd. challenged the registration under Section 19, contending that the design existed abroad before registration and therefore lacked novelty under Section 4.</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the design satisfied the novelty requirement under Section 4 of the Designs Act. (ii) Whether prior existence of a design abroad constitutes prior publication.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upheld the registration. The Court held that novelty is destroyed only by prior publication — meaning actual public accessibility to the design — not by mere foreign existence. The design had a distinctive visual appearance and deserved the protection registered under the Act.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Reckitt Benckiser India Ltd. v. Wyeth Ltd.</w:t>
      </w:r>
    </w:p>
    <w:p w:rsidR="002A7AE8" w:rsidRPr="002A7AE8" w:rsidRDefault="002A7AE8" w:rsidP="002A7AE8">
      <w:pPr>
        <w:rPr>
          <w:rFonts w:cstheme="minorHAnsi"/>
          <w:sz w:val="28"/>
          <w:szCs w:val="28"/>
        </w:rPr>
      </w:pPr>
      <w:r w:rsidRPr="002A7AE8">
        <w:rPr>
          <w:rFonts w:cstheme="minorHAnsi"/>
          <w:sz w:val="28"/>
          <w:szCs w:val="28"/>
        </w:rPr>
        <w:t>Citation: 2013 (54) PTC 90 (Del)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The dispute concerned the validity of a registered design for a product container. The defendant challenged the design on the ground that it lacked novelty and was based on existing designs with only minor variations.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What standard of novelty and originality is required for design registration? (ii) Whether minor modifications to existing designs qualify for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Held:</w:t>
      </w:r>
    </w:p>
    <w:p w:rsidR="002A7AE8" w:rsidRPr="002A7AE8" w:rsidRDefault="002A7AE8" w:rsidP="002A7AE8">
      <w:pPr>
        <w:rPr>
          <w:rFonts w:cstheme="minorHAnsi"/>
          <w:sz w:val="28"/>
          <w:szCs w:val="28"/>
        </w:rPr>
      </w:pPr>
      <w:r w:rsidRPr="002A7AE8">
        <w:rPr>
          <w:rFonts w:cstheme="minorHAnsi"/>
          <w:sz w:val="28"/>
          <w:szCs w:val="28"/>
        </w:rPr>
        <w:t>The Delhi High Court held that a design must produce a different overall visual impression on the ordinary observer. Mere trade variations or minor workshop modifications are insufficient to constitute novelty. The design must create a new and distinctive visual appearance as a whole.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Microfibres Inc. v. Girdhar &amp; Co.</w:t>
      </w:r>
    </w:p>
    <w:p w:rsidR="002A7AE8" w:rsidRPr="002A7AE8" w:rsidRDefault="002A7AE8" w:rsidP="002A7AE8">
      <w:pPr>
        <w:rPr>
          <w:rFonts w:cstheme="minorHAnsi"/>
          <w:sz w:val="28"/>
          <w:szCs w:val="28"/>
        </w:rPr>
      </w:pPr>
      <w:r w:rsidRPr="002A7AE8">
        <w:rPr>
          <w:rFonts w:cstheme="minorHAnsi"/>
          <w:sz w:val="28"/>
          <w:szCs w:val="28"/>
        </w:rPr>
        <w:t>Citation: 2006 (32) PTC 157 (Del)</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Microfibres claimed protection for designs applied to upholstery fabrics. The defendant copied the patterns. A dispute arose about whether protection should be under copyright or design law.</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industrially applied designs should be protected under copyright or the Designs Act. (ii) Whether registration under the Designs Act is necessary for statutory protection.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Court held that designs intended for industrial application on a commercial scale are governed by the Designs Act. Registration under the Act is required for statutory design protection, and copyright protection under the Copyright Act ceases under Section 15 of that Act once the design has been applied industrially more than fifty times.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 xml:space="preserve">The registration procedure under the Designs Act, 2000 establishes a rigorous but accessible framework ensuring that design protection is granted only to genuinely new, original, and visually distinctive designs that satisfy the Act's </w:t>
      </w:r>
      <w:r w:rsidRPr="002A7AE8">
        <w:rPr>
          <w:rFonts w:cstheme="minorHAnsi"/>
          <w:sz w:val="28"/>
          <w:szCs w:val="28"/>
        </w:rPr>
        <w:lastRenderedPageBreak/>
        <w:t>substantive requirements. Sections 3 to 10 collectively govern the administration of design registrations, from the appointment of the Controller and examiners through the filing of applications, examination, grant of certificates, and maintenance of the register. Section 11 provides the duration framework — ten years initial plus five years extension — while Section 15 links enforcement rights to proper marking. The step-by-step procedure ensures transparency and procedural fairness. The Supreme Court's decision in Bharat Glass Tube confirms that novelty requires actual public disclosure, not mere foreign existence, while Reckitt Benckiser confirms the standard of significant visual distinguishability. Microfibres clarifies the boundary between design law and copyright. Together, these provisions and decisions create a coherent and well-functioning system for the registration and protection of industrial designs in India.</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6: Piracy of registered designs and remedies under the Designs Act, 2000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Once a design is registered under the Designs Act, 2000, the registered proprietor obtains exclusive rights — described as 'copyright in the design' under Section 11 — to apply the design to articles in the registered class. Any unauthorised reproduction, imitation, or commercial exploitation of a registered design is referred to in the Act as 'piracy of registered design' and is addressed by Section 22, which is the principal enforcement provision of the Act. Unlike trade mark law and patent law, which address different aspects of intellectual property, design law specifically protects aesthetic features that appeal to the eye. The enforcement framework under Section 22 reflects this focus by centering on visual similarity and the overall impression created by the allegedly infringing article.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Copyright in registered design – Section 11</w:t>
      </w:r>
    </w:p>
    <w:p w:rsidR="002A7AE8" w:rsidRPr="002A7AE8" w:rsidRDefault="002A7AE8" w:rsidP="002A7AE8">
      <w:pPr>
        <w:rPr>
          <w:rFonts w:cstheme="minorHAnsi"/>
          <w:sz w:val="28"/>
          <w:szCs w:val="28"/>
        </w:rPr>
      </w:pPr>
      <w:r w:rsidRPr="002A7AE8">
        <w:rPr>
          <w:rFonts w:cstheme="minorHAnsi"/>
          <w:sz w:val="28"/>
          <w:szCs w:val="28"/>
        </w:rPr>
        <w:t xml:space="preserve">Section 11(1) provides: "When a design is registered, the registered proprietor of the design shall, subject to the provisions of this Act, have copyright in the design during ten years from the date of registration." Section 11(2) provides </w:t>
      </w:r>
      <w:r w:rsidRPr="002A7AE8">
        <w:rPr>
          <w:rFonts w:cstheme="minorHAnsi"/>
          <w:sz w:val="28"/>
          <w:szCs w:val="28"/>
        </w:rPr>
        <w:lastRenderedPageBreak/>
        <w:t>for extension by a further five years on application and payment of the prescribed fee before expiry of the initial ten-year period. The term 'copyright' as used in the Designs Act does not carry the same meaning as in the Copyright Act, 1957; it is a term of art specific to design law meaning the exclusive right of the proprietor to apply the registered design to any article in any class in which the design is registered (as defined in Section 2(c) of the Designs Act). The copyright in a registered design extends for a maximum total period of fifteen years, after which it lapses and the design enters the public domain.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Piracy of registered design – Section 22</w:t>
      </w:r>
    </w:p>
    <w:p w:rsidR="002A7AE8" w:rsidRPr="002A7AE8" w:rsidRDefault="002A7AE8" w:rsidP="002A7AE8">
      <w:pPr>
        <w:rPr>
          <w:rFonts w:cstheme="minorHAnsi"/>
          <w:sz w:val="28"/>
          <w:szCs w:val="28"/>
        </w:rPr>
      </w:pPr>
      <w:r w:rsidRPr="002A7AE8">
        <w:rPr>
          <w:rFonts w:cstheme="minorHAnsi"/>
          <w:sz w:val="28"/>
          <w:szCs w:val="28"/>
        </w:rPr>
        <w:t>Section 22(1) provides: "During the existence of copyright in any design it shall not be lawful for any person— (a) for the purpose of sale to apply or cause to be applied to any article in any class of articles in which the design is registered, the design or any fraudulent or obvious imitation thereof, except with the licence or written consent of the registered proprietor, or to do anything with a view to enable the design to be so applied; or (b) to import for the purposes of sale, without the consent of the registered proprietor, any article belonging to the class in which the design has been registered, and having applied to it the design or any fraudulent or obvious imitation thereof; or (c) knowing that the design or any fraudulent or obvious imitation thereof has been applied to any article in any class of articles in which the design is registered without the consent of the registered proprietor, to publish or expose or cause to be published or exposed for sale that article."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 xml:space="preserve">Key words: 'for the purpose of sale' — purely private, non-commercial use of a design does not constitute piracy; piracy requires commercial intent. 'Apply' — this covers attaching, printing, embossing, or otherwise incorporating the design into an article. 'Fraudulent imitation' — a deliberate copy of the registered design made with intent to deceive or gain unfair advantage. 'Obvious imitation' — a copy that is clearly similar to the registered design when compared visually, even in the absence of fraudulent intent. The protection against both fraudulent and obvious imitation is important: even an innocent infringer who produces a design substantially similar to the registered design without knowledge of the registration is liable if the imitation is obvious. The requirement of knowledge in Section 22(1)(c) applies specifically </w:t>
      </w:r>
      <w:r w:rsidRPr="002A7AE8">
        <w:rPr>
          <w:rFonts w:cstheme="minorHAnsi"/>
          <w:sz w:val="28"/>
          <w:szCs w:val="28"/>
        </w:rPr>
        <w:lastRenderedPageBreak/>
        <w:t>to persons who publish or expose for sale articles bearing the copied design — they must know that the design was unlawfully applied.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Remedies under Section 22(2)</w:t>
      </w:r>
    </w:p>
    <w:p w:rsidR="002A7AE8" w:rsidRPr="002A7AE8" w:rsidRDefault="002A7AE8" w:rsidP="002A7AE8">
      <w:pPr>
        <w:rPr>
          <w:rFonts w:cstheme="minorHAnsi"/>
          <w:sz w:val="28"/>
          <w:szCs w:val="28"/>
        </w:rPr>
      </w:pPr>
      <w:r w:rsidRPr="002A7AE8">
        <w:rPr>
          <w:rFonts w:cstheme="minorHAnsi"/>
          <w:sz w:val="28"/>
          <w:szCs w:val="28"/>
        </w:rPr>
        <w:t>Section 22(2) provides: "If any person acts in contravention of this section, he shall be liable for every contravention— (a) to pay to the registered proprietor of the design a sum not exceeding twenty-five thousand rupees recoverable as a contract debt, or</w:t>
      </w:r>
    </w:p>
    <w:p w:rsidR="002A7AE8" w:rsidRPr="002A7AE8" w:rsidRDefault="002A7AE8" w:rsidP="002A7AE8">
      <w:pPr>
        <w:rPr>
          <w:rFonts w:cstheme="minorHAnsi"/>
          <w:sz w:val="28"/>
          <w:szCs w:val="28"/>
        </w:rPr>
      </w:pPr>
      <w:r w:rsidRPr="002A7AE8">
        <w:rPr>
          <w:rFonts w:cstheme="minorHAnsi"/>
          <w:sz w:val="28"/>
          <w:szCs w:val="28"/>
        </w:rPr>
        <w:t>(b) if the proprietor elects to bring a suit for the recovery of damages for any such contravention, and for an injunction against the repetition thereof, to pay such damages as may be awarded and to be restrained by injunction accordingly: Provided that the total sum recoverable in respect of any one design under clause (a) shall not exceed fifty thousand rupees: Provided further that no suit or any other proceeding for relief under this sub-section shall be instituted in any court below the court of District Judge."</w:t>
      </w:r>
    </w:p>
    <w:p w:rsidR="002A7AE8" w:rsidRPr="002A7AE8" w:rsidRDefault="002A7AE8" w:rsidP="002A7AE8">
      <w:pPr>
        <w:rPr>
          <w:rFonts w:cstheme="minorHAnsi"/>
          <w:sz w:val="28"/>
          <w:szCs w:val="28"/>
        </w:rPr>
      </w:pPr>
      <w:r w:rsidRPr="002A7AE8">
        <w:rPr>
          <w:rFonts w:cstheme="minorHAnsi"/>
          <w:sz w:val="28"/>
          <w:szCs w:val="28"/>
        </w:rPr>
        <w:t>The proprietor therefore has two alternative civil remedies. Under Section 22(2)(a), the proprietor may recover a liquidated sum per contravention as a contract debt, without proving actual loss — subject to an overall maximum of fifty thousand rupees per design. This summary remedy is particularly useful where the individual quantum of damage per infringement is difficult to establish. Under Section 22(2)(b), the proprietor may institute a civil suit before the District Court for actual damages and an injunction. Damages under this route are not limited to twenty-five thousand rupees per contravention but must be proved; they may include loss of profits, loss of market share, loss of licensing opportunities, and injury to commercial reputation. An injunction — either temporary pending the suit or permanent after final determination — prevents the defendant from continuing or repeating the piracy. A temporary injunction is particularly important in the digital and fast-moving consumer goods context where infringement can rapidly erode the commercial value of the design.</w:t>
      </w:r>
    </w:p>
    <w:p w:rsidR="002A7AE8" w:rsidRPr="002A7AE8" w:rsidRDefault="002A7AE8" w:rsidP="002A7AE8">
      <w:pPr>
        <w:rPr>
          <w:rFonts w:cstheme="minorHAnsi"/>
          <w:sz w:val="28"/>
          <w:szCs w:val="28"/>
        </w:rPr>
      </w:pPr>
      <w:r w:rsidRPr="002A7AE8">
        <w:rPr>
          <w:rFonts w:cstheme="minorHAnsi"/>
          <w:sz w:val="28"/>
          <w:szCs w:val="28"/>
        </w:rPr>
        <w:t>Section 22(3) provides an important procedural mechanism: in any suit for infringement under Section 22(2), every ground on which a registration may be cancelled under Section 19 is available as a defence. This means the defendant can challenge the validity of the registered design as a complete defence to the</w:t>
      </w:r>
    </w:p>
    <w:p w:rsidR="002A7AE8" w:rsidRPr="002A7AE8" w:rsidRDefault="002A7AE8" w:rsidP="002A7AE8">
      <w:pPr>
        <w:rPr>
          <w:rFonts w:cstheme="minorHAnsi"/>
          <w:sz w:val="28"/>
          <w:szCs w:val="28"/>
        </w:rPr>
      </w:pPr>
      <w:r w:rsidRPr="002A7AE8">
        <w:rPr>
          <w:rFonts w:cstheme="minorHAnsi"/>
          <w:sz w:val="28"/>
          <w:szCs w:val="28"/>
        </w:rPr>
        <w:lastRenderedPageBreak/>
        <w:t xml:space="preserve"> </w:t>
      </w:r>
    </w:p>
    <w:p w:rsidR="002A7AE8" w:rsidRPr="002A7AE8" w:rsidRDefault="002A7AE8" w:rsidP="002A7AE8">
      <w:pPr>
        <w:rPr>
          <w:rFonts w:cstheme="minorHAnsi"/>
          <w:sz w:val="28"/>
          <w:szCs w:val="28"/>
        </w:rPr>
      </w:pPr>
      <w:r w:rsidRPr="002A7AE8">
        <w:rPr>
          <w:rFonts w:cstheme="minorHAnsi"/>
          <w:sz w:val="28"/>
          <w:szCs w:val="28"/>
        </w:rPr>
        <w:t>infringement claim, alleging that the design is not new, not original, was previously published, is not significantly distinguishable from known designs, or is not a design as defined. Section 22(4) provides that where such a ground of defence under Section 22(3) is raised, the suit shall be transferred by the court to the High Court for decision. Section 22(5) requires the court, when making a decree in an infringement suit, to send a copy to the Controller, who shall cause an entry of the decree to be made in the register of designs.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Grounds for cancellation of registration – Section 19</w:t>
      </w:r>
    </w:p>
    <w:p w:rsidR="002A7AE8" w:rsidRPr="002A7AE8" w:rsidRDefault="002A7AE8" w:rsidP="002A7AE8">
      <w:pPr>
        <w:rPr>
          <w:rFonts w:cstheme="minorHAnsi"/>
          <w:sz w:val="28"/>
          <w:szCs w:val="28"/>
        </w:rPr>
      </w:pPr>
      <w:r w:rsidRPr="002A7AE8">
        <w:rPr>
          <w:rFonts w:cstheme="minorHAnsi"/>
          <w:sz w:val="28"/>
          <w:szCs w:val="28"/>
        </w:rPr>
        <w:t>Section 19(1) provides that any person interested may present a petition for the cancellation of the registration of a design at any time after registration to the Controller on any of the following grounds: (a) that the design has been previously registered in India; (b) that it has been published in India or in any other country prior to the date of registration; (c) that the design is not a new or original design; (d) that the design is not registrable under the Act; or (e) that it is not a design as defined under Section 2(d). Section 19(2) provides that an appeal shall lie from any order of the Controller under this section to the High Court, and the Controller may at any time refer any petition to the High Court.</w:t>
      </w:r>
    </w:p>
    <w:p w:rsidR="002A7AE8" w:rsidRPr="002A7AE8" w:rsidRDefault="002A7AE8" w:rsidP="002A7AE8">
      <w:pPr>
        <w:rPr>
          <w:rFonts w:cstheme="minorHAnsi"/>
          <w:sz w:val="28"/>
          <w:szCs w:val="28"/>
        </w:rPr>
      </w:pPr>
      <w:r w:rsidRPr="002A7AE8">
        <w:rPr>
          <w:rFonts w:cstheme="minorHAnsi"/>
          <w:sz w:val="28"/>
          <w:szCs w:val="28"/>
        </w:rPr>
        <w:t>The grounds for cancellation under Section 19 are identical to the grounds for refusal of registration under Section 4, which is consistent with the principle that a registration that should not have been granted may be challenged at any time during its term. The availability of these grounds as a defence under Section 22(3) ensures that invalid registrations cannot be used to restrain legitimate commercial activities.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Test for determining piracy</w:t>
      </w:r>
    </w:p>
    <w:p w:rsidR="002A7AE8" w:rsidRPr="002A7AE8" w:rsidRDefault="002A7AE8" w:rsidP="002A7AE8">
      <w:pPr>
        <w:rPr>
          <w:rFonts w:cstheme="minorHAnsi"/>
          <w:sz w:val="28"/>
          <w:szCs w:val="28"/>
        </w:rPr>
      </w:pPr>
      <w:r w:rsidRPr="002A7AE8">
        <w:rPr>
          <w:rFonts w:cstheme="minorHAnsi"/>
          <w:sz w:val="28"/>
          <w:szCs w:val="28"/>
        </w:rPr>
        <w:t xml:space="preserve">Courts in India apply the 'ordinary observer' or 'judge by the eye' test to determine whether a design has been pirated. The test asks whether an ordinary purchaser or consumer — not a design expert — looking at the article in the ordinary course of trade, would perceive the allegedly infringing article as embodying the same or substantially the same design as the registered design. The comparison is made on the basis of the overall visual impression </w:t>
      </w:r>
      <w:r w:rsidRPr="002A7AE8">
        <w:rPr>
          <w:rFonts w:cstheme="minorHAnsi"/>
          <w:sz w:val="28"/>
          <w:szCs w:val="28"/>
        </w:rPr>
        <w:lastRenderedPageBreak/>
        <w:t>created by the two designs, not by a detailed dissection of individual features. Minor differences in details that would only be apparent to an expert do not prevent a finding of piracy if the overall visual impression is substantially the same. Conversely, if the alleged infringer has produced a design that creates a meaningfully different overall visual impression despite incorporating some similar elements, piracy will not be established. The focus is always on the totality of the visual appearance as it would strike an ordinary observer in the relevant market.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Defences against piracy allegations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 defendant accused of design piracy may raise several defences. First, invalidity of the registration: under Section 22(3), any ground for cancellation under Section 19 is available as a defence, including lack of novelty, prior publication, failure to meet the definition of design, and lack of significant distinguishability. Second, absence of commercial purpose: piracy under Section 22(1) requires the acts to be for the purpose of sale or commercial exploitation; purely private non-commercial use is not piracy. Third, licence or consent: if the defendant can show that the proprietor gave licence or written consent to use the design, no piracy has occurred. Fourth, different overall appearance: if the designs produce meaningfully different overall visual impressions on an ordinary observer, the alleged imitation is not 'obvious' within the meaning of Section 22(1). Fifth, functional features: if the features in question are purely functional and do not appeal to the eye, they fall outside the scope of design protection and cannot ground an infringement claim. Sixth, expiry of copyright: after the maximum fifteen-year period, the design is in the public domain and cannot be enforced.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Restoration of lapsed designs – Sections 12 and 13</w:t>
      </w:r>
    </w:p>
    <w:p w:rsidR="002A7AE8" w:rsidRPr="002A7AE8" w:rsidRDefault="002A7AE8" w:rsidP="002A7AE8">
      <w:pPr>
        <w:rPr>
          <w:rFonts w:cstheme="minorHAnsi"/>
          <w:sz w:val="28"/>
          <w:szCs w:val="28"/>
        </w:rPr>
      </w:pPr>
      <w:r w:rsidRPr="002A7AE8">
        <w:rPr>
          <w:rFonts w:cstheme="minorHAnsi"/>
          <w:sz w:val="28"/>
          <w:szCs w:val="28"/>
        </w:rPr>
        <w:t xml:space="preserve">Section 12(1) provides that where a design has ceased to have effect by reason of failure to pay the fee for extension of copyright under Section 11(2), the proprietor or legal representative may, within one year from the date on which the design ceased to have effect, make an application for restoration of the design. Section 12(2) requires the application to contain a statement setting </w:t>
      </w:r>
      <w:r w:rsidRPr="002A7AE8">
        <w:rPr>
          <w:rFonts w:cstheme="minorHAnsi"/>
          <w:sz w:val="28"/>
          <w:szCs w:val="28"/>
        </w:rPr>
        <w:lastRenderedPageBreak/>
        <w:t>out the circumstances that led to the failure to pay, verified in the prescribed manner. Section 13(1) provides that if the Controller is satisfied that the failure to pay was unintentional and that there has been no undue delay in making the restoration application, the Controller shall restore the registration upon payment of any unpaid fee and a prescribed additional fee. Section 14(2) provides that no suit for piracy committed during the period between lapse and restoration shall be maintainable — this protects third parties who began using the design in the reasonable belief that it had entered the public domain.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Comparison: design piracy and patent infringement</w:t>
      </w:r>
    </w:p>
    <w:p w:rsidR="002A7AE8" w:rsidRPr="002A7AE8" w:rsidRDefault="002A7AE8" w:rsidP="002A7AE8">
      <w:pPr>
        <w:rPr>
          <w:rFonts w:cstheme="minorHAnsi"/>
          <w:sz w:val="28"/>
          <w:szCs w:val="28"/>
        </w:rPr>
      </w:pPr>
      <w:r w:rsidRPr="002A7AE8">
        <w:rPr>
          <w:rFonts w:cstheme="minorHAnsi"/>
          <w:sz w:val="28"/>
          <w:szCs w:val="28"/>
        </w:rPr>
        <w:t>Basis</w:t>
      </w:r>
      <w:r w:rsidRPr="002A7AE8">
        <w:rPr>
          <w:rFonts w:cstheme="minorHAnsi"/>
          <w:sz w:val="28"/>
          <w:szCs w:val="28"/>
        </w:rPr>
        <w:tab/>
        <w:t>Design piracy</w:t>
      </w:r>
      <w:r w:rsidRPr="002A7AE8">
        <w:rPr>
          <w:rFonts w:cstheme="minorHAnsi"/>
          <w:sz w:val="28"/>
          <w:szCs w:val="28"/>
        </w:rPr>
        <w:tab/>
        <w:t>Patent infringement</w:t>
      </w:r>
    </w:p>
    <w:p w:rsidR="002A7AE8" w:rsidRPr="002A7AE8" w:rsidRDefault="002A7AE8" w:rsidP="002A7AE8">
      <w:pPr>
        <w:rPr>
          <w:rFonts w:cstheme="minorHAnsi"/>
          <w:sz w:val="28"/>
          <w:szCs w:val="28"/>
        </w:rPr>
      </w:pPr>
      <w:r w:rsidRPr="002A7AE8">
        <w:rPr>
          <w:rFonts w:cstheme="minorHAnsi"/>
          <w:sz w:val="28"/>
          <w:szCs w:val="28"/>
        </w:rPr>
        <w:t>Protection</w:t>
      </w:r>
      <w:r w:rsidRPr="002A7AE8">
        <w:rPr>
          <w:rFonts w:cstheme="minorHAnsi"/>
          <w:sz w:val="28"/>
          <w:szCs w:val="28"/>
        </w:rPr>
        <w:tab/>
        <w:t>Aesthetic appearance of article</w:t>
      </w:r>
      <w:r w:rsidRPr="002A7AE8">
        <w:rPr>
          <w:rFonts w:cstheme="minorHAnsi"/>
          <w:sz w:val="28"/>
          <w:szCs w:val="28"/>
        </w:rPr>
        <w:tab/>
        <w:t>Technical invention</w:t>
      </w:r>
    </w:p>
    <w:p w:rsidR="002A7AE8" w:rsidRPr="002A7AE8" w:rsidRDefault="002A7AE8" w:rsidP="002A7AE8">
      <w:pPr>
        <w:rPr>
          <w:rFonts w:cstheme="minorHAnsi"/>
          <w:sz w:val="28"/>
          <w:szCs w:val="28"/>
        </w:rPr>
      </w:pPr>
      <w:r w:rsidRPr="002A7AE8">
        <w:rPr>
          <w:rFonts w:cstheme="minorHAnsi"/>
          <w:sz w:val="28"/>
          <w:szCs w:val="28"/>
        </w:rPr>
        <w:t>Governing law</w:t>
      </w:r>
      <w:r w:rsidRPr="002A7AE8">
        <w:rPr>
          <w:rFonts w:cstheme="minorHAnsi"/>
          <w:sz w:val="28"/>
          <w:szCs w:val="28"/>
        </w:rPr>
        <w:tab/>
        <w:t>Designs Act, 2000 – Section 22</w:t>
      </w:r>
      <w:r w:rsidRPr="002A7AE8">
        <w:rPr>
          <w:rFonts w:cstheme="minorHAnsi"/>
          <w:sz w:val="28"/>
          <w:szCs w:val="28"/>
        </w:rPr>
        <w:tab/>
        <w:t>Patents Act, 1970</w:t>
      </w:r>
    </w:p>
    <w:p w:rsidR="002A7AE8" w:rsidRPr="002A7AE8" w:rsidRDefault="002A7AE8" w:rsidP="002A7AE8">
      <w:pPr>
        <w:rPr>
          <w:rFonts w:cstheme="minorHAnsi"/>
          <w:sz w:val="28"/>
          <w:szCs w:val="28"/>
        </w:rPr>
      </w:pPr>
      <w:r w:rsidRPr="002A7AE8">
        <w:rPr>
          <w:rFonts w:cstheme="minorHAnsi"/>
          <w:sz w:val="28"/>
          <w:szCs w:val="28"/>
        </w:rPr>
        <w:t>Focus</w:t>
      </w:r>
      <w:r w:rsidRPr="002A7AE8">
        <w:rPr>
          <w:rFonts w:cstheme="minorHAnsi"/>
          <w:sz w:val="28"/>
          <w:szCs w:val="28"/>
        </w:rPr>
        <w:tab/>
        <w:t>Eye appeal – visual features</w:t>
      </w:r>
      <w:r w:rsidRPr="002A7AE8">
        <w:rPr>
          <w:rFonts w:cstheme="minorHAnsi"/>
          <w:sz w:val="28"/>
          <w:szCs w:val="28"/>
        </w:rPr>
        <w:tab/>
        <w:t>Function and utility</w:t>
      </w:r>
    </w:p>
    <w:p w:rsidR="002A7AE8" w:rsidRPr="002A7AE8" w:rsidRDefault="002A7AE8" w:rsidP="002A7AE8">
      <w:pPr>
        <w:rPr>
          <w:rFonts w:cstheme="minorHAnsi"/>
          <w:sz w:val="28"/>
          <w:szCs w:val="28"/>
        </w:rPr>
      </w:pPr>
      <w:r w:rsidRPr="002A7AE8">
        <w:rPr>
          <w:rFonts w:cstheme="minorHAnsi"/>
          <w:sz w:val="28"/>
          <w:szCs w:val="28"/>
        </w:rPr>
        <w:t>Term</w:t>
      </w:r>
      <w:r w:rsidRPr="002A7AE8">
        <w:rPr>
          <w:rFonts w:cstheme="minorHAnsi"/>
          <w:sz w:val="28"/>
          <w:szCs w:val="28"/>
        </w:rPr>
        <w:tab/>
        <w:t>Maximum 15 years</w:t>
      </w:r>
      <w:r w:rsidRPr="002A7AE8">
        <w:rPr>
          <w:rFonts w:cstheme="minorHAnsi"/>
          <w:sz w:val="28"/>
          <w:szCs w:val="28"/>
        </w:rPr>
        <w:tab/>
        <w:t>Generally 20 years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Test</w:t>
      </w:r>
      <w:r w:rsidRPr="002A7AE8">
        <w:rPr>
          <w:rFonts w:cstheme="minorHAnsi"/>
          <w:sz w:val="28"/>
          <w:szCs w:val="28"/>
        </w:rPr>
        <w:tab/>
        <w:t>Overall visual impression on ordinary observer</w:t>
      </w:r>
      <w:r w:rsidRPr="002A7AE8">
        <w:rPr>
          <w:rFonts w:cstheme="minorHAnsi"/>
          <w:sz w:val="28"/>
          <w:szCs w:val="28"/>
        </w:rPr>
        <w:tab/>
        <w:t>Whether essential integers of claims are reproduced</w:t>
      </w:r>
    </w:p>
    <w:p w:rsidR="002A7AE8" w:rsidRPr="002A7AE8" w:rsidRDefault="002A7AE8" w:rsidP="002A7AE8">
      <w:pPr>
        <w:rPr>
          <w:rFonts w:cstheme="minorHAnsi"/>
          <w:sz w:val="28"/>
          <w:szCs w:val="28"/>
        </w:rPr>
      </w:pPr>
      <w:r w:rsidRPr="002A7AE8">
        <w:rPr>
          <w:rFonts w:cstheme="minorHAnsi"/>
          <w:sz w:val="28"/>
          <w:szCs w:val="28"/>
        </w:rPr>
        <w:t>Registration</w:t>
      </w:r>
      <w:r w:rsidRPr="002A7AE8">
        <w:rPr>
          <w:rFonts w:cstheme="minorHAnsi"/>
          <w:sz w:val="28"/>
          <w:szCs w:val="28"/>
        </w:rPr>
        <w:tab/>
        <w:t>Registration required</w:t>
      </w:r>
      <w:r w:rsidRPr="002A7AE8">
        <w:rPr>
          <w:rFonts w:cstheme="minorHAnsi"/>
          <w:sz w:val="28"/>
          <w:szCs w:val="28"/>
        </w:rPr>
        <w:tab/>
        <w:t>Registration required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Bharat Glass Tube Ltd. v. Gopal Glass Works Ltd.</w:t>
      </w:r>
    </w:p>
    <w:p w:rsidR="002A7AE8" w:rsidRPr="002A7AE8" w:rsidRDefault="002A7AE8" w:rsidP="002A7AE8">
      <w:pPr>
        <w:rPr>
          <w:rFonts w:cstheme="minorHAnsi"/>
          <w:sz w:val="28"/>
          <w:szCs w:val="28"/>
        </w:rPr>
      </w:pPr>
      <w:r w:rsidRPr="002A7AE8">
        <w:rPr>
          <w:rFonts w:cstheme="minorHAnsi"/>
          <w:sz w:val="28"/>
          <w:szCs w:val="28"/>
        </w:rPr>
        <w:t>Citation: (2008) 10 SCC 657</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Gopal Glass Works Ltd. held a registered design for diamond-shaped patterns applied to glass sheets. Bharat Glass Tube Ltd. manufactured glass sheets with a substantially similar pattern and challenged the registration claiming lack of novelty due to prior existence of the design abroad.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the registered design was novel and original under Section 4. (ii) Whether prior foreign existence constitutes publication invalidating the Indian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upheld the registration and confirmed the proprietor's right to enforce against copying. The Court held that mere existence of a design abroad does not constitute prior publication unless it was publicly accessible. A validly registered, novel, and original design is entitled to full enforcement against piracy.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Dart Industries Inc. v. Techno Plast</w:t>
      </w:r>
    </w:p>
    <w:p w:rsidR="002A7AE8" w:rsidRPr="002A7AE8" w:rsidRDefault="002A7AE8" w:rsidP="002A7AE8">
      <w:pPr>
        <w:rPr>
          <w:rFonts w:cstheme="minorHAnsi"/>
          <w:sz w:val="28"/>
          <w:szCs w:val="28"/>
        </w:rPr>
      </w:pPr>
      <w:r w:rsidRPr="002A7AE8">
        <w:rPr>
          <w:rFonts w:cstheme="minorHAnsi"/>
          <w:sz w:val="28"/>
          <w:szCs w:val="28"/>
        </w:rPr>
        <w:t>Citation: 2007 (35) PTC 129 (Del)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Dart Industries owned registered designs for plastic containers. Techno Plast manufactured containers with substantially similar visual features. Dart alleged piracy under Section 22, while the defendant contended there were minor differences between the two designs.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copying of the essential visual features of a registered design amounts to piracy. (ii) Whether minor differences in details are sufficient to defeat a piracy claim.</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 xml:space="preserve">The Delhi High Court held that the overall visual impression must be compared from the perspective of an ordinary observer. Minor differences that would </w:t>
      </w:r>
      <w:r w:rsidRPr="002A7AE8">
        <w:rPr>
          <w:rFonts w:cstheme="minorHAnsi"/>
          <w:sz w:val="28"/>
          <w:szCs w:val="28"/>
        </w:rPr>
        <w:lastRenderedPageBreak/>
        <w:t>not be apparent to such an observer do not prevent a finding of piracy where the essential features of the registered design have been reproduced. The defendant's containers were held to be obvious imitations of the registered design.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Whirlpool of India Ltd. v. Videocon Industries Ltd.</w:t>
      </w:r>
    </w:p>
    <w:p w:rsidR="002A7AE8" w:rsidRPr="002A7AE8" w:rsidRDefault="002A7AE8" w:rsidP="002A7AE8">
      <w:pPr>
        <w:rPr>
          <w:rFonts w:cstheme="minorHAnsi"/>
          <w:sz w:val="28"/>
          <w:szCs w:val="28"/>
        </w:rPr>
      </w:pPr>
      <w:r w:rsidRPr="002A7AE8">
        <w:rPr>
          <w:rFonts w:cstheme="minorHAnsi"/>
          <w:sz w:val="28"/>
          <w:szCs w:val="28"/>
        </w:rPr>
        <w:t>Citation: 2014 (60) PTC 155 (Bom)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Whirlpool owned a registered design for washing machines. Videocon introduced washing machines that Whirlpool alleged had been designed to copy the external aesthetic features of the registered design.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Videocon's machines infringed Whirlpool's registered design. (ii) Whether design protection can extend to functional features of a washing machine.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Bombay High Court held that design protection applies only to features that appeal to and are judged solely by the eye — aesthetic, visual features — and not to technical or functional features. Similarity must be assessed by the overall visual impression created by the designs on an ordinary observer. The Court confirmed that functional aspects common to all washing machines cannot be monopolised through design registration.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Reckitt Benckiser India Ltd. v. Wyeth Ltd.</w:t>
      </w:r>
    </w:p>
    <w:p w:rsidR="002A7AE8" w:rsidRPr="002A7AE8" w:rsidRDefault="002A7AE8" w:rsidP="002A7AE8">
      <w:pPr>
        <w:rPr>
          <w:rFonts w:cstheme="minorHAnsi"/>
          <w:sz w:val="28"/>
          <w:szCs w:val="28"/>
        </w:rPr>
      </w:pPr>
      <w:r w:rsidRPr="002A7AE8">
        <w:rPr>
          <w:rFonts w:cstheme="minorHAnsi"/>
          <w:sz w:val="28"/>
          <w:szCs w:val="28"/>
        </w:rPr>
        <w:t>Citation: 2013 (54) PTC 90 (Del)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lastRenderedPageBreak/>
        <w:t>The dispute concerned the validity of a registered design for a product container, which the defendant alleged was not sufficiently novel or original because it was based on existing designs with only minor modifications.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What degree of novelty is required for design protection? (ii) Whether ordinary variations to existing designs constitute new designs.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Delhi High Court held that a design must create a different and distinctive overall visual impression when compared with known designs. Mere workshop variations or minor modifications to existing designs are insufficient to establish novelty and originality. Only designs that represent a genuine new visual appearance are entitled to protection and enforcement.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The provisions governing piracy and remedies under Section 22 of the Designs Act, 2000 provide the registered proprietor with a practical and effective enforcement framework against unauthorised commercial exploitation of registered designs.</w:t>
      </w:r>
    </w:p>
    <w:p w:rsidR="002A7AE8" w:rsidRPr="002A7AE8" w:rsidRDefault="002A7AE8" w:rsidP="002A7AE8">
      <w:pPr>
        <w:rPr>
          <w:rFonts w:cstheme="minorHAnsi"/>
          <w:sz w:val="28"/>
          <w:szCs w:val="28"/>
        </w:rPr>
      </w:pPr>
      <w:r w:rsidRPr="002A7AE8">
        <w:rPr>
          <w:rFonts w:cstheme="minorHAnsi"/>
          <w:sz w:val="28"/>
          <w:szCs w:val="28"/>
        </w:rPr>
        <w:t xml:space="preserve">Section 11 establishes the exclusive right — described as copyright in the design — for the duration of protection of up to fifteen years, while Section 22 defines the acts constituting piracy and provides two alternative civil remedies: the summary contract debt remedy and the full civil suit for damages and injunction before the District Court. The grounds for cancellation under Section 19, available as defences under Section 22(3), ensure that invalid registrations cannot be weaponised against legitimate commercial activity. The 'ordinary observer' test applied by Indian courts, as confirmed in Dart Industries, Whirlpool, and Reckitt Benckiser, correctly focuses the piracy inquiry on the overall visual impression created by the competing designs rather than on a technical dissection of individual features. The comparison table between design piracy and patent infringement illustrates the fundamental distinction between the two regimes: design law protects aesthetic appearance while </w:t>
      </w:r>
      <w:r w:rsidRPr="002A7AE8">
        <w:rPr>
          <w:rFonts w:cstheme="minorHAnsi"/>
          <w:sz w:val="28"/>
          <w:szCs w:val="28"/>
        </w:rPr>
        <w:lastRenderedPageBreak/>
        <w:t>patent law protects technical function, and the remedies and tests applicable in each reflect these different subject matters. Together, these provisions ensure that the Designs Act, 2000 provides meaningful and enforceable protection for India's design-creating industries.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Chapter 7: Assignment and transmission of industrial designs under the Designs Act, 2000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A registered industrial design is a form of intellectual property that carries significant commercial value. The exclusive right to apply the design to articles in the registered class — the 'copyright in the design' under Section 11 — represents a monopoly that may be commercially exploited not only by direct manufacture and sale but also by transfer to others through assignment, transmission, or licensing. The Designs Act, 2000 recognises design rights as property rights capable of commercial transfer. The principal provisions governing assignment and transmission are Sections 30 and 31, read with Sections 10, 11, and 22 which define the rights that are transferred and Section 9 which governs the certificate of registration that evidences ownership.</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Meaning of assignment</w:t>
      </w:r>
    </w:p>
    <w:p w:rsidR="002A7AE8" w:rsidRPr="002A7AE8" w:rsidRDefault="002A7AE8" w:rsidP="002A7AE8">
      <w:pPr>
        <w:rPr>
          <w:rFonts w:cstheme="minorHAnsi"/>
          <w:sz w:val="28"/>
          <w:szCs w:val="28"/>
        </w:rPr>
      </w:pPr>
      <w:r w:rsidRPr="002A7AE8">
        <w:rPr>
          <w:rFonts w:cstheme="minorHAnsi"/>
          <w:sz w:val="28"/>
          <w:szCs w:val="28"/>
        </w:rPr>
        <w:t>Assignment means the voluntary transfer of the ownership of a registered design or of an interest therein from one person (the assignor) to another (the assignee) by act of the parties, typically through a written agreement. An assignment of a design under the Designs Act, 2000 must be in writing — oral assignments are not recognised. Through assignment, the assignee becomes the owner of the design rights and is entitled to apply to the Controller for recording of their title under Section 30. Common scenarios for assignment include the sale of a registered design as part of a commercial transaction, the transfer of design rights during business restructuring or mergers and acquisitions, the sale of a portfolio of designs by one company to another, and the assignment of design rights by an individual designer to their employer or to a commissioning enterprise.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lastRenderedPageBreak/>
        <w:t>3.</w:t>
      </w:r>
      <w:r w:rsidRPr="002A7AE8">
        <w:rPr>
          <w:rFonts w:cstheme="minorHAnsi"/>
          <w:sz w:val="28"/>
          <w:szCs w:val="28"/>
        </w:rPr>
        <w:tab/>
        <w:t>Meaning of transmission</w:t>
      </w:r>
    </w:p>
    <w:p w:rsidR="002A7AE8" w:rsidRPr="002A7AE8" w:rsidRDefault="002A7AE8" w:rsidP="002A7AE8">
      <w:pPr>
        <w:rPr>
          <w:rFonts w:cstheme="minorHAnsi"/>
          <w:sz w:val="28"/>
          <w:szCs w:val="28"/>
        </w:rPr>
      </w:pPr>
      <w:r w:rsidRPr="002A7AE8">
        <w:rPr>
          <w:rFonts w:cstheme="minorHAnsi"/>
          <w:sz w:val="28"/>
          <w:szCs w:val="28"/>
        </w:rPr>
        <w:t>Transmission refers to the transfer of design rights by operation of law rather than by voluntary agreement. Transmission occurs when rights pass from one person to another as a result of a legal event rather than a contractual arrangement.</w:t>
      </w:r>
    </w:p>
    <w:p w:rsidR="002A7AE8" w:rsidRPr="002A7AE8" w:rsidRDefault="002A7AE8" w:rsidP="002A7AE8">
      <w:pPr>
        <w:rPr>
          <w:rFonts w:cstheme="minorHAnsi"/>
          <w:sz w:val="28"/>
          <w:szCs w:val="28"/>
        </w:rPr>
      </w:pPr>
      <w:r w:rsidRPr="002A7AE8">
        <w:rPr>
          <w:rFonts w:cstheme="minorHAnsi"/>
          <w:sz w:val="28"/>
          <w:szCs w:val="28"/>
        </w:rPr>
        <w:t>Transmission may occur on the death of the registered proprietor, when the design rights devolve upon the personal representative or heir of the deceased proprietor; on the insolvency of the proprietor, when rights vest in the official receiver or assignee in bankruptcy; pursuant to a court order affecting the proprietor's estate; or as a result of any other statutory provision that transfers property rights by operation of law. The Act makes no distinction in the procedure for recording assignments and transmissions — both are governed by Section 30 of the Act.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Comparison between assignment and transmission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Basis</w:t>
      </w:r>
      <w:r w:rsidRPr="002A7AE8">
        <w:rPr>
          <w:rFonts w:cstheme="minorHAnsi"/>
          <w:sz w:val="28"/>
          <w:szCs w:val="28"/>
        </w:rPr>
        <w:tab/>
        <w:t>Assignment</w:t>
      </w:r>
      <w:r w:rsidRPr="002A7AE8">
        <w:rPr>
          <w:rFonts w:cstheme="minorHAnsi"/>
          <w:sz w:val="28"/>
          <w:szCs w:val="28"/>
        </w:rPr>
        <w:tab/>
        <w:t>Transmission</w:t>
      </w:r>
    </w:p>
    <w:p w:rsidR="002A7AE8" w:rsidRPr="002A7AE8" w:rsidRDefault="002A7AE8" w:rsidP="002A7AE8">
      <w:pPr>
        <w:rPr>
          <w:rFonts w:cstheme="minorHAnsi"/>
          <w:sz w:val="28"/>
          <w:szCs w:val="28"/>
        </w:rPr>
      </w:pPr>
      <w:r w:rsidRPr="002A7AE8">
        <w:rPr>
          <w:rFonts w:cstheme="minorHAnsi"/>
          <w:sz w:val="28"/>
          <w:szCs w:val="28"/>
        </w:rPr>
        <w:t>Meaning</w:t>
      </w:r>
      <w:r w:rsidRPr="002A7AE8">
        <w:rPr>
          <w:rFonts w:cstheme="minorHAnsi"/>
          <w:sz w:val="28"/>
          <w:szCs w:val="28"/>
        </w:rPr>
        <w:tab/>
        <w:t>Voluntary transfer by act of parties</w:t>
      </w:r>
      <w:r w:rsidRPr="002A7AE8">
        <w:rPr>
          <w:rFonts w:cstheme="minorHAnsi"/>
          <w:sz w:val="28"/>
          <w:szCs w:val="28"/>
        </w:rPr>
        <w:tab/>
        <w:t>Transfer by operation of law</w:t>
      </w:r>
    </w:p>
    <w:p w:rsidR="002A7AE8" w:rsidRPr="002A7AE8" w:rsidRDefault="002A7AE8" w:rsidP="002A7AE8">
      <w:pPr>
        <w:rPr>
          <w:rFonts w:cstheme="minorHAnsi"/>
          <w:sz w:val="28"/>
          <w:szCs w:val="28"/>
        </w:rPr>
      </w:pPr>
      <w:r w:rsidRPr="002A7AE8">
        <w:rPr>
          <w:rFonts w:cstheme="minorHAnsi"/>
          <w:sz w:val="28"/>
          <w:szCs w:val="28"/>
        </w:rPr>
        <w:t>Method</w:t>
      </w:r>
      <w:r w:rsidRPr="002A7AE8">
        <w:rPr>
          <w:rFonts w:cstheme="minorHAnsi"/>
          <w:sz w:val="28"/>
          <w:szCs w:val="28"/>
        </w:rPr>
        <w:tab/>
        <w:t>Agreement in writing between parties</w:t>
      </w:r>
      <w:r w:rsidRPr="002A7AE8">
        <w:rPr>
          <w:rFonts w:cstheme="minorHAnsi"/>
          <w:sz w:val="28"/>
          <w:szCs w:val="28"/>
        </w:rPr>
        <w:tab/>
        <w:t>Legal event — death, insolvency, court order</w:t>
      </w:r>
    </w:p>
    <w:p w:rsidR="002A7AE8" w:rsidRPr="002A7AE8" w:rsidRDefault="002A7AE8" w:rsidP="002A7AE8">
      <w:pPr>
        <w:rPr>
          <w:rFonts w:cstheme="minorHAnsi"/>
          <w:sz w:val="28"/>
          <w:szCs w:val="28"/>
        </w:rPr>
      </w:pPr>
      <w:r w:rsidRPr="002A7AE8">
        <w:rPr>
          <w:rFonts w:cstheme="minorHAnsi"/>
          <w:sz w:val="28"/>
          <w:szCs w:val="28"/>
        </w:rPr>
        <w:t>Consent</w:t>
      </w:r>
      <w:r w:rsidRPr="002A7AE8">
        <w:rPr>
          <w:rFonts w:cstheme="minorHAnsi"/>
          <w:sz w:val="28"/>
          <w:szCs w:val="28"/>
        </w:rPr>
        <w:tab/>
        <w:t>Requires consent of assignor and assignee</w:t>
      </w:r>
      <w:r w:rsidRPr="002A7AE8">
        <w:rPr>
          <w:rFonts w:cstheme="minorHAnsi"/>
          <w:sz w:val="28"/>
          <w:szCs w:val="28"/>
        </w:rPr>
        <w:tab/>
        <w:t>No consent needed; automatic by law</w:t>
      </w:r>
    </w:p>
    <w:p w:rsidR="002A7AE8" w:rsidRPr="002A7AE8" w:rsidRDefault="002A7AE8" w:rsidP="002A7AE8">
      <w:pPr>
        <w:rPr>
          <w:rFonts w:cstheme="minorHAnsi"/>
          <w:sz w:val="28"/>
          <w:szCs w:val="28"/>
        </w:rPr>
      </w:pPr>
      <w:r w:rsidRPr="002A7AE8">
        <w:rPr>
          <w:rFonts w:cstheme="minorHAnsi"/>
          <w:sz w:val="28"/>
          <w:szCs w:val="28"/>
        </w:rPr>
        <w:t>Example</w:t>
      </w:r>
      <w:r w:rsidRPr="002A7AE8">
        <w:rPr>
          <w:rFonts w:cstheme="minorHAnsi"/>
          <w:sz w:val="28"/>
          <w:szCs w:val="28"/>
        </w:rPr>
        <w:tab/>
        <w:t>Sale of design rights to another company</w:t>
      </w:r>
      <w:r w:rsidRPr="002A7AE8">
        <w:rPr>
          <w:rFonts w:cstheme="minorHAnsi"/>
          <w:sz w:val="28"/>
          <w:szCs w:val="28"/>
        </w:rPr>
        <w:tab/>
        <w:t>Transfer on death of registered proprietor</w:t>
      </w:r>
    </w:p>
    <w:p w:rsidR="002A7AE8" w:rsidRPr="002A7AE8" w:rsidRDefault="002A7AE8" w:rsidP="002A7AE8">
      <w:pPr>
        <w:rPr>
          <w:rFonts w:cstheme="minorHAnsi"/>
          <w:sz w:val="28"/>
          <w:szCs w:val="28"/>
        </w:rPr>
      </w:pPr>
      <w:r w:rsidRPr="002A7AE8">
        <w:rPr>
          <w:rFonts w:cstheme="minorHAnsi"/>
          <w:sz w:val="28"/>
          <w:szCs w:val="28"/>
        </w:rPr>
        <w:t>Provision</w:t>
      </w:r>
      <w:r w:rsidRPr="002A7AE8">
        <w:rPr>
          <w:rFonts w:cstheme="minorHAnsi"/>
          <w:sz w:val="28"/>
          <w:szCs w:val="28"/>
        </w:rPr>
        <w:tab/>
        <w:t>Section 30 of the Designs Act, 2000</w:t>
      </w:r>
      <w:r w:rsidRPr="002A7AE8">
        <w:rPr>
          <w:rFonts w:cstheme="minorHAnsi"/>
          <w:sz w:val="28"/>
          <w:szCs w:val="28"/>
        </w:rPr>
        <w:tab/>
        <w:t>Section 30 of the Designs Act, 2000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Entry of assignment and transmission in register – Section 30</w:t>
      </w:r>
    </w:p>
    <w:p w:rsidR="002A7AE8" w:rsidRPr="002A7AE8" w:rsidRDefault="002A7AE8" w:rsidP="002A7AE8">
      <w:pPr>
        <w:rPr>
          <w:rFonts w:cstheme="minorHAnsi"/>
          <w:sz w:val="28"/>
          <w:szCs w:val="28"/>
        </w:rPr>
      </w:pPr>
      <w:r w:rsidRPr="002A7AE8">
        <w:rPr>
          <w:rFonts w:cstheme="minorHAnsi"/>
          <w:sz w:val="28"/>
          <w:szCs w:val="28"/>
        </w:rPr>
        <w:t xml:space="preserve">Section 30(1) of the Designs Act, 2000 provides: "Where a person becomes entitled by assignment, transmission or other operation of law to the copyright in a registered design, he may make application in the prescribed form to the </w:t>
      </w:r>
      <w:r w:rsidRPr="002A7AE8">
        <w:rPr>
          <w:rFonts w:cstheme="minorHAnsi"/>
          <w:sz w:val="28"/>
          <w:szCs w:val="28"/>
        </w:rPr>
        <w:lastRenderedPageBreak/>
        <w:t>Controller to register his title, and the Controller shall, on receipt of such application and on proof of title to his satisfaction, register him as the proprietor of such design, and shall cause an entry to be made in the prescribed manner in the register of the assignment, transmission or other instrument affecting the title."</w:t>
      </w:r>
    </w:p>
    <w:p w:rsidR="002A7AE8" w:rsidRPr="002A7AE8" w:rsidRDefault="002A7AE8" w:rsidP="002A7AE8">
      <w:pPr>
        <w:rPr>
          <w:rFonts w:cstheme="minorHAnsi"/>
          <w:sz w:val="28"/>
          <w:szCs w:val="28"/>
        </w:rPr>
      </w:pPr>
      <w:r w:rsidRPr="002A7AE8">
        <w:rPr>
          <w:rFonts w:cstheme="minorHAnsi"/>
          <w:sz w:val="28"/>
          <w:szCs w:val="28"/>
        </w:rPr>
        <w:t>Key words: 'becomes entitled' — the right to apply for entry arises upon acquisition of title, whether by assignment, transmission, or otherwise. 'Proof of title' — the Controller requires evidence establishing the basis of the applicant's claim: an assignment deed for assignment cases; succession documents (probate, letters of administration, or a succession certificate) for transmission on death; a court order for transmission pursuant to legal proceedings. 'Register him as the proprietor' — only upon recording does the new owner become the legally recognised proprietor for all purposes of the Act. 'Entry in the prescribed manner' — the details of the assignment or transmission are recorded in the Register of Designs, providing public notice of the change of ownership.</w:t>
      </w:r>
    </w:p>
    <w:p w:rsidR="002A7AE8" w:rsidRPr="002A7AE8" w:rsidRDefault="002A7AE8" w:rsidP="002A7AE8">
      <w:pPr>
        <w:rPr>
          <w:rFonts w:cstheme="minorHAnsi"/>
          <w:sz w:val="28"/>
          <w:szCs w:val="28"/>
        </w:rPr>
      </w:pPr>
      <w:r w:rsidRPr="002A7AE8">
        <w:rPr>
          <w:rFonts w:cstheme="minorHAnsi"/>
          <w:sz w:val="28"/>
          <w:szCs w:val="28"/>
        </w:rPr>
        <w:t>Section 30(2) provides that where any person becomes entitled as mortgagee, licensee, or otherwise to any interest in a registered design, they may similarly apply to the Controller to register their title or interest. The Controller, on proof of title, shall cause notice of the interest to be entered in the register. Section 30(3) provides that an assignment of a design or share in a design, a mortgage, licence, or creation of any other interest in a design shall not be valid unless: (i) it is in writing; (ii) the agreement is reduced to the form of a document embodying all terms and conditions; and (iii) the application for registration is filed with the Controller within six months of execution of the instrument, or within such extended period not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exceeding six months as the Controller may allow. Section 30(4) gives the registered proprietor absolute power to assign, grant licences, and otherwise deal with the design, subject to any rights appearing in the register. Section 30(5) provides that a document in respect of which no entry has been made in the register shall not be admitted in evidence in any court in proof of the title to copyright in a design, unless the court otherwise directs for reasons in writing.</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Importance of recording assignments</w:t>
      </w:r>
    </w:p>
    <w:p w:rsidR="002A7AE8" w:rsidRPr="002A7AE8" w:rsidRDefault="002A7AE8" w:rsidP="002A7AE8">
      <w:pPr>
        <w:rPr>
          <w:rFonts w:cstheme="minorHAnsi"/>
          <w:sz w:val="28"/>
          <w:szCs w:val="28"/>
        </w:rPr>
      </w:pPr>
      <w:r w:rsidRPr="002A7AE8">
        <w:rPr>
          <w:rFonts w:cstheme="minorHAnsi"/>
          <w:sz w:val="28"/>
          <w:szCs w:val="28"/>
        </w:rPr>
        <w:t>Recording an assignment or transmission in the Register of Designs serves several critical functions. It provides legal recognition of the new proprietor's title — Section 30(5) renders unregistered assignments inadmissible as evidence of title in court proceedings, effectively making registration a practical necessity for enforcement. It provides public notice of the change of ownership, protecting third parties who might otherwise deal with the former proprietor in ignorance of the transfer. It enables the new proprietor to enforce the design rights under Section 22 and to bring cancellation or infringement proceedings in their own name. It establishes a clear chain of title in the register that may be important in licensing negotiations, due diligence exercises, and valuation exercises. It ensures that the Register of Designs accurately reflects the current state of ownership of design rights, maintaining the reliability of the register as a public record.</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Rectification of the register – Section 31</w:t>
      </w:r>
    </w:p>
    <w:p w:rsidR="002A7AE8" w:rsidRPr="002A7AE8" w:rsidRDefault="002A7AE8" w:rsidP="002A7AE8">
      <w:pPr>
        <w:rPr>
          <w:rFonts w:cstheme="minorHAnsi"/>
          <w:sz w:val="28"/>
          <w:szCs w:val="28"/>
        </w:rPr>
      </w:pPr>
      <w:r w:rsidRPr="002A7AE8">
        <w:rPr>
          <w:rFonts w:cstheme="minorHAnsi"/>
          <w:sz w:val="28"/>
          <w:szCs w:val="28"/>
        </w:rPr>
        <w:t>Section 31(1) of the Designs Act, 2000 provides that the Controller may, on the application of any person aggrieved by the non-insertion in or omission from the register of designs of any entry, or by any entry made in the register without sufficient cause, or by any entry wrongly remaining on the register, or by an error or defect in any entry, make such order for making, expunging, or varying such entry as he thinks fit and rectify the register accordingly. Section 31(2) enables the Controller to decide any question necessary or expedient in connection with the rectification. Section 31(3) provides that an appeal shall lie to the High Court from any order of the Controller under Section 31, and the Controller may refer any application to the High Court. Section 31(4) requires any order of the court rectifying the register to be notified to the Controller. Section 31(5) preserves the limitation that the Controller's rectification power does not extend to cancellation of a registration, which is governed exclusively by Section 19.</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Rights of proprietor – Section 11 and Section 22</w:t>
      </w:r>
    </w:p>
    <w:p w:rsidR="002A7AE8" w:rsidRPr="002A7AE8" w:rsidRDefault="002A7AE8" w:rsidP="002A7AE8">
      <w:pPr>
        <w:rPr>
          <w:rFonts w:cstheme="minorHAnsi"/>
          <w:sz w:val="28"/>
          <w:szCs w:val="28"/>
        </w:rPr>
      </w:pPr>
      <w:r w:rsidRPr="002A7AE8">
        <w:rPr>
          <w:rFonts w:cstheme="minorHAnsi"/>
          <w:sz w:val="28"/>
          <w:szCs w:val="28"/>
        </w:rPr>
        <w:t>The person recorded as registered proprietor by virtue of assignment or transmission acquires the full suite of rights conferred by registration under the Act. Under Section 11, the proprietor has copyright in the design for the remainder of the protection period from the date of original registration — the assignment does not restart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clock; the assignee takes the design with whatever remaining protection period the assignor had. Under Section 22, the proprietor may enforce the design against piracy</w:t>
      </w:r>
    </w:p>
    <w:p w:rsidR="002A7AE8" w:rsidRPr="002A7AE8" w:rsidRDefault="002A7AE8" w:rsidP="002A7AE8">
      <w:pPr>
        <w:rPr>
          <w:rFonts w:cstheme="minorHAnsi"/>
          <w:sz w:val="28"/>
          <w:szCs w:val="28"/>
        </w:rPr>
      </w:pPr>
      <w:r w:rsidRPr="002A7AE8">
        <w:rPr>
          <w:rFonts w:cstheme="minorHAnsi"/>
          <w:sz w:val="28"/>
          <w:szCs w:val="28"/>
        </w:rPr>
        <w:t>— applying, importing, or selling articles bearing the design or obvious or fraudulent imitations — and may seek either the statutory contract debt remedy or damages and an injunction. The proprietor may also seek cancellation of registrations by others under Section 19 if those registrations conflict with the assigned design.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Licensing of registered designs</w:t>
      </w:r>
    </w:p>
    <w:p w:rsidR="002A7AE8" w:rsidRPr="002A7AE8" w:rsidRDefault="002A7AE8" w:rsidP="002A7AE8">
      <w:pPr>
        <w:rPr>
          <w:rFonts w:cstheme="minorHAnsi"/>
          <w:sz w:val="28"/>
          <w:szCs w:val="28"/>
        </w:rPr>
      </w:pPr>
      <w:r w:rsidRPr="002A7AE8">
        <w:rPr>
          <w:rFonts w:cstheme="minorHAnsi"/>
          <w:sz w:val="28"/>
          <w:szCs w:val="28"/>
        </w:rPr>
        <w:t>In addition to assignment and transmission, registered designs may be commercially exploited through licensing. A licence is a permission granted by the registered proprietor (licensor) to another person (licensee) to use the design without transferring ownership. Under Section 30(2), a licensee may apply to have their interest recorded in the Register of Designs. Section 30(3) requires a licence to be in writing and to be registered within six months of execution. An unrecorded licence agreement is not admissible as evidence in court under Section 30(5). Licensing is commercially important because it enables proprietors to generate revenue from their designs in multiple markets or sectors simultaneously while retaining ownership. Licences may be exclusive (giving the licensee rights to the exclusion of all others including the proprietor), non-exclusive (permitting multiple licensees), or restricted by territory, duration, or field of use.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10.</w:t>
      </w:r>
      <w:r w:rsidRPr="002A7AE8">
        <w:rPr>
          <w:rFonts w:cstheme="minorHAnsi"/>
          <w:sz w:val="28"/>
          <w:szCs w:val="28"/>
        </w:rPr>
        <w:tab/>
        <w:t>Designs to bind the Government – Section 20</w:t>
      </w:r>
    </w:p>
    <w:p w:rsidR="002A7AE8" w:rsidRPr="002A7AE8" w:rsidRDefault="002A7AE8" w:rsidP="002A7AE8">
      <w:pPr>
        <w:rPr>
          <w:rFonts w:cstheme="minorHAnsi"/>
          <w:sz w:val="28"/>
          <w:szCs w:val="28"/>
        </w:rPr>
      </w:pPr>
      <w:r w:rsidRPr="002A7AE8">
        <w:rPr>
          <w:rFonts w:cstheme="minorHAnsi"/>
          <w:sz w:val="28"/>
          <w:szCs w:val="28"/>
        </w:rPr>
        <w:t>Section 20 of the Designs Act, 2000 provides: "A registered design shall have to all intents the like effect as against the Government as it has against any person and the provisions of Chapter XVII of the Patents Act, 1970 shall apply to registered designs as they apply to patents." This means that the Government is not immune from design rights and that a registered proprietor may seek compensation against the Government for the use of a registered design in the same way as a patentee may seek compensation under the Government use provisions of the Patents Act. This provision is relevant where an assignee of a design right acquires a design that is of interest to Government undertakings.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11.</w:t>
      </w:r>
      <w:r w:rsidRPr="002A7AE8">
        <w:rPr>
          <w:rFonts w:cstheme="minorHAnsi"/>
          <w:sz w:val="28"/>
          <w:szCs w:val="28"/>
        </w:rPr>
        <w:tab/>
        <w:t>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Micolube India Ltd. v. Rakesh Kumar trading as Saurabh Industries</w:t>
      </w:r>
    </w:p>
    <w:p w:rsidR="002A7AE8" w:rsidRPr="002A7AE8" w:rsidRDefault="002A7AE8" w:rsidP="002A7AE8">
      <w:pPr>
        <w:rPr>
          <w:rFonts w:cstheme="minorHAnsi"/>
          <w:sz w:val="28"/>
          <w:szCs w:val="28"/>
        </w:rPr>
      </w:pPr>
      <w:r w:rsidRPr="002A7AE8">
        <w:rPr>
          <w:rFonts w:cstheme="minorHAnsi"/>
          <w:sz w:val="28"/>
          <w:szCs w:val="28"/>
        </w:rPr>
        <w:t>Citation: 2013 (55) PTC 61 (Del) (FB)</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A dispute arose regarding the ownership and commercial exploitation of a registered industrial design. The plaintiff claimed proprietorship of the design and sought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enforcement of its rights against unauthorised use. Questions arose about the proprietary nature of registered design rights and whether those rights were capable of transfer and commercial exploitation.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a registered design creates a proprietary right capable of commercial exploitation and transfer. (ii) What rights are conferred upon the registered proprietor under Sections 11 and 22 of the Designs Act, 2000.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Full Bench of the Delhi High Court held that registration of a design under the Designs Act, 2000 creates valuable statutory proprietary rights. The proprietor has exclusive rights during the period of protection and those rights are capable of commercial exploitation including transfer by assignment or licensing. The Court confirmed that design rights constitute a form of intellectual property that may be dealt with commercially in accordance with the Act's provisions.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Bharat Glass Tube Ltd. v. Gopal Glass Works Ltd.</w:t>
      </w:r>
    </w:p>
    <w:p w:rsidR="002A7AE8" w:rsidRPr="002A7AE8" w:rsidRDefault="002A7AE8" w:rsidP="002A7AE8">
      <w:pPr>
        <w:rPr>
          <w:rFonts w:cstheme="minorHAnsi"/>
          <w:sz w:val="28"/>
          <w:szCs w:val="28"/>
        </w:rPr>
      </w:pPr>
      <w:r w:rsidRPr="002A7AE8">
        <w:rPr>
          <w:rFonts w:cstheme="minorHAnsi"/>
          <w:sz w:val="28"/>
          <w:szCs w:val="28"/>
        </w:rPr>
        <w:t>Citation: (2008) 10 SCC 657</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Gopal Glass Works held a registered design for diamond-shaped patterns on glass sheets. Bharat Glass challenged the registration alleging lack of novelty. The case involved the nature of the rights flowing from a valid registration and their enforceability against third parties.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What rights does a valid registration confer upon the proprietor? (ii) Whether a registered proprietor can enforce rights against unauthorised copying.</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upheld the registration and confirmed that a valid registration confers exclusive rights enforceable against third parties. The proprietor is entitled to protection against copying and infringement for the duration of the design's copyright under the Act. Registration is the source and foundation of these enforceable proprietary rights.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Dart Industries Inc. v. Techno Plast</w:t>
      </w:r>
    </w:p>
    <w:p w:rsidR="002A7AE8" w:rsidRPr="002A7AE8" w:rsidRDefault="002A7AE8" w:rsidP="002A7AE8">
      <w:pPr>
        <w:rPr>
          <w:rFonts w:cstheme="minorHAnsi"/>
          <w:sz w:val="28"/>
          <w:szCs w:val="28"/>
        </w:rPr>
      </w:pPr>
      <w:r w:rsidRPr="002A7AE8">
        <w:rPr>
          <w:rFonts w:cstheme="minorHAnsi"/>
          <w:sz w:val="28"/>
          <w:szCs w:val="28"/>
        </w:rPr>
        <w:t>Citation: 2007 (35) PTC 129 (Del)</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Dart Industries held registered designs for plastic containers. Techno Plast manufactured containers with substantially similar visual features. Dart sought enforcement of its design ownership rights.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Whether the registered proprietor or their assignee can enforce exclusive design rights against unauthorised copying. (ii) Whether copying of essential design features constitutes piracy.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Delhi High Court confirmed the right of the registered proprietor to enforce design rights against piracy. The Court held that copying of the essential visual features of a registered design constitutes obvious imitation and piracy under Section 22, entitling the proprietor to legal remedies.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Assignment and transmission under the Designs Act, 2000 provide the legal mechanisms through which the commercial value embedded in registered designs can be transferred and exploited across different entities and contexts. Section 30 is the procedural cornerstone, providing for the recording of assignments, transmissions, mortgages, and licences in the Register of Designs and making registration a practical necessity for enforcement. The written form requirement and the six-month registration window ensure that design transactions are properly documented and publicly recorded. Section 31 provides a rectification mechanism to maintain the accuracy of the register where entries are incorrect or incomplete. The rights acquired by an assignee or transmittee — including the right to sue for piracy under Section 22 and the copyright in the design under Section 11 — are coextensive with those of the original proprietor for the remainder of the protection period. The judicial decisions in Micolube, Bharat Glass Tube, and Dart Industries consistently affirm that registered designs are proprietary assets capable of transfer and enforcement. These provisions collectively ensure that the industrial design system serves its economic function of enabling designers and businesses to create, protect, and commercially exploit the aesthetic value of their products.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Short notes – Module 5: Rights of design holders and term of designs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Rights of design holders under the Designs Act, 2000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Once a design is registered under the Designs Act, 2000, the registered proprietor acquires a suite of statutory rights that collectively constitute the commercial and legal value of the design registration. These rights are primarily defined by Sections 11, 22, and 30 of the Act, supplemented by Sections 9, 10, 17, 18, and 20. The rights are exclusive, meaning no one else may perform the protected acts without the proprietor's licence or written consent during the term of protection. The design holder's rights are not unlimited: they are circumscribed by the term of protection, the scope of the registered class, the requirement that features must appeal solely to the eye, and the grounds for cancellation available to any interested person under Section 19.</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Copyright in the registered design – Section 11</w:t>
      </w:r>
    </w:p>
    <w:p w:rsidR="002A7AE8" w:rsidRPr="002A7AE8" w:rsidRDefault="002A7AE8" w:rsidP="002A7AE8">
      <w:pPr>
        <w:rPr>
          <w:rFonts w:cstheme="minorHAnsi"/>
          <w:sz w:val="28"/>
          <w:szCs w:val="28"/>
        </w:rPr>
      </w:pPr>
      <w:r w:rsidRPr="002A7AE8">
        <w:rPr>
          <w:rFonts w:cstheme="minorHAnsi"/>
          <w:sz w:val="28"/>
          <w:szCs w:val="28"/>
        </w:rPr>
        <w:t>Section 11(1) provides: "When a design is registered, the registered proprietor of the design shall, subject to the provisions of this Act, have copyright in the design during ten years from the date of registration." The concept of 'copyright in the design' under the Designs Act is a statutory term of art referring specifically to the exclusive right of the registered proprietor to apply the design to any article in any class in which the design is registered, as defined in Section 2(c) of the Act. It does not refer to copyright in the sense of the Copyright Act, 1957. This exclusive right encompasses the right to manufacture articles bearing the design, to authorise others to do so through licensing, to prevent unauthorised application of the design, and to sell or commercially exploit articles bearing the design within the protected class.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Right against piracy – Section 22</w:t>
      </w:r>
    </w:p>
    <w:p w:rsidR="002A7AE8" w:rsidRPr="002A7AE8" w:rsidRDefault="002A7AE8" w:rsidP="002A7AE8">
      <w:pPr>
        <w:rPr>
          <w:rFonts w:cstheme="minorHAnsi"/>
          <w:sz w:val="28"/>
          <w:szCs w:val="28"/>
        </w:rPr>
      </w:pPr>
      <w:r w:rsidRPr="002A7AE8">
        <w:rPr>
          <w:rFonts w:cstheme="minorHAnsi"/>
          <w:sz w:val="28"/>
          <w:szCs w:val="28"/>
        </w:rPr>
        <w:t>Section 22(1) provides that during the existence of copyright in any design it shall not be lawful for any person without the consent of the registered proprietor to: (a) for the purpose of sale, apply the design or any fraudulent or obvious imitation to any article in the registered class; (b) import for sale any article in the registered class bearing the design or an obvious imitation; or (c) knowing the design was unlawfully applied, publish or expose for sale any such article. This provision is the primary enforcement right of the design holder, enabling them to take legal action against commercial copying, importing, and selling of articles bearing their registered design. The protection extends to both fraudulent imitations (deliberate copies with intent to deceive) and obvious imitations (designs that are clearly similar in visual appearance to the registered design even without dishonest intent). Section 22(2) provides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remedies: a statutory sum of up to twenty-five thousand rupees per contravention (up to fifty thousand per design total) recoverable as a contract debt, or, at the proprietor's election, a civil suit for actual damages and a permanent injunction before the District Court.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Right to assign and transmit – Section 30</w:t>
      </w:r>
    </w:p>
    <w:p w:rsidR="002A7AE8" w:rsidRPr="002A7AE8" w:rsidRDefault="002A7AE8" w:rsidP="002A7AE8">
      <w:pPr>
        <w:rPr>
          <w:rFonts w:cstheme="minorHAnsi"/>
          <w:sz w:val="28"/>
          <w:szCs w:val="28"/>
        </w:rPr>
      </w:pPr>
      <w:r w:rsidRPr="002A7AE8">
        <w:rPr>
          <w:rFonts w:cstheme="minorHAnsi"/>
          <w:sz w:val="28"/>
          <w:szCs w:val="28"/>
        </w:rPr>
        <w:t>Section 30 recognises that a registered design is a form of property that can be transferred. The proprietor may assign the design to another person through a written agreement, or the design may pass by operation of law through transmission. The new owner must apply to the Controller to have their title recorded in the Register of Designs, failing which the assignment is not admissible as evidence of title in court proceedings under Section 30(5). The right to license the design to third parties is also derived from the proprietary nature of the registered design — the proprietor may grant exclusive, non-exclusive, or territorially restricted licences under Section 30(2).</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Right to inspect registered design – Section 17</w:t>
      </w:r>
    </w:p>
    <w:p w:rsidR="002A7AE8" w:rsidRPr="002A7AE8" w:rsidRDefault="002A7AE8" w:rsidP="002A7AE8">
      <w:pPr>
        <w:rPr>
          <w:rFonts w:cstheme="minorHAnsi"/>
          <w:sz w:val="28"/>
          <w:szCs w:val="28"/>
        </w:rPr>
      </w:pPr>
      <w:r w:rsidRPr="002A7AE8">
        <w:rPr>
          <w:rFonts w:cstheme="minorHAnsi"/>
          <w:sz w:val="28"/>
          <w:szCs w:val="28"/>
        </w:rPr>
        <w:t>Section 17(1) provides that during the existence of copyright in a design, any person, upon furnishing information enabling the Controller to identify the design and on payment of the prescribed fee, may inspect the design in the prescribed manner.</w:t>
      </w:r>
    </w:p>
    <w:p w:rsidR="002A7AE8" w:rsidRPr="002A7AE8" w:rsidRDefault="002A7AE8" w:rsidP="002A7AE8">
      <w:pPr>
        <w:rPr>
          <w:rFonts w:cstheme="minorHAnsi"/>
          <w:sz w:val="28"/>
          <w:szCs w:val="28"/>
        </w:rPr>
      </w:pPr>
      <w:r w:rsidRPr="002A7AE8">
        <w:rPr>
          <w:rFonts w:cstheme="minorHAnsi"/>
          <w:sz w:val="28"/>
          <w:szCs w:val="28"/>
        </w:rPr>
        <w:t>Section 17(2) permits any person to obtain a certified copy of any registered design on application and payment of fee. These provisions enable the proprietor to verify the accuracy of their registration and obtain copies of official documents evidencing their design rights. They also enable third parties to inspect the design, which is important for assessing whether proposed new designs might conflict with existing registrations.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Right to information about copyright – Section 18</w:t>
      </w:r>
    </w:p>
    <w:p w:rsidR="002A7AE8" w:rsidRPr="002A7AE8" w:rsidRDefault="002A7AE8" w:rsidP="002A7AE8">
      <w:pPr>
        <w:rPr>
          <w:rFonts w:cstheme="minorHAnsi"/>
          <w:sz w:val="28"/>
          <w:szCs w:val="28"/>
        </w:rPr>
      </w:pPr>
      <w:r w:rsidRPr="002A7AE8">
        <w:rPr>
          <w:rFonts w:cstheme="minorHAnsi"/>
          <w:sz w:val="28"/>
          <w:szCs w:val="28"/>
        </w:rPr>
        <w:t>Section 18 provides that on the request of any person furnishing information enabling the Controller to identify the design and on payment of the prescribed fee, the Controller shall inform such person whether the registration still exists in respect of the design and, if so, in respect of what classes of articles, and shall state the date of registration and the name and address of the registered proprietor. This right to information enables the design holder to monitor and enforce their rights, and enables third parties to conduct design clearance searches before proceeding with new product development.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Design rights bind the Government – Section 20</w:t>
      </w:r>
    </w:p>
    <w:p w:rsidR="002A7AE8" w:rsidRPr="002A7AE8" w:rsidRDefault="002A7AE8" w:rsidP="002A7AE8">
      <w:pPr>
        <w:rPr>
          <w:rFonts w:cstheme="minorHAnsi"/>
          <w:sz w:val="28"/>
          <w:szCs w:val="28"/>
        </w:rPr>
      </w:pPr>
      <w:r w:rsidRPr="002A7AE8">
        <w:rPr>
          <w:rFonts w:cstheme="minorHAnsi"/>
          <w:sz w:val="28"/>
          <w:szCs w:val="28"/>
        </w:rPr>
        <w:t>Section 20 provides: "A registered design shall have to all intents the like effect as against the Government as it has against any person and the provisions of Chapter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XVII of the Patents Act, 1970 shall apply to registered designs as they apply to patents." This means that the Government of India and its undertakings are not immune from design rights, and the registered proprietor may claim compensation for government use of the design in the same manner as a patentee can claim compensation for government use of a patent. This provision is particularly relevant in sectors where government-linked enterprises manufacture goods incorporating registered designs.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Limitations on design rights</w:t>
      </w:r>
    </w:p>
    <w:p w:rsidR="002A7AE8" w:rsidRPr="002A7AE8" w:rsidRDefault="002A7AE8" w:rsidP="002A7AE8">
      <w:pPr>
        <w:rPr>
          <w:rFonts w:cstheme="minorHAnsi"/>
          <w:sz w:val="28"/>
          <w:szCs w:val="28"/>
        </w:rPr>
      </w:pPr>
      <w:r w:rsidRPr="002A7AE8">
        <w:rPr>
          <w:rFonts w:cstheme="minorHAnsi"/>
          <w:sz w:val="28"/>
          <w:szCs w:val="28"/>
        </w:rPr>
        <w:t>Design rights are not absolute. The proprietor cannot claim protection for features that are purely functional (excluded by Section 2(d)), for features that are not visible in the finished article in normal use, or for features that amount to a mode or principle of construction or a mere mechanical device. The rights exist only during the term of protection — a maximum of fifteen years — after which the design enters the public domain. The rights may be cancelled under Section 19 if the design lacks novelty, was previously published, is not significantly distinguishable from known designs, or is not a design as defined. Additionally, Section 16 draws limits on the scope of design copyright where disclosure was made in good faith before registration. During the period between lapse of a design (due to non-payment of extension fee) and successful restoration under Section 12, no proceedings for piracy of the registered design are maintainable under Section 14(2).</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Term of designs under the Designs Act, 2000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Design protection under the Designs Act, 2000 is intentionally time-limited. Unlike trade marks, which can be renewed indefinitely as long as renewal fees are paid and the mark remains in use, design protection expires permanently after a maximum statutory period. This finite term serves the public interest in two ways: it gives the designer adequate time to recover the investment made in creating the design and to exploit it commercially, while ensuring that the design eventually enters the public domain where any person may freely use it. The limited term also promotes continued innovation — as each design enters the public domain, it becomes available as a building block and source of inspiration for future designers. The term of design protection is governed by Section 11 of the Designs Act, 2000.</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Initial term of protection – Section 11(1)</w:t>
      </w:r>
    </w:p>
    <w:p w:rsidR="002A7AE8" w:rsidRPr="002A7AE8" w:rsidRDefault="002A7AE8" w:rsidP="002A7AE8">
      <w:pPr>
        <w:rPr>
          <w:rFonts w:cstheme="minorHAnsi"/>
          <w:sz w:val="28"/>
          <w:szCs w:val="28"/>
        </w:rPr>
      </w:pPr>
      <w:r w:rsidRPr="002A7AE8">
        <w:rPr>
          <w:rFonts w:cstheme="minorHAnsi"/>
          <w:sz w:val="28"/>
          <w:szCs w:val="28"/>
        </w:rPr>
        <w:t>Section 11(1) provides: "When a design is registered, the registered proprietor of the design shall, subject to the provisions of this Act, have copyright in the design during ten years from the date of registration." The ten-year initial period commences from the date of registration, which under Section 5(6) is backdated to the date of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original application. The registration date is therefore the filing date, not the date on which the Controller actually enters the design in the register and issues the certificate. This backdating is commercially significant because it means that the full ten-year term runs from the date on which the proprietor obtained the priority of their filing, not from the potentially later date of actual registration. The initial ten-year period corresponds to the minimum ten-year term required under Article 26(3) of the TRIPS Agreement.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Extension of term – Section 11(2)</w:t>
      </w:r>
    </w:p>
    <w:p w:rsidR="002A7AE8" w:rsidRPr="002A7AE8" w:rsidRDefault="002A7AE8" w:rsidP="002A7AE8">
      <w:pPr>
        <w:rPr>
          <w:rFonts w:cstheme="minorHAnsi"/>
          <w:sz w:val="28"/>
          <w:szCs w:val="28"/>
        </w:rPr>
      </w:pPr>
      <w:r w:rsidRPr="002A7AE8">
        <w:rPr>
          <w:rFonts w:cstheme="minorHAnsi"/>
          <w:sz w:val="28"/>
          <w:szCs w:val="28"/>
        </w:rPr>
        <w:t>Section 11(2) provides: "If, before the expiration of the said ten years, application for the extension of the period of copyright is made to the Controller in the prescribed manner, the Controller shall, on payment of the prescribed fee, extend the period of copyright for a second period of five years from the expiration of the original period of ten years." Several important points flow from this provision. The application for extension must be made before the expiry of the initial ten-year period — there is no grace period for late filing of extension applications (though restoration under Section 12 provides a remedy for late extensions in some circumstances). The extension is a right, not a discretionary matter: upon receipt of a proper application and payment of the prescribed fee before expiry, the Controller 'shall' extend the term. The extension is for a fixed additional period of five years, bringing the maximum total protection to fifteen years. After expiry of the fifteen-year period, no further extension is available and the design permanently enters the public domain.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Term of protection — summary</w:t>
      </w:r>
    </w:p>
    <w:p w:rsidR="002A7AE8" w:rsidRPr="002A7AE8" w:rsidRDefault="002A7AE8" w:rsidP="002A7AE8">
      <w:pPr>
        <w:rPr>
          <w:rFonts w:cstheme="minorHAnsi"/>
          <w:sz w:val="28"/>
          <w:szCs w:val="28"/>
        </w:rPr>
      </w:pPr>
      <w:r w:rsidRPr="002A7AE8">
        <w:rPr>
          <w:rFonts w:cstheme="minorHAnsi"/>
          <w:sz w:val="28"/>
          <w:szCs w:val="28"/>
        </w:rPr>
        <w:t>Period</w:t>
      </w:r>
      <w:r w:rsidRPr="002A7AE8">
        <w:rPr>
          <w:rFonts w:cstheme="minorHAnsi"/>
          <w:sz w:val="28"/>
          <w:szCs w:val="28"/>
        </w:rPr>
        <w:tab/>
        <w:t>Duration</w:t>
      </w:r>
      <w:r w:rsidRPr="002A7AE8">
        <w:rPr>
          <w:rFonts w:cstheme="minorHAnsi"/>
          <w:sz w:val="28"/>
          <w:szCs w:val="28"/>
        </w:rPr>
        <w:tab/>
        <w:t>Provision</w:t>
      </w:r>
    </w:p>
    <w:p w:rsidR="002A7AE8" w:rsidRPr="002A7AE8" w:rsidRDefault="002A7AE8" w:rsidP="002A7AE8">
      <w:pPr>
        <w:rPr>
          <w:rFonts w:cstheme="minorHAnsi"/>
          <w:sz w:val="28"/>
          <w:szCs w:val="28"/>
        </w:rPr>
      </w:pPr>
      <w:r w:rsidRPr="002A7AE8">
        <w:rPr>
          <w:rFonts w:cstheme="minorHAnsi"/>
          <w:sz w:val="28"/>
          <w:szCs w:val="28"/>
        </w:rPr>
        <w:t>Initial protection</w:t>
      </w:r>
      <w:r w:rsidRPr="002A7AE8">
        <w:rPr>
          <w:rFonts w:cstheme="minorHAnsi"/>
          <w:sz w:val="28"/>
          <w:szCs w:val="28"/>
        </w:rPr>
        <w:tab/>
        <w:t>10 years from registration</w:t>
      </w:r>
      <w:r w:rsidRPr="002A7AE8">
        <w:rPr>
          <w:rFonts w:cstheme="minorHAnsi"/>
          <w:sz w:val="28"/>
          <w:szCs w:val="28"/>
        </w:rPr>
        <w:tab/>
        <w:t>Section 11(1)</w:t>
      </w:r>
    </w:p>
    <w:p w:rsidR="002A7AE8" w:rsidRPr="002A7AE8" w:rsidRDefault="002A7AE8" w:rsidP="002A7AE8">
      <w:pPr>
        <w:rPr>
          <w:rFonts w:cstheme="minorHAnsi"/>
          <w:sz w:val="28"/>
          <w:szCs w:val="28"/>
        </w:rPr>
      </w:pPr>
      <w:r w:rsidRPr="002A7AE8">
        <w:rPr>
          <w:rFonts w:cstheme="minorHAnsi"/>
          <w:sz w:val="28"/>
          <w:szCs w:val="28"/>
        </w:rPr>
        <w:t>Extension</w:t>
      </w:r>
      <w:r w:rsidRPr="002A7AE8">
        <w:rPr>
          <w:rFonts w:cstheme="minorHAnsi"/>
          <w:sz w:val="28"/>
          <w:szCs w:val="28"/>
        </w:rPr>
        <w:tab/>
        <w:t>5 years further</w:t>
      </w:r>
      <w:r w:rsidRPr="002A7AE8">
        <w:rPr>
          <w:rFonts w:cstheme="minorHAnsi"/>
          <w:sz w:val="28"/>
          <w:szCs w:val="28"/>
        </w:rPr>
        <w:tab/>
        <w:t>Section 11(2)</w:t>
      </w:r>
    </w:p>
    <w:p w:rsidR="002A7AE8" w:rsidRPr="002A7AE8" w:rsidRDefault="002A7AE8" w:rsidP="002A7AE8">
      <w:pPr>
        <w:rPr>
          <w:rFonts w:cstheme="minorHAnsi"/>
          <w:sz w:val="28"/>
          <w:szCs w:val="28"/>
        </w:rPr>
      </w:pPr>
      <w:r w:rsidRPr="002A7AE8">
        <w:rPr>
          <w:rFonts w:cstheme="minorHAnsi"/>
          <w:sz w:val="28"/>
          <w:szCs w:val="28"/>
        </w:rPr>
        <w:t>Maximum protection</w:t>
      </w:r>
      <w:r w:rsidRPr="002A7AE8">
        <w:rPr>
          <w:rFonts w:cstheme="minorHAnsi"/>
          <w:sz w:val="28"/>
          <w:szCs w:val="28"/>
        </w:rPr>
        <w:tab/>
        <w:t>15 years total</w:t>
      </w:r>
      <w:r w:rsidRPr="002A7AE8">
        <w:rPr>
          <w:rFonts w:cstheme="minorHAnsi"/>
          <w:sz w:val="28"/>
          <w:szCs w:val="28"/>
        </w:rPr>
        <w:tab/>
        <w:t>Sections 11(1)</w:t>
      </w:r>
    </w:p>
    <w:p w:rsidR="002A7AE8" w:rsidRPr="002A7AE8" w:rsidRDefault="002A7AE8" w:rsidP="002A7AE8">
      <w:pPr>
        <w:rPr>
          <w:rFonts w:cstheme="minorHAnsi"/>
          <w:sz w:val="28"/>
          <w:szCs w:val="28"/>
        </w:rPr>
      </w:pPr>
      <w:r w:rsidRPr="002A7AE8">
        <w:rPr>
          <w:rFonts w:cstheme="minorHAnsi"/>
          <w:sz w:val="28"/>
          <w:szCs w:val="28"/>
        </w:rPr>
        <w:t>and (2)</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Restoration of lapsed designs – Section 12</w:t>
      </w:r>
    </w:p>
    <w:p w:rsidR="002A7AE8" w:rsidRPr="002A7AE8" w:rsidRDefault="002A7AE8" w:rsidP="002A7AE8">
      <w:pPr>
        <w:rPr>
          <w:rFonts w:cstheme="minorHAnsi"/>
          <w:sz w:val="28"/>
          <w:szCs w:val="28"/>
        </w:rPr>
      </w:pPr>
      <w:r w:rsidRPr="002A7AE8">
        <w:rPr>
          <w:rFonts w:cstheme="minorHAnsi"/>
          <w:sz w:val="28"/>
          <w:szCs w:val="28"/>
        </w:rPr>
        <w:t>Section 12(1) provides that where a design has ceased to have effect by reason of failure to pay the fee for the extension of copyright under Section 11(2), the proprietor or legal representative may, within one year from the date on which the design ceased to have effect, apply to the Controller for restoration of the design. Section 12(2) requires the application to contain a verified statement fully setting out the circumstances that led to the failure to pay, and the Controller may require further evidence. Section 13(1) provides that the Controller, if satisfied that the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failure to pay was unintentional and that there has been no undue delay in making the restoration application, shall restore the registration upon payment of any unpaid fee together with the prescribed additional fee. The restoration provision reflects the legislature's recognition that lapses may occur through genuine oversight or unexpected circumstances and that permanent loss of protection in such cases would be disproportionate to the default.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Rights of restored design proprietor – Section 14</w:t>
      </w:r>
    </w:p>
    <w:p w:rsidR="002A7AE8" w:rsidRPr="002A7AE8" w:rsidRDefault="002A7AE8" w:rsidP="002A7AE8">
      <w:pPr>
        <w:rPr>
          <w:rFonts w:cstheme="minorHAnsi"/>
          <w:sz w:val="28"/>
          <w:szCs w:val="28"/>
        </w:rPr>
      </w:pPr>
      <w:r w:rsidRPr="002A7AE8">
        <w:rPr>
          <w:rFonts w:cstheme="minorHAnsi"/>
          <w:sz w:val="28"/>
          <w:szCs w:val="28"/>
        </w:rPr>
        <w:t>Section 14(1) provides that where the registration of a design is restored, the rights of the registered proprietor shall be subject to such provisions as may be prescribed and to such other provisions as the Controller thinks fit to impose for the protection or compensation of persons who began to use, or took definite steps to use, the design between the date when the registration lapsed and the date of restoration. Section 14(2) provides that no suit or other proceeding for piracy of the restored design shall be maintainable in respect of piracy committed during the period between lapse and restoration. These provisions protect third parties who acted in good faith during the lapse period in the reasonable belief that the design had entered the public domain.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Effect of expiry of term</w:t>
      </w:r>
    </w:p>
    <w:p w:rsidR="002A7AE8" w:rsidRPr="002A7AE8" w:rsidRDefault="002A7AE8" w:rsidP="002A7AE8">
      <w:pPr>
        <w:rPr>
          <w:rFonts w:cstheme="minorHAnsi"/>
          <w:sz w:val="28"/>
          <w:szCs w:val="28"/>
        </w:rPr>
      </w:pPr>
      <w:r w:rsidRPr="002A7AE8">
        <w:rPr>
          <w:rFonts w:cstheme="minorHAnsi"/>
          <w:sz w:val="28"/>
          <w:szCs w:val="28"/>
        </w:rPr>
        <w:t>After the expiry of the maximum fifteen-year protection period — whether by failure to apply for extension within ten years, by expiry of the extension term at fifteen years, or by failure to restore within one year of lapse — the design permanently enters the public domain. The former proprietor loses all exclusive rights including the right to prevent others from applying the design to articles in the formerly registered class, the right to bring proceedings for piracy under Section 22, and the ability to enforce any prior judgments relating to ongoing infringement. Any person may freely use the design in any way and for any purpose without obtaining any consent or paying any fee to the former proprietor. This free availability of expired designs is an important benefit to the public, contributing to a shared pool of design knowledge and enabling manufacturers, particularly small enterprises and independent designers, to build upon the existing design landscape.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Case laws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Micolube India Ltd. v. Rakesh Kumar trading as Saurabh Industries</w:t>
      </w:r>
    </w:p>
    <w:p w:rsidR="002A7AE8" w:rsidRPr="002A7AE8" w:rsidRDefault="002A7AE8" w:rsidP="002A7AE8">
      <w:pPr>
        <w:rPr>
          <w:rFonts w:cstheme="minorHAnsi"/>
          <w:sz w:val="28"/>
          <w:szCs w:val="28"/>
        </w:rPr>
      </w:pPr>
      <w:r w:rsidRPr="002A7AE8">
        <w:rPr>
          <w:rFonts w:cstheme="minorHAnsi"/>
          <w:sz w:val="28"/>
          <w:szCs w:val="28"/>
        </w:rPr>
        <w:t>Citation: 2013 (55) PTC 61 (Del) (FB)</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dispute involved the enforcement of rights in a registered design. Questions arose about the nature, duration, and scope of the statutory rights created by registration under the Designs Act, 2000, and whether those rights extended beyond the statutory term.</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What is the nature and duration of rights arising from registration of a design? (ii) Whether design rights extend beyond the statutory term fixed by the Act.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Delhi High Court Full Bench held that registration creates statutory rights of a fixed duration as provided in Section 11. The rights exist only during the period of protection — ten years initially, extendable by five years. After expiry, the monopoly ends and the design passes into the public domain. Design rights are entirely creatures of statute and subsist only within the temporal limits fixed by the Act.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Microfibres Inc. v. Girdhar &amp; Co.</w:t>
      </w:r>
    </w:p>
    <w:p w:rsidR="002A7AE8" w:rsidRPr="002A7AE8" w:rsidRDefault="002A7AE8" w:rsidP="002A7AE8">
      <w:pPr>
        <w:rPr>
          <w:rFonts w:cstheme="minorHAnsi"/>
          <w:sz w:val="28"/>
          <w:szCs w:val="28"/>
        </w:rPr>
      </w:pPr>
      <w:r w:rsidRPr="002A7AE8">
        <w:rPr>
          <w:rFonts w:cstheme="minorHAnsi"/>
          <w:sz w:val="28"/>
          <w:szCs w:val="28"/>
        </w:rPr>
        <w:t>Citation: 2006 (32) PTC 157 (Del)</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Microfibres claimed protection over designs applied to upholstery fabrics. A dispute arose about whether the protection available was under copyright law (potentially unlimited in duration) or under design law (limited to fifteen years).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(i) Whether industrially applied designs should receive protection under copyright law or the Designs Act. (ii) Whether the term of protection under the Designs Act applies to such designs.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Delhi High Court held that designs applied industrially to products on a commercial scale are governed by design law, not copyright law. The protection available under the Designs Act is limited to the statutory term under Section 11. This confirms that design law protection is a limited, time-bound monopoly as distinct from the potentially longer-lasting protection available under copyright.</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The rights of design holders and the term of designs under the Designs Act, 2000 reflect a carefully calibrated balance between the proprietary interests of designers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and the broader public interest. Section 11 grants the registered proprietor exclusive copyright in the design for an initial term of ten years, extendable by a further five years, providing a maximum protection period of fifteen years during which the design may be commercially exploited to the exclusion of all others. Section 22 gives this exclusive right its enforcement teeth by prohibiting piracy and providing both a summary contract debt remedy and a full civil suit remedy. Sections 17, 18, and 20 supplement the core rights with ancillary rights of inspection, information, and enforcement against the Government. The finite term ensures that designs ultimately enter the public domain, contributing to the shared pool of design knowledge and enabling future innovation. The restoration mechanism under Sections 12 and 13 provides a limited safety valve for inadvertent lapses. The case law of the Delhi High Court in Micolube and Microfibres confirms that design rights are statutory, time-limited monopolies that exist only within the framework of the Designs Act and may not be claimed under other legal regimes after the design has been industrially applied on a commercial scale.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Geographical indication – meaning, definition and eligibility</w:t>
      </w:r>
    </w:p>
    <w:p w:rsidR="002A7AE8" w:rsidRPr="002A7AE8" w:rsidRDefault="002A7AE8" w:rsidP="002A7AE8">
      <w:pPr>
        <w:rPr>
          <w:rFonts w:cstheme="minorHAnsi"/>
          <w:sz w:val="28"/>
          <w:szCs w:val="28"/>
        </w:rPr>
      </w:pPr>
      <w:r w:rsidRPr="002A7AE8">
        <w:rPr>
          <w:rFonts w:cstheme="minorHAnsi"/>
          <w:sz w:val="28"/>
          <w:szCs w:val="28"/>
        </w:rPr>
        <w:t>Introduction</w:t>
      </w:r>
    </w:p>
    <w:p w:rsidR="002A7AE8" w:rsidRPr="002A7AE8" w:rsidRDefault="002A7AE8" w:rsidP="002A7AE8">
      <w:pPr>
        <w:rPr>
          <w:rFonts w:cstheme="minorHAnsi"/>
          <w:sz w:val="28"/>
          <w:szCs w:val="28"/>
        </w:rPr>
      </w:pPr>
      <w:r w:rsidRPr="002A7AE8">
        <w:rPr>
          <w:rFonts w:cstheme="minorHAnsi"/>
          <w:sz w:val="28"/>
          <w:szCs w:val="28"/>
        </w:rPr>
        <w:t>A geographical indication (GI) is a sign or name used on products that have a specific geographical origin and possess qualities, reputation, or other characteristics that are essentially attributable to that place of origin. GIs serve as an important form of intellectual property, informing consumers about the authentic origin and distinctive character of a product while simultaneously protecting the economic interests of the producers of that region. In an age of globalisation and mass production, GIs act as a shield against misrepresentation and counterfeiting, ensuring that only those goods genuinely originating from a particular place can bear the indication.</w:t>
      </w:r>
    </w:p>
    <w:p w:rsidR="002A7AE8" w:rsidRPr="002A7AE8" w:rsidRDefault="002A7AE8" w:rsidP="002A7AE8">
      <w:pPr>
        <w:rPr>
          <w:rFonts w:cstheme="minorHAnsi"/>
          <w:sz w:val="28"/>
          <w:szCs w:val="28"/>
        </w:rPr>
      </w:pPr>
      <w:r w:rsidRPr="002A7AE8">
        <w:rPr>
          <w:rFonts w:cstheme="minorHAnsi"/>
          <w:sz w:val="28"/>
          <w:szCs w:val="28"/>
        </w:rPr>
        <w:t>India formally recognised GIs as a distinct category of intellectual property by enacting the Geographical Indications of Goods (Registration and Protection) Act, 1999 (hereinafter referred to as the GI Act or the Act), which came into force on 15 September 2003. The legislation was primarily driven by India's obligations as a member of the World Trade Organization (WTO) and the corresponding requirements of the Agreement on Trade-Related Aspects of Intellectual Property Rights (TRIPS). Since then, India has registered hundreds of geographical indications across diverse product categories, from agricultural produce to handicrafts.</w:t>
      </w:r>
    </w:p>
    <w:p w:rsidR="002A7AE8" w:rsidRPr="002A7AE8" w:rsidRDefault="002A7AE8" w:rsidP="002A7AE8">
      <w:pPr>
        <w:rPr>
          <w:rFonts w:cstheme="minorHAnsi"/>
          <w:sz w:val="28"/>
          <w:szCs w:val="28"/>
        </w:rPr>
      </w:pPr>
      <w:r w:rsidRPr="002A7AE8">
        <w:rPr>
          <w:rFonts w:cstheme="minorHAnsi"/>
          <w:sz w:val="28"/>
          <w:szCs w:val="28"/>
        </w:rPr>
        <w:t>Meaning of geographical indication</w:t>
      </w:r>
    </w:p>
    <w:p w:rsidR="002A7AE8" w:rsidRPr="002A7AE8" w:rsidRDefault="002A7AE8" w:rsidP="002A7AE8">
      <w:pPr>
        <w:rPr>
          <w:rFonts w:cstheme="minorHAnsi"/>
          <w:sz w:val="28"/>
          <w:szCs w:val="28"/>
        </w:rPr>
      </w:pPr>
      <w:r w:rsidRPr="002A7AE8">
        <w:rPr>
          <w:rFonts w:cstheme="minorHAnsi"/>
          <w:sz w:val="28"/>
          <w:szCs w:val="28"/>
        </w:rPr>
        <w:t>In its broadest sense, a geographical indication communicates to a consumer that a product comes from a particular place and that this geographical origin is responsible for a certain quality, characteristic, or reputation of the product. The indication may be a geographical name itself, such as 'Darjeeling' for tea or 'Mysore' for silk, or it may be a non-geographical name that has come to be associated with a particular place, such as 'Basmati' for rice from the Indo-Gangetic plains.</w:t>
      </w:r>
    </w:p>
    <w:p w:rsidR="002A7AE8" w:rsidRPr="002A7AE8" w:rsidRDefault="002A7AE8" w:rsidP="002A7AE8">
      <w:pPr>
        <w:rPr>
          <w:rFonts w:cstheme="minorHAnsi"/>
          <w:sz w:val="28"/>
          <w:szCs w:val="28"/>
        </w:rPr>
      </w:pPr>
      <w:r w:rsidRPr="002A7AE8">
        <w:rPr>
          <w:rFonts w:cstheme="minorHAnsi"/>
          <w:sz w:val="28"/>
          <w:szCs w:val="28"/>
        </w:rPr>
        <w:t>The core idea behind a GI is the link between a product and its place of origin. This link is not merely nominal; it is substantive, in that the geographical environment — including its natural factors such as climate, soil, and terrain, as well as human factors such as traditional skills and practices — must essentially determine the quality or characteristics of the product. It is this inseparable bond between origin and quality that distinguishes a GI from an ordinary trade mark.</w:t>
      </w:r>
    </w:p>
    <w:p w:rsidR="002A7AE8" w:rsidRPr="002A7AE8" w:rsidRDefault="002A7AE8" w:rsidP="002A7AE8">
      <w:pPr>
        <w:rPr>
          <w:rFonts w:cstheme="minorHAnsi"/>
          <w:sz w:val="28"/>
          <w:szCs w:val="28"/>
        </w:rPr>
      </w:pPr>
      <w:r w:rsidRPr="002A7AE8">
        <w:rPr>
          <w:rFonts w:cstheme="minorHAnsi"/>
          <w:sz w:val="28"/>
          <w:szCs w:val="28"/>
        </w:rPr>
        <w:t>Definition under the Geographical Indications of Goods (Registration and Protection) Act, 1999</w:t>
      </w:r>
    </w:p>
    <w:p w:rsidR="002A7AE8" w:rsidRPr="002A7AE8" w:rsidRDefault="002A7AE8" w:rsidP="002A7AE8">
      <w:pPr>
        <w:rPr>
          <w:rFonts w:cstheme="minorHAnsi"/>
          <w:sz w:val="28"/>
          <w:szCs w:val="28"/>
        </w:rPr>
      </w:pPr>
      <w:r w:rsidRPr="002A7AE8">
        <w:rPr>
          <w:rFonts w:cstheme="minorHAnsi"/>
          <w:sz w:val="28"/>
          <w:szCs w:val="28"/>
        </w:rPr>
        <w:t>Section 2(1)(e) of the GI Act defines 'geographical indication' as follows:</w:t>
      </w:r>
    </w:p>
    <w:p w:rsidR="002A7AE8" w:rsidRPr="002A7AE8" w:rsidRDefault="002A7AE8" w:rsidP="002A7AE8">
      <w:pPr>
        <w:rPr>
          <w:rFonts w:cstheme="minorHAnsi"/>
          <w:sz w:val="28"/>
          <w:szCs w:val="28"/>
        </w:rPr>
      </w:pPr>
      <w:r w:rsidRPr="002A7AE8">
        <w:rPr>
          <w:rFonts w:cstheme="minorHAnsi"/>
          <w:sz w:val="28"/>
          <w:szCs w:val="28"/>
        </w:rPr>
        <w:t>"geographical indication", in relation to goods, means an indication which identifies such goods as agricultural goods, natural goods or manufactured goods as originating, or manufactured in the territory of a country, or a region or locality in that territory, where a given quality, reputation or other characteristic of such goods is essentially attributable to its geographical origin and in case where such goods are manufactured goods one of the activities of either the production or of processing or preparation of the goods concerned takes place in such territory, region or locality, as the case may be.</w:t>
      </w:r>
    </w:p>
    <w:p w:rsidR="002A7AE8" w:rsidRPr="002A7AE8" w:rsidRDefault="002A7AE8" w:rsidP="002A7AE8">
      <w:pPr>
        <w:rPr>
          <w:rFonts w:cstheme="minorHAnsi"/>
          <w:sz w:val="28"/>
          <w:szCs w:val="28"/>
        </w:rPr>
      </w:pPr>
      <w:r w:rsidRPr="002A7AE8">
        <w:rPr>
          <w:rFonts w:cstheme="minorHAnsi"/>
          <w:sz w:val="28"/>
          <w:szCs w:val="28"/>
        </w:rPr>
        <w:t>Explanation appended to this clause further states that any name which is not the name of a country, region or locality shall also be considered as a geographical indication if it relates to a specific geographical area and is used upon or in relation to particular goods originating from that place.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Key words and their import:</w:t>
      </w:r>
    </w:p>
    <w:p w:rsidR="002A7AE8" w:rsidRPr="002A7AE8" w:rsidRDefault="002A7AE8" w:rsidP="002A7AE8">
      <w:pPr>
        <w:rPr>
          <w:rFonts w:cstheme="minorHAnsi"/>
          <w:sz w:val="28"/>
          <w:szCs w:val="28"/>
        </w:rPr>
      </w:pPr>
      <w:r w:rsidRPr="002A7AE8">
        <w:rPr>
          <w:rFonts w:cstheme="minorHAnsi"/>
          <w:sz w:val="28"/>
          <w:szCs w:val="28"/>
        </w:rPr>
        <w:t>'Indication' — Defined under Section 2(1)(g) to include any name, geographical or figurative representation, or any combination of them conveying or suggesting the geographical origin of goods. Thus, the form of the indication is flexible.</w:t>
      </w:r>
    </w:p>
    <w:p w:rsidR="002A7AE8" w:rsidRPr="002A7AE8" w:rsidRDefault="002A7AE8" w:rsidP="002A7AE8">
      <w:pPr>
        <w:rPr>
          <w:rFonts w:cstheme="minorHAnsi"/>
          <w:sz w:val="28"/>
          <w:szCs w:val="28"/>
        </w:rPr>
      </w:pPr>
      <w:r w:rsidRPr="002A7AE8">
        <w:rPr>
          <w:rFonts w:cstheme="minorHAnsi"/>
          <w:sz w:val="28"/>
          <w:szCs w:val="28"/>
        </w:rPr>
        <w:t>'Essentially attributable' — The quality, reputation or other characteristic of the goods must be essentially, though not exclusively, linked to the geographical origin. This standard does not demand absolute exclusivity; a substantial connection is sufficient.</w:t>
      </w:r>
    </w:p>
    <w:p w:rsidR="002A7AE8" w:rsidRPr="002A7AE8" w:rsidRDefault="002A7AE8" w:rsidP="002A7AE8">
      <w:pPr>
        <w:rPr>
          <w:rFonts w:cstheme="minorHAnsi"/>
          <w:sz w:val="28"/>
          <w:szCs w:val="28"/>
        </w:rPr>
      </w:pPr>
      <w:r w:rsidRPr="002A7AE8">
        <w:rPr>
          <w:rFonts w:cstheme="minorHAnsi"/>
          <w:sz w:val="28"/>
          <w:szCs w:val="28"/>
        </w:rPr>
        <w:t>'Territory, region or locality' — The geographical origin need not be an entire</w:t>
      </w:r>
    </w:p>
    <w:p w:rsidR="002A7AE8" w:rsidRPr="002A7AE8" w:rsidRDefault="002A7AE8" w:rsidP="002A7AE8">
      <w:pPr>
        <w:rPr>
          <w:rFonts w:cstheme="minorHAnsi"/>
          <w:sz w:val="28"/>
          <w:szCs w:val="28"/>
        </w:rPr>
      </w:pPr>
      <w:r w:rsidRPr="002A7AE8">
        <w:rPr>
          <w:rFonts w:cstheme="minorHAnsi"/>
          <w:sz w:val="28"/>
          <w:szCs w:val="28"/>
        </w:rPr>
        <w:t>country; it can be a smaller defined area within a country.</w:t>
      </w:r>
    </w:p>
    <w:p w:rsidR="002A7AE8" w:rsidRPr="002A7AE8" w:rsidRDefault="002A7AE8" w:rsidP="002A7AE8">
      <w:pPr>
        <w:rPr>
          <w:rFonts w:cstheme="minorHAnsi"/>
          <w:sz w:val="28"/>
          <w:szCs w:val="28"/>
        </w:rPr>
      </w:pPr>
      <w:r w:rsidRPr="002A7AE8">
        <w:rPr>
          <w:rFonts w:cstheme="minorHAnsi"/>
          <w:sz w:val="28"/>
          <w:szCs w:val="28"/>
        </w:rPr>
        <w:t>'Manufactured goods' — For manufactured goods, at least one of the activities of production, processing, or preparation must take place in the specified territory.</w:t>
      </w:r>
    </w:p>
    <w:p w:rsidR="002A7AE8" w:rsidRPr="002A7AE8" w:rsidRDefault="002A7AE8" w:rsidP="002A7AE8">
      <w:pPr>
        <w:rPr>
          <w:rFonts w:cstheme="minorHAnsi"/>
          <w:sz w:val="28"/>
          <w:szCs w:val="28"/>
        </w:rPr>
      </w:pPr>
      <w:r w:rsidRPr="002A7AE8">
        <w:rPr>
          <w:rFonts w:cstheme="minorHAnsi"/>
          <w:sz w:val="28"/>
          <w:szCs w:val="28"/>
        </w:rPr>
        <w:t>The definition is broad enough to cover products that derive their identity from traditional knowledge and local skills, recognising that human ingenuity tied to a place is as much a geographical factor as soil or climate.</w:t>
      </w:r>
    </w:p>
    <w:p w:rsidR="002A7AE8" w:rsidRPr="002A7AE8" w:rsidRDefault="002A7AE8" w:rsidP="002A7AE8">
      <w:pPr>
        <w:rPr>
          <w:rFonts w:cstheme="minorHAnsi"/>
          <w:sz w:val="28"/>
          <w:szCs w:val="28"/>
        </w:rPr>
      </w:pPr>
      <w:r w:rsidRPr="002A7AE8">
        <w:rPr>
          <w:rFonts w:cstheme="minorHAnsi"/>
          <w:sz w:val="28"/>
          <w:szCs w:val="28"/>
        </w:rPr>
        <w:t>Relevant provisions under the GI Act, 1999</w:t>
      </w:r>
    </w:p>
    <w:p w:rsidR="002A7AE8" w:rsidRPr="002A7AE8" w:rsidRDefault="002A7AE8" w:rsidP="002A7AE8">
      <w:pPr>
        <w:rPr>
          <w:rFonts w:cstheme="minorHAnsi"/>
          <w:sz w:val="28"/>
          <w:szCs w:val="28"/>
        </w:rPr>
      </w:pPr>
      <w:r w:rsidRPr="002A7AE8">
        <w:rPr>
          <w:rFonts w:cstheme="minorHAnsi"/>
          <w:sz w:val="28"/>
          <w:szCs w:val="28"/>
        </w:rPr>
        <w:t>Section 2(1)(f) defines 'goods' to mean any agricultural, natural or manufactured goods or any goods of handicraft or of industry, and includes foodstuff. This expansive definition ensures that the GI framework covers a wide range of products.</w:t>
      </w:r>
    </w:p>
    <w:p w:rsidR="002A7AE8" w:rsidRPr="002A7AE8" w:rsidRDefault="002A7AE8" w:rsidP="002A7AE8">
      <w:pPr>
        <w:rPr>
          <w:rFonts w:cstheme="minorHAnsi"/>
          <w:sz w:val="28"/>
          <w:szCs w:val="28"/>
        </w:rPr>
      </w:pPr>
      <w:r w:rsidRPr="002A7AE8">
        <w:rPr>
          <w:rFonts w:cstheme="minorHAnsi"/>
          <w:sz w:val="28"/>
          <w:szCs w:val="28"/>
        </w:rPr>
        <w:t>Section 2(1)(g) defines 'indication' to include any name, geographical or figurative representation or any combination of them. This recognises that the mode of conveying geographical origin can be diverse.</w:t>
      </w:r>
    </w:p>
    <w:p w:rsidR="002A7AE8" w:rsidRPr="002A7AE8" w:rsidRDefault="002A7AE8" w:rsidP="002A7AE8">
      <w:pPr>
        <w:rPr>
          <w:rFonts w:cstheme="minorHAnsi"/>
          <w:sz w:val="28"/>
          <w:szCs w:val="28"/>
        </w:rPr>
      </w:pPr>
      <w:r w:rsidRPr="002A7AE8">
        <w:rPr>
          <w:rFonts w:cstheme="minorHAnsi"/>
          <w:sz w:val="28"/>
          <w:szCs w:val="28"/>
        </w:rPr>
        <w:t>Section 8(1) provides that a geographical indication may be registered in respect of any or all goods comprised in such class of goods as classified by the Registrar, and in respect of a definite territory of a country, or a region or locality in that territory.</w:t>
      </w:r>
    </w:p>
    <w:p w:rsidR="002A7AE8" w:rsidRPr="002A7AE8" w:rsidRDefault="002A7AE8" w:rsidP="002A7AE8">
      <w:pPr>
        <w:rPr>
          <w:rFonts w:cstheme="minorHAnsi"/>
          <w:sz w:val="28"/>
          <w:szCs w:val="28"/>
        </w:rPr>
      </w:pPr>
      <w:r w:rsidRPr="002A7AE8">
        <w:rPr>
          <w:rFonts w:cstheme="minorHAnsi"/>
          <w:sz w:val="28"/>
          <w:szCs w:val="28"/>
        </w:rPr>
        <w:t>Section 9 deals with the prohibition on registration of certain geographical indications, including those that are generic, deceptive, scandalous, contrary to law, or that falsely represent the origin of goods.</w:t>
      </w:r>
    </w:p>
    <w:p w:rsidR="002A7AE8" w:rsidRPr="002A7AE8" w:rsidRDefault="002A7AE8" w:rsidP="002A7AE8">
      <w:pPr>
        <w:rPr>
          <w:rFonts w:cstheme="minorHAnsi"/>
          <w:sz w:val="28"/>
          <w:szCs w:val="28"/>
        </w:rPr>
      </w:pPr>
      <w:r w:rsidRPr="002A7AE8">
        <w:rPr>
          <w:rFonts w:cstheme="minorHAnsi"/>
          <w:sz w:val="28"/>
          <w:szCs w:val="28"/>
        </w:rPr>
        <w:t>Eligibility for registration</w:t>
      </w:r>
    </w:p>
    <w:p w:rsidR="002A7AE8" w:rsidRPr="002A7AE8" w:rsidRDefault="002A7AE8" w:rsidP="002A7AE8">
      <w:pPr>
        <w:rPr>
          <w:rFonts w:cstheme="minorHAnsi"/>
          <w:sz w:val="28"/>
          <w:szCs w:val="28"/>
        </w:rPr>
      </w:pPr>
      <w:r w:rsidRPr="002A7AE8">
        <w:rPr>
          <w:rFonts w:cstheme="minorHAnsi"/>
          <w:sz w:val="28"/>
          <w:szCs w:val="28"/>
        </w:rPr>
        <w:t>For a geographical indication to be eligible for registration under the GI Act, the following conditions must be satisfied:</w:t>
      </w:r>
    </w:p>
    <w:p w:rsidR="002A7AE8" w:rsidRPr="002A7AE8" w:rsidRDefault="002A7AE8" w:rsidP="002A7AE8">
      <w:pPr>
        <w:rPr>
          <w:rFonts w:cstheme="minorHAnsi"/>
          <w:sz w:val="28"/>
          <w:szCs w:val="28"/>
        </w:rPr>
      </w:pPr>
      <w:r w:rsidRPr="002A7AE8">
        <w:rPr>
          <w:rFonts w:cstheme="minorHAnsi"/>
          <w:sz w:val="28"/>
          <w:szCs w:val="28"/>
        </w:rPr>
        <w:t>First, there must be a clear link between the goods and their geographical origin. The goods must originate from a defined territory, region or locality, and the quality, reputation or other characteristics of those goods must be essentially attributable to that origin.</w:t>
      </w:r>
    </w:p>
    <w:p w:rsidR="002A7AE8" w:rsidRPr="002A7AE8" w:rsidRDefault="002A7AE8" w:rsidP="002A7AE8">
      <w:pPr>
        <w:rPr>
          <w:rFonts w:cstheme="minorHAnsi"/>
          <w:sz w:val="28"/>
          <w:szCs w:val="28"/>
        </w:rPr>
      </w:pPr>
      <w:r w:rsidRPr="002A7AE8">
        <w:rPr>
          <w:rFonts w:cstheme="minorHAnsi"/>
          <w:sz w:val="28"/>
          <w:szCs w:val="28"/>
        </w:rPr>
        <w:t>Second, the applicant must be an association of persons, an association of producers, or an organisation or authority established by or under any law in force, representing the interest of the producers. Individual persons cannot apply for GI registration as registered proprietors.</w:t>
      </w:r>
    </w:p>
    <w:p w:rsidR="002A7AE8" w:rsidRPr="002A7AE8" w:rsidRDefault="002A7AE8" w:rsidP="002A7AE8">
      <w:pPr>
        <w:rPr>
          <w:rFonts w:cstheme="minorHAnsi"/>
          <w:sz w:val="28"/>
          <w:szCs w:val="28"/>
        </w:rPr>
      </w:pPr>
      <w:r w:rsidRPr="002A7AE8">
        <w:rPr>
          <w:rFonts w:cstheme="minorHAnsi"/>
          <w:sz w:val="28"/>
          <w:szCs w:val="28"/>
        </w:rPr>
        <w:t>Third, the application under Section 11 must be accompanied by a statement explaining how the GI designates the goods as originating from the territory, a</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geographical map of the relevant territory, details of the appearance of the GI, and particulars of producers.</w:t>
      </w:r>
    </w:p>
    <w:p w:rsidR="002A7AE8" w:rsidRPr="002A7AE8" w:rsidRDefault="002A7AE8" w:rsidP="002A7AE8">
      <w:pPr>
        <w:rPr>
          <w:rFonts w:cstheme="minorHAnsi"/>
          <w:sz w:val="28"/>
          <w:szCs w:val="28"/>
        </w:rPr>
      </w:pPr>
      <w:r w:rsidRPr="002A7AE8">
        <w:rPr>
          <w:rFonts w:cstheme="minorHAnsi"/>
          <w:sz w:val="28"/>
          <w:szCs w:val="28"/>
        </w:rPr>
        <w:t>Fourth, the GI must not fall within any of the prohibited categories under Section 9, such as being generic, deceptive, scandalous, likely to hurt religious susceptibilities, or not entitled to protection in a court.</w:t>
      </w:r>
    </w:p>
    <w:p w:rsidR="002A7AE8" w:rsidRPr="002A7AE8" w:rsidRDefault="002A7AE8" w:rsidP="002A7AE8">
      <w:pPr>
        <w:rPr>
          <w:rFonts w:cstheme="minorHAnsi"/>
          <w:sz w:val="28"/>
          <w:szCs w:val="28"/>
        </w:rPr>
      </w:pPr>
      <w:r w:rsidRPr="002A7AE8">
        <w:rPr>
          <w:rFonts w:cstheme="minorHAnsi"/>
          <w:sz w:val="28"/>
          <w:szCs w:val="28"/>
        </w:rPr>
        <w:t>Once registered, a GI enjoys legal protection for a period of ten years, renewable indefinitely under Section 18. Only registered authorised users have the exclusive right to use the GI in relation to the registered goods.</w:t>
      </w:r>
    </w:p>
    <w:p w:rsidR="002A7AE8" w:rsidRPr="002A7AE8" w:rsidRDefault="002A7AE8" w:rsidP="002A7AE8">
      <w:pPr>
        <w:rPr>
          <w:rFonts w:cstheme="minorHAnsi"/>
          <w:sz w:val="28"/>
          <w:szCs w:val="28"/>
        </w:rPr>
      </w:pPr>
      <w:r w:rsidRPr="002A7AE8">
        <w:rPr>
          <w:rFonts w:cstheme="minorHAnsi"/>
          <w:sz w:val="28"/>
          <w:szCs w:val="28"/>
        </w:rPr>
        <w:t>Case laws</w:t>
      </w:r>
    </w:p>
    <w:p w:rsidR="002A7AE8" w:rsidRPr="002A7AE8" w:rsidRDefault="002A7AE8" w:rsidP="002A7AE8">
      <w:pPr>
        <w:rPr>
          <w:rFonts w:cstheme="minorHAnsi"/>
          <w:sz w:val="28"/>
          <w:szCs w:val="28"/>
        </w:rPr>
      </w:pPr>
      <w:r w:rsidRPr="002A7AE8">
        <w:rPr>
          <w:rFonts w:cstheme="minorHAnsi"/>
          <w:sz w:val="28"/>
          <w:szCs w:val="28"/>
        </w:rPr>
        <w:t>Scotch Whisky Association and others v. Golden Bottling Limited, Delhi High Court, 20 April 2006, 129 (2006) DLT 423</w:t>
      </w:r>
    </w:p>
    <w:p w:rsidR="002A7AE8" w:rsidRPr="002A7AE8" w:rsidRDefault="002A7AE8" w:rsidP="002A7AE8">
      <w:pPr>
        <w:rPr>
          <w:rFonts w:cstheme="minorHAnsi"/>
          <w:sz w:val="28"/>
          <w:szCs w:val="28"/>
        </w:rPr>
      </w:pPr>
      <w:r w:rsidRPr="002A7AE8">
        <w:rPr>
          <w:rFonts w:cstheme="minorHAnsi"/>
          <w:sz w:val="28"/>
          <w:szCs w:val="28"/>
        </w:rPr>
        <w:t>Facts: The Scotch Whisky Association (SWA), a UK-based organisation representing the interests of Scotch whisky producers, filed a suit before the Delhi High Court against Golden Bottling Limited, an Indian manufacturer that was producing and marketing a whisky product under the name 'Red Scot.' The plaintiffs contended that 'Scot' or 'Scotch' is a geographical indication identifying whisky produced exclusively in Scotland, and that the use of the word 'Scot' by the defendant on an Indian-manufactured product amounted to a misrepresentation as to the origin of the goods. At the time of the suit, Scotch Whisky had not yet been formally registered as a GI in India (it was later notified in 2010), but the plaintiffs relied on the TRIPS Agreement and the Indian GI Act. The defendant did not appear before the court to contest the suit.</w:t>
      </w:r>
    </w:p>
    <w:p w:rsidR="002A7AE8" w:rsidRPr="002A7AE8" w:rsidRDefault="002A7AE8" w:rsidP="002A7AE8">
      <w:pPr>
        <w:rPr>
          <w:rFonts w:cstheme="minorHAnsi"/>
          <w:sz w:val="28"/>
          <w:szCs w:val="28"/>
        </w:rPr>
      </w:pPr>
      <w:r w:rsidRPr="002A7AE8">
        <w:rPr>
          <w:rFonts w:cstheme="minorHAnsi"/>
          <w:sz w:val="28"/>
          <w:szCs w:val="28"/>
        </w:rPr>
        <w:t>Issues: Whether the word 'Scot' or 'Scotch' constitutes a geographical indication under the TRIPS Agreement and the GI Act. Whether the use of the word 'Scot' on Indian-manufactured whisky amounted to passing off. Whether the plaintiffs were entitled to an injunction and damages.</w:t>
      </w:r>
    </w:p>
    <w:p w:rsidR="002A7AE8" w:rsidRPr="002A7AE8" w:rsidRDefault="002A7AE8" w:rsidP="002A7AE8">
      <w:pPr>
        <w:rPr>
          <w:rFonts w:cstheme="minorHAnsi"/>
          <w:sz w:val="28"/>
          <w:szCs w:val="28"/>
        </w:rPr>
      </w:pPr>
      <w:r w:rsidRPr="002A7AE8">
        <w:rPr>
          <w:rFonts w:cstheme="minorHAnsi"/>
          <w:sz w:val="28"/>
          <w:szCs w:val="28"/>
        </w:rPr>
        <w:t>Held: The Delhi High Court, per Justice Madan B. Lokur, held that 'Scotch' is a well-recognised geographical indication identifying whisky from Scotland, and that the defendant's use of the word 'Scot' misleads consumers into believing that the product originates in Scotland. Since the GI was unregistered in India at the time, the court could not grant relief for infringement under Section 20(1) of the GI Act. However, the court held the defendant liable for the tort of passing off and granted a permanent injunction restraining the defendant from using the word 'Scot' or any similar word in connection with whisky manufactured by it. Damages were also awarded to compensate for the injury to the reputation of authentic Scotch whisky. The decision is significant as one of the earliest Indian judicial acknowledgments of the need to protect geographical indications against misleading use, even before formal domestic registration.</w:t>
      </w:r>
    </w:p>
    <w:p w:rsidR="002A7AE8" w:rsidRPr="002A7AE8" w:rsidRDefault="002A7AE8" w:rsidP="002A7AE8">
      <w:pPr>
        <w:rPr>
          <w:rFonts w:cstheme="minorHAnsi"/>
          <w:sz w:val="28"/>
          <w:szCs w:val="28"/>
        </w:rPr>
      </w:pPr>
      <w:r w:rsidRPr="002A7AE8">
        <w:rPr>
          <w:rFonts w:cstheme="minorHAnsi"/>
          <w:sz w:val="28"/>
          <w:szCs w:val="28"/>
        </w:rPr>
        <w:t>Tea Board, India v. ITC Limited, Calcutta High Court, 20 April 2011 and 24 August 2011, GA No. 3137 of 2010, CS No. 250 of 2010</w:t>
      </w:r>
    </w:p>
    <w:p w:rsidR="002A7AE8" w:rsidRPr="002A7AE8" w:rsidRDefault="002A7AE8" w:rsidP="002A7AE8">
      <w:pPr>
        <w:rPr>
          <w:rFonts w:cstheme="minorHAnsi"/>
          <w:sz w:val="28"/>
          <w:szCs w:val="28"/>
        </w:rPr>
      </w:pPr>
      <w:r w:rsidRPr="002A7AE8">
        <w:rPr>
          <w:rFonts w:cstheme="minorHAnsi"/>
          <w:sz w:val="28"/>
          <w:szCs w:val="28"/>
        </w:rPr>
        <w:t>Facts: The Tea Board of India, an autonomous statutory body constituted under the Tea Act, 1953, held registered geographical indications and certification trademarks for 'Darjeeling' and its associated logo in relation to tea. ITC Limited, an industrial conglomerate, named one of the exclusive lounges in its hotel ITC Sonar Bangla in Kolkata as 'Darjeeling Lounge.' This lounge served beverages and food, including tea not necessarily sourced from Darjeeling. The Tea Board filed a suit alleging infringement of its GI and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certification trademark, and sought an interlocutory injunction. The defendant contended that the use of the name 'Darjeeling' was merely to evoke a flavour of Bengal, similar to other parts of its hotel named after features of the state.</w:t>
      </w:r>
    </w:p>
    <w:p w:rsidR="002A7AE8" w:rsidRPr="002A7AE8" w:rsidRDefault="002A7AE8" w:rsidP="002A7AE8">
      <w:pPr>
        <w:rPr>
          <w:rFonts w:cstheme="minorHAnsi"/>
          <w:sz w:val="28"/>
          <w:szCs w:val="28"/>
        </w:rPr>
      </w:pPr>
      <w:r w:rsidRPr="002A7AE8">
        <w:rPr>
          <w:rFonts w:cstheme="minorHAnsi"/>
          <w:sz w:val="28"/>
          <w:szCs w:val="28"/>
        </w:rPr>
        <w:t>Issues: Whether the GI and certification trademark for 'Darjeeling' in relation to tea extends to the use of the word in connection with hospitality services. Whether the Tea Board had a prima facie case for infringement or passing off.</w:t>
      </w:r>
    </w:p>
    <w:p w:rsidR="002A7AE8" w:rsidRPr="002A7AE8" w:rsidRDefault="002A7AE8" w:rsidP="002A7AE8">
      <w:pPr>
        <w:rPr>
          <w:rFonts w:cstheme="minorHAnsi"/>
          <w:sz w:val="28"/>
          <w:szCs w:val="28"/>
        </w:rPr>
      </w:pPr>
      <w:r w:rsidRPr="002A7AE8">
        <w:rPr>
          <w:rFonts w:cstheme="minorHAnsi"/>
          <w:sz w:val="28"/>
          <w:szCs w:val="28"/>
        </w:rPr>
        <w:t>Held: The Single Judge refused the interlocutory injunction, and the Division Bench of the Calcutta High Court upheld this order on 24 August 2011. The court held that the GI Act confers protection only in relation to goods and does not extend to services. The protection afforded by the certification trademark and the GI for 'Darjeeling' tea does not grant the Tea Board an absolute monopoly over the geographical name 'Darjeeling' for all purposes. The court further held that there was no prima facie case of passing off, since the Tea Board was neither a trader of tea nor in the business of rendering hospitality services, and therefore there was no likelihood of consumers being misled into believing that ITC's lounge was endorsed by or connected with the Tea Board. This case is important for clarifying the scope and limits of GI protection, and for establishing that GIs do not confer an all-encompassing right over a geographical name.</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A geographical indication is a powerful intellectual property tool that recognises the intrinsic connection between a product and its place of origin. The definition under Section 2(1)(e) of the GI Act is comprehensive, covering agricultural, natural, and manufactured goods, and acknowledging both natural and human factors as contributors to the quality attributable to geographical origin. Eligibility for registration requires a genuine and substantive link between the goods and their geographical source, and the applicant must be a body representing the collective interests of producers. The judicial decisions discussed above illustrate that while GI protection is strong within its scope, it is not without limits — it does not extend to services, and the name cannot be claimed as an absolute monopoly across all contexts.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TRIPS Agreement on geographical indications</w:t>
      </w:r>
    </w:p>
    <w:p w:rsidR="002A7AE8" w:rsidRPr="002A7AE8" w:rsidRDefault="002A7AE8" w:rsidP="002A7AE8">
      <w:pPr>
        <w:rPr>
          <w:rFonts w:cstheme="minorHAnsi"/>
          <w:sz w:val="28"/>
          <w:szCs w:val="28"/>
        </w:rPr>
      </w:pPr>
      <w:r w:rsidRPr="002A7AE8">
        <w:rPr>
          <w:rFonts w:cstheme="minorHAnsi"/>
          <w:sz w:val="28"/>
          <w:szCs w:val="28"/>
        </w:rPr>
        <w:t>Introduction</w:t>
      </w:r>
    </w:p>
    <w:p w:rsidR="002A7AE8" w:rsidRPr="002A7AE8" w:rsidRDefault="002A7AE8" w:rsidP="002A7AE8">
      <w:pPr>
        <w:rPr>
          <w:rFonts w:cstheme="minorHAnsi"/>
          <w:sz w:val="28"/>
          <w:szCs w:val="28"/>
        </w:rPr>
      </w:pPr>
      <w:r w:rsidRPr="002A7AE8">
        <w:rPr>
          <w:rFonts w:cstheme="minorHAnsi"/>
          <w:sz w:val="28"/>
          <w:szCs w:val="28"/>
        </w:rPr>
        <w:t>The Agreement on Trade-Related Aspects of Intellectual Property Rights (TRIPS) is a multilateral agreement forming Annex 1C of the Agreement Establishing the World Trade Organization, concluded at Marrakesh on 15 April 1994. It came into force on 1 January 1995. TRIPS is the most comprehensive international agreement dealing with intellectual property in the context of international trade. It establishes minimum standards of protection for various forms of intellectual property, including geographical indications, which are addressed in Section 3 (Articles 22 to 24) of Part II of the Agreement.</w:t>
      </w:r>
    </w:p>
    <w:p w:rsidR="002A7AE8" w:rsidRPr="002A7AE8" w:rsidRDefault="002A7AE8" w:rsidP="002A7AE8">
      <w:pPr>
        <w:rPr>
          <w:rFonts w:cstheme="minorHAnsi"/>
          <w:sz w:val="28"/>
          <w:szCs w:val="28"/>
        </w:rPr>
      </w:pPr>
      <w:r w:rsidRPr="002A7AE8">
        <w:rPr>
          <w:rFonts w:cstheme="minorHAnsi"/>
          <w:sz w:val="28"/>
          <w:szCs w:val="28"/>
        </w:rPr>
        <w:t>India, upon becoming a member of the WTO in 1995, undertook obligations under TRIPS to enact domestic legislation for the protection of geographical indications. The resulting domestic legislation, namely the GI Act, 1999, was designed to align Indian law with TRIPS standards. Understanding the TRIPS framework is therefore indispensable for appreciating the legislative intent and scope of the GI Act.</w:t>
      </w:r>
    </w:p>
    <w:p w:rsidR="002A7AE8" w:rsidRPr="002A7AE8" w:rsidRDefault="002A7AE8" w:rsidP="002A7AE8">
      <w:pPr>
        <w:rPr>
          <w:rFonts w:cstheme="minorHAnsi"/>
          <w:sz w:val="28"/>
          <w:szCs w:val="28"/>
        </w:rPr>
      </w:pPr>
      <w:r w:rsidRPr="002A7AE8">
        <w:rPr>
          <w:rFonts w:cstheme="minorHAnsi"/>
          <w:sz w:val="28"/>
          <w:szCs w:val="28"/>
        </w:rPr>
        <w:t>Meaning of geographical indication under TRIPS</w:t>
      </w:r>
    </w:p>
    <w:p w:rsidR="002A7AE8" w:rsidRPr="002A7AE8" w:rsidRDefault="002A7AE8" w:rsidP="002A7AE8">
      <w:pPr>
        <w:rPr>
          <w:rFonts w:cstheme="minorHAnsi"/>
          <w:sz w:val="28"/>
          <w:szCs w:val="28"/>
        </w:rPr>
      </w:pPr>
      <w:r w:rsidRPr="002A7AE8">
        <w:rPr>
          <w:rFonts w:cstheme="minorHAnsi"/>
          <w:sz w:val="28"/>
          <w:szCs w:val="28"/>
        </w:rPr>
        <w:t>Article 22.1 of TRIPS defines geographical indications as indications which identify a good as originating in the territory of a Member, or a region or locality in that territory, where a given quality, reputation or other characteristic of the good is essentially attributable to its geographical origin. The TRIPS definition is substantially mirrored in Section 2(1)(e) of the Indian GI Act. The definition covers all goods, unlike the enhanced protection under Article 23, which is limited to wines and spirits.</w:t>
      </w:r>
    </w:p>
    <w:p w:rsidR="002A7AE8" w:rsidRPr="002A7AE8" w:rsidRDefault="002A7AE8" w:rsidP="002A7AE8">
      <w:pPr>
        <w:rPr>
          <w:rFonts w:cstheme="minorHAnsi"/>
          <w:sz w:val="28"/>
          <w:szCs w:val="28"/>
        </w:rPr>
      </w:pPr>
      <w:r w:rsidRPr="002A7AE8">
        <w:rPr>
          <w:rFonts w:cstheme="minorHAnsi"/>
          <w:sz w:val="28"/>
          <w:szCs w:val="28"/>
        </w:rPr>
        <w:t>Relevant provisions under TRIPS</w:t>
      </w:r>
    </w:p>
    <w:p w:rsidR="002A7AE8" w:rsidRPr="002A7AE8" w:rsidRDefault="002A7AE8" w:rsidP="002A7AE8">
      <w:pPr>
        <w:rPr>
          <w:rFonts w:cstheme="minorHAnsi"/>
          <w:sz w:val="28"/>
          <w:szCs w:val="28"/>
        </w:rPr>
      </w:pPr>
      <w:r w:rsidRPr="002A7AE8">
        <w:rPr>
          <w:rFonts w:cstheme="minorHAnsi"/>
          <w:sz w:val="28"/>
          <w:szCs w:val="28"/>
        </w:rPr>
        <w:t>Article 22 – General protection for all geographical indications</w:t>
      </w:r>
    </w:p>
    <w:p w:rsidR="002A7AE8" w:rsidRPr="002A7AE8" w:rsidRDefault="002A7AE8" w:rsidP="002A7AE8">
      <w:pPr>
        <w:rPr>
          <w:rFonts w:cstheme="minorHAnsi"/>
          <w:sz w:val="28"/>
          <w:szCs w:val="28"/>
        </w:rPr>
      </w:pPr>
      <w:r w:rsidRPr="002A7AE8">
        <w:rPr>
          <w:rFonts w:cstheme="minorHAnsi"/>
          <w:sz w:val="28"/>
          <w:szCs w:val="28"/>
        </w:rPr>
        <w:t>Article 22 establishes a baseline level of protection applicable to geographical indications for all goods. Under Article 22.2, Members are required to provide the legal means for interested parties to prevent the use of any means in the designation or presentation of a good that indicates or suggests that the good in question originates in a geographical area other than the true place of origin in a manner which misleads the public as to the geographical origin of the good. Members must also prevent any use which constitutes an act of unfair competition within the meaning of Article 10bis of the Paris Convention.</w:t>
      </w:r>
    </w:p>
    <w:p w:rsidR="002A7AE8" w:rsidRPr="002A7AE8" w:rsidRDefault="002A7AE8" w:rsidP="002A7AE8">
      <w:pPr>
        <w:rPr>
          <w:rFonts w:cstheme="minorHAnsi"/>
          <w:sz w:val="28"/>
          <w:szCs w:val="28"/>
        </w:rPr>
      </w:pPr>
      <w:r w:rsidRPr="002A7AE8">
        <w:rPr>
          <w:rFonts w:cstheme="minorHAnsi"/>
          <w:sz w:val="28"/>
          <w:szCs w:val="28"/>
        </w:rPr>
        <w:t>Article 22.3 requires Members to refuse or invalidate ex officio, if permitted by their domestic legislation, or at the request of an interested party, the registration of a trademark which uses a geographical indication in a way that misleads the public as to the true place of origin. Article 22.4 provides that the protections available under Articles 22.1, 22.2, and 22.3 shall also apply in respect of a geographical indication which, although literally true as to the territory, region or locality in which the goods originate, falsely represents to the public that the goods originate in another territory.</w:t>
      </w:r>
    </w:p>
    <w:p w:rsidR="002A7AE8" w:rsidRPr="002A7AE8" w:rsidRDefault="002A7AE8" w:rsidP="002A7AE8">
      <w:pPr>
        <w:rPr>
          <w:rFonts w:cstheme="minorHAnsi"/>
          <w:sz w:val="28"/>
          <w:szCs w:val="28"/>
        </w:rPr>
      </w:pPr>
      <w:r w:rsidRPr="002A7AE8">
        <w:rPr>
          <w:rFonts w:cstheme="minorHAnsi"/>
          <w:sz w:val="28"/>
          <w:szCs w:val="28"/>
        </w:rPr>
        <w:t>Article 23 – Additional protection for wines and spirits</w:t>
      </w:r>
    </w:p>
    <w:p w:rsidR="002A7AE8" w:rsidRPr="002A7AE8" w:rsidRDefault="002A7AE8" w:rsidP="002A7AE8">
      <w:pPr>
        <w:rPr>
          <w:rFonts w:cstheme="minorHAnsi"/>
          <w:sz w:val="28"/>
          <w:szCs w:val="28"/>
        </w:rPr>
      </w:pPr>
      <w:r w:rsidRPr="002A7AE8">
        <w:rPr>
          <w:rFonts w:cstheme="minorHAnsi"/>
          <w:sz w:val="28"/>
          <w:szCs w:val="28"/>
        </w:rPr>
        <w:t>Article 23 provides enhanced protection specifically for geographical indications identifying wines and spirits. Under Article 23.1, interested parties must have the legal means to prevent the use of a geographical indication identifying wines for wines not originating in the place indicated, even where the true origin of the good is indicated, or the geographical indication is used in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translation, or accompanied by expressions such as 'kind', 'type', 'style', 'imitation' or the like. The same protection applies to geographical indications identifying spirits.</w:t>
      </w:r>
    </w:p>
    <w:p w:rsidR="002A7AE8" w:rsidRPr="002A7AE8" w:rsidRDefault="002A7AE8" w:rsidP="002A7AE8">
      <w:pPr>
        <w:rPr>
          <w:rFonts w:cstheme="minorHAnsi"/>
          <w:sz w:val="28"/>
          <w:szCs w:val="28"/>
        </w:rPr>
      </w:pPr>
      <w:r w:rsidRPr="002A7AE8">
        <w:rPr>
          <w:rFonts w:cstheme="minorHAnsi"/>
          <w:sz w:val="28"/>
          <w:szCs w:val="28"/>
        </w:rPr>
        <w:t>The key distinction between Articles 22 and 23 is that protection under Article 22 requires proof of misleading the public or of unfair competition, whereas protection under Article 23 is absolute — it applies regardless of whether consumers are actually misled. Article 23.2 requires Members to refuse or invalidate the registration of trademarks for wines or spirits that contain or consist of a geographical indication.</w:t>
      </w:r>
    </w:p>
    <w:p w:rsidR="002A7AE8" w:rsidRPr="002A7AE8" w:rsidRDefault="002A7AE8" w:rsidP="002A7AE8">
      <w:pPr>
        <w:rPr>
          <w:rFonts w:cstheme="minorHAnsi"/>
          <w:sz w:val="28"/>
          <w:szCs w:val="28"/>
        </w:rPr>
      </w:pPr>
      <w:r w:rsidRPr="002A7AE8">
        <w:rPr>
          <w:rFonts w:cstheme="minorHAnsi"/>
          <w:sz w:val="28"/>
          <w:szCs w:val="28"/>
        </w:rPr>
        <w:t>Article 23.3 deals with homonymous geographical indications for wines. Where two identical geographical indications identify wines from different territories, each is to be protected subject to the provisions of Article 22.4, and each Member must determine practical conditions for differentiation ensuring equitable treatment and preventing consumer confusion.</w:t>
      </w:r>
    </w:p>
    <w:p w:rsidR="002A7AE8" w:rsidRPr="002A7AE8" w:rsidRDefault="002A7AE8" w:rsidP="002A7AE8">
      <w:pPr>
        <w:rPr>
          <w:rFonts w:cstheme="minorHAnsi"/>
          <w:sz w:val="28"/>
          <w:szCs w:val="28"/>
        </w:rPr>
      </w:pPr>
      <w:r w:rsidRPr="002A7AE8">
        <w:rPr>
          <w:rFonts w:cstheme="minorHAnsi"/>
          <w:sz w:val="28"/>
          <w:szCs w:val="28"/>
        </w:rPr>
        <w:t>Article 23.4 obligates Members to negotiate the establishment of a multilateral system of notification and registration of geographical indications for wines eligible for protection. Such negotiations have since progressed within the TRIPS Council.</w:t>
      </w:r>
    </w:p>
    <w:p w:rsidR="002A7AE8" w:rsidRPr="002A7AE8" w:rsidRDefault="002A7AE8" w:rsidP="002A7AE8">
      <w:pPr>
        <w:rPr>
          <w:rFonts w:cstheme="minorHAnsi"/>
          <w:sz w:val="28"/>
          <w:szCs w:val="28"/>
        </w:rPr>
      </w:pPr>
      <w:r w:rsidRPr="002A7AE8">
        <w:rPr>
          <w:rFonts w:cstheme="minorHAnsi"/>
          <w:sz w:val="28"/>
          <w:szCs w:val="28"/>
        </w:rPr>
        <w:t>Article 24 – Exceptions and international negotiations</w:t>
      </w:r>
    </w:p>
    <w:p w:rsidR="002A7AE8" w:rsidRPr="002A7AE8" w:rsidRDefault="002A7AE8" w:rsidP="002A7AE8">
      <w:pPr>
        <w:rPr>
          <w:rFonts w:cstheme="minorHAnsi"/>
          <w:sz w:val="28"/>
          <w:szCs w:val="28"/>
        </w:rPr>
      </w:pPr>
      <w:r w:rsidRPr="002A7AE8">
        <w:rPr>
          <w:rFonts w:cstheme="minorHAnsi"/>
          <w:sz w:val="28"/>
          <w:szCs w:val="28"/>
        </w:rPr>
        <w:t>Article 24 contains several important exceptions to the protection mandated by Articles 22 and 23. These exceptions balance the rights of GI holders with the legitimate interests of other traders.</w:t>
      </w:r>
    </w:p>
    <w:p w:rsidR="002A7AE8" w:rsidRPr="002A7AE8" w:rsidRDefault="002A7AE8" w:rsidP="002A7AE8">
      <w:pPr>
        <w:rPr>
          <w:rFonts w:cstheme="minorHAnsi"/>
          <w:sz w:val="28"/>
          <w:szCs w:val="28"/>
        </w:rPr>
      </w:pPr>
      <w:r w:rsidRPr="002A7AE8">
        <w:rPr>
          <w:rFonts w:cstheme="minorHAnsi"/>
          <w:sz w:val="28"/>
          <w:szCs w:val="28"/>
        </w:rPr>
        <w:t>Article 24.4 permits continued and similar use of a geographical indication for wines or spirits by nationals or domiciliaries of a Member who have used it continuously for at least ten years preceding 15 April 1994, or in good faith preceding that date. This grandfather clause protects established users who may have employed such indications long before modern GI protection regimes were enacted.</w:t>
      </w:r>
    </w:p>
    <w:p w:rsidR="002A7AE8" w:rsidRPr="002A7AE8" w:rsidRDefault="002A7AE8" w:rsidP="002A7AE8">
      <w:pPr>
        <w:rPr>
          <w:rFonts w:cstheme="minorHAnsi"/>
          <w:sz w:val="28"/>
          <w:szCs w:val="28"/>
        </w:rPr>
      </w:pPr>
      <w:r w:rsidRPr="002A7AE8">
        <w:rPr>
          <w:rFonts w:cstheme="minorHAnsi"/>
          <w:sz w:val="28"/>
          <w:szCs w:val="28"/>
        </w:rPr>
        <w:t>Article 24.5 protects existing good faith trademark rights. Where a trademark incorporating a GI has been applied for or registered, or where rights in a trademark have been acquired through use in good faith, either before the TRIPS Agreement was applicable in the Member, or before the GI was protected in its country of origin, such trademark rights may continue notwithstanding later GI protection.</w:t>
      </w:r>
    </w:p>
    <w:p w:rsidR="002A7AE8" w:rsidRPr="002A7AE8" w:rsidRDefault="002A7AE8" w:rsidP="002A7AE8">
      <w:pPr>
        <w:rPr>
          <w:rFonts w:cstheme="minorHAnsi"/>
          <w:sz w:val="28"/>
          <w:szCs w:val="28"/>
        </w:rPr>
      </w:pPr>
      <w:r w:rsidRPr="002A7AE8">
        <w:rPr>
          <w:rFonts w:cstheme="minorHAnsi"/>
          <w:sz w:val="28"/>
          <w:szCs w:val="28"/>
        </w:rPr>
        <w:t>Article 24.6 provides that Members are not required to extend protection to a GI with respect to goods for which the relevant indication is identical with the term customary in common language as the common name for such goods in the territory of that Member. This is the generic names exception.</w:t>
      </w:r>
    </w:p>
    <w:p w:rsidR="002A7AE8" w:rsidRPr="002A7AE8" w:rsidRDefault="002A7AE8" w:rsidP="002A7AE8">
      <w:pPr>
        <w:rPr>
          <w:rFonts w:cstheme="minorHAnsi"/>
          <w:sz w:val="28"/>
          <w:szCs w:val="28"/>
        </w:rPr>
      </w:pPr>
      <w:r w:rsidRPr="002A7AE8">
        <w:rPr>
          <w:rFonts w:cstheme="minorHAnsi"/>
          <w:sz w:val="28"/>
          <w:szCs w:val="28"/>
        </w:rPr>
        <w:t>Article 24.7 establishes a five-year limitation period on actions challenging the use or registration of a trademark that conflicts with a GI, subject to the condition that the use or registration was not in bad faith.</w:t>
      </w:r>
    </w:p>
    <w:p w:rsidR="002A7AE8" w:rsidRPr="002A7AE8" w:rsidRDefault="002A7AE8" w:rsidP="002A7AE8">
      <w:pPr>
        <w:rPr>
          <w:rFonts w:cstheme="minorHAnsi"/>
          <w:sz w:val="28"/>
          <w:szCs w:val="28"/>
        </w:rPr>
      </w:pPr>
      <w:r w:rsidRPr="002A7AE8">
        <w:rPr>
          <w:rFonts w:cstheme="minorHAnsi"/>
          <w:sz w:val="28"/>
          <w:szCs w:val="28"/>
        </w:rPr>
        <w:t>Article 24.8 preserves a person's right to use their own name or the name of their predecessor in business, except where such name is used in a manner that misleads the public.</w:t>
      </w:r>
    </w:p>
    <w:p w:rsidR="002A7AE8" w:rsidRPr="002A7AE8" w:rsidRDefault="002A7AE8" w:rsidP="002A7AE8">
      <w:pPr>
        <w:rPr>
          <w:rFonts w:cstheme="minorHAnsi"/>
          <w:sz w:val="28"/>
          <w:szCs w:val="28"/>
        </w:rPr>
      </w:pPr>
      <w:r w:rsidRPr="002A7AE8">
        <w:rPr>
          <w:rFonts w:cstheme="minorHAnsi"/>
          <w:sz w:val="28"/>
          <w:szCs w:val="28"/>
        </w:rPr>
        <w:t>Article 24.9 clarifies that TRIPS does not require protection of a GI that is not protected in its country of origin or has ceased to be protected or has fallen into disuse there.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India's compliance with TRIPS</w:t>
      </w:r>
    </w:p>
    <w:p w:rsidR="002A7AE8" w:rsidRPr="002A7AE8" w:rsidRDefault="002A7AE8" w:rsidP="002A7AE8">
      <w:pPr>
        <w:rPr>
          <w:rFonts w:cstheme="minorHAnsi"/>
          <w:sz w:val="28"/>
          <w:szCs w:val="28"/>
        </w:rPr>
      </w:pPr>
      <w:r w:rsidRPr="002A7AE8">
        <w:rPr>
          <w:rFonts w:cstheme="minorHAnsi"/>
          <w:sz w:val="28"/>
          <w:szCs w:val="28"/>
        </w:rPr>
        <w:t>India's GI Act substantially complies with the TRIPS framework. Section 22 of the GI Act deals with infringement of registered geographical indications in terms broadly consistent with Article 22 of TRIPS. Section 22(3) provides enhanced protection to specified classes of goods notified by the Central Government, which is India's mechanism for extending Article 23-type protection beyond wines and spirits where appropriate. Section 9(f), which prohibits registration of generic names, corresponds to Article 24.6 of TRIPS. Section 26, which protects prior good faith trademark rights, mirrors Article</w:t>
      </w:r>
    </w:p>
    <w:p w:rsidR="002A7AE8" w:rsidRPr="002A7AE8" w:rsidRDefault="002A7AE8" w:rsidP="002A7AE8">
      <w:pPr>
        <w:rPr>
          <w:rFonts w:cstheme="minorHAnsi"/>
          <w:sz w:val="28"/>
          <w:szCs w:val="28"/>
        </w:rPr>
      </w:pPr>
      <w:r w:rsidRPr="002A7AE8">
        <w:rPr>
          <w:rFonts w:cstheme="minorHAnsi"/>
          <w:sz w:val="28"/>
          <w:szCs w:val="28"/>
        </w:rPr>
        <w:t>24.5 of TRIPS.</w:t>
      </w:r>
    </w:p>
    <w:p w:rsidR="002A7AE8" w:rsidRPr="002A7AE8" w:rsidRDefault="002A7AE8" w:rsidP="002A7AE8">
      <w:pPr>
        <w:rPr>
          <w:rFonts w:cstheme="minorHAnsi"/>
          <w:sz w:val="28"/>
          <w:szCs w:val="28"/>
        </w:rPr>
      </w:pPr>
      <w:r w:rsidRPr="002A7AE8">
        <w:rPr>
          <w:rFonts w:cstheme="minorHAnsi"/>
          <w:sz w:val="28"/>
          <w:szCs w:val="28"/>
        </w:rPr>
        <w:t>Case laws</w:t>
      </w:r>
    </w:p>
    <w:p w:rsidR="002A7AE8" w:rsidRPr="002A7AE8" w:rsidRDefault="002A7AE8" w:rsidP="002A7AE8">
      <w:pPr>
        <w:rPr>
          <w:rFonts w:cstheme="minorHAnsi"/>
          <w:sz w:val="28"/>
          <w:szCs w:val="28"/>
        </w:rPr>
      </w:pPr>
      <w:r w:rsidRPr="002A7AE8">
        <w:rPr>
          <w:rFonts w:cstheme="minorHAnsi"/>
          <w:sz w:val="28"/>
          <w:szCs w:val="28"/>
        </w:rPr>
        <w:t>Scotch Whisky Association and others v. Golden Bottling Limited, Delhi High Court, 20 April 2006, 129 (2006) DLT 423</w:t>
      </w:r>
    </w:p>
    <w:p w:rsidR="002A7AE8" w:rsidRPr="002A7AE8" w:rsidRDefault="002A7AE8" w:rsidP="002A7AE8">
      <w:pPr>
        <w:rPr>
          <w:rFonts w:cstheme="minorHAnsi"/>
          <w:sz w:val="28"/>
          <w:szCs w:val="28"/>
        </w:rPr>
      </w:pPr>
      <w:r w:rsidRPr="002A7AE8">
        <w:rPr>
          <w:rFonts w:cstheme="minorHAnsi"/>
          <w:sz w:val="28"/>
          <w:szCs w:val="28"/>
        </w:rPr>
        <w:t>Facts: The Scotch Whisky Association filed a suit against Golden Bottling Limited, which was marketing a whisky product under the name 'Red Scot.' The plaintiffs argued that 'Scotch' was a geographical indication under both the TRIPS Agreement and the GI Act, identifying whisky produced exclusively in Scotland. Since Scotch Whisky was not yet registered as a GI in India at the time, the plaintiffs invoked the TRIPS obligations as an additional basis for protection.</w:t>
      </w:r>
    </w:p>
    <w:p w:rsidR="002A7AE8" w:rsidRPr="002A7AE8" w:rsidRDefault="002A7AE8" w:rsidP="002A7AE8">
      <w:pPr>
        <w:rPr>
          <w:rFonts w:cstheme="minorHAnsi"/>
          <w:sz w:val="28"/>
          <w:szCs w:val="28"/>
        </w:rPr>
      </w:pPr>
      <w:r w:rsidRPr="002A7AE8">
        <w:rPr>
          <w:rFonts w:cstheme="minorHAnsi"/>
          <w:sz w:val="28"/>
          <w:szCs w:val="28"/>
        </w:rPr>
        <w:t>Issues: Whether the TRIPS Agreement creates directly enforceable rights in India. Whether 'Scotch' constitutes a geographical indication under international law. Whether an unregistered GI can be protected through the tort of passing off.</w:t>
      </w:r>
    </w:p>
    <w:p w:rsidR="002A7AE8" w:rsidRPr="002A7AE8" w:rsidRDefault="002A7AE8" w:rsidP="002A7AE8">
      <w:pPr>
        <w:rPr>
          <w:rFonts w:cstheme="minorHAnsi"/>
          <w:sz w:val="28"/>
          <w:szCs w:val="28"/>
        </w:rPr>
      </w:pPr>
      <w:r w:rsidRPr="002A7AE8">
        <w:rPr>
          <w:rFonts w:cstheme="minorHAnsi"/>
          <w:sz w:val="28"/>
          <w:szCs w:val="28"/>
        </w:rPr>
        <w:t>Held: The Delhi High Court held that the use of the word 'Scot' on Indian-made whisky misleads consumers into believing the product originates in Scotland, which is a violation of the spirit of the TRIPS Agreement. The court, however, noted that Section 20(1) of the GI Act bars suits for infringement of unregistered GIs, and therefore granted relief only on the basis of passing off. The court restrained the defendant from using the word 'Scot' or any similar word on whisky. The decision underscores the influence of TRIPS standards on Indian judicial reasoning even where formal registration has not been obtained.</w:t>
      </w:r>
    </w:p>
    <w:p w:rsidR="002A7AE8" w:rsidRPr="002A7AE8" w:rsidRDefault="002A7AE8" w:rsidP="002A7AE8">
      <w:pPr>
        <w:rPr>
          <w:rFonts w:cstheme="minorHAnsi"/>
          <w:sz w:val="28"/>
          <w:szCs w:val="28"/>
        </w:rPr>
      </w:pPr>
      <w:r w:rsidRPr="002A7AE8">
        <w:rPr>
          <w:rFonts w:cstheme="minorHAnsi"/>
          <w:sz w:val="28"/>
          <w:szCs w:val="28"/>
        </w:rPr>
        <w:t>European Communities – Protection of Trademarks and Geographical Indications for Agricultural Products and Foodstuffs, WTO Panel Report (WT/DS174/R), 15 March 2005</w:t>
      </w:r>
    </w:p>
    <w:p w:rsidR="002A7AE8" w:rsidRPr="002A7AE8" w:rsidRDefault="002A7AE8" w:rsidP="002A7AE8">
      <w:pPr>
        <w:rPr>
          <w:rFonts w:cstheme="minorHAnsi"/>
          <w:sz w:val="28"/>
          <w:szCs w:val="28"/>
        </w:rPr>
      </w:pPr>
      <w:r w:rsidRPr="002A7AE8">
        <w:rPr>
          <w:rFonts w:cstheme="minorHAnsi"/>
          <w:sz w:val="28"/>
          <w:szCs w:val="28"/>
        </w:rPr>
        <w:t>Facts: The United States and Australia filed separate complaints before the WTO Dispute Settlement Body against the European Communities (EC), challenging EC Council Regulation No. 2081/92 on the protection of geographical indications and designations of origin for agricultural products and foodstuffs. The complainants argued that the EC regulation discriminated against foreign GIs and trademarks by requiring foreign applicants to pursue registration through their national governments and by not affording equivalent treatment to foreign holders.</w:t>
      </w:r>
    </w:p>
    <w:p w:rsidR="002A7AE8" w:rsidRPr="002A7AE8" w:rsidRDefault="002A7AE8" w:rsidP="002A7AE8">
      <w:pPr>
        <w:rPr>
          <w:rFonts w:cstheme="minorHAnsi"/>
          <w:sz w:val="28"/>
          <w:szCs w:val="28"/>
        </w:rPr>
      </w:pPr>
      <w:r w:rsidRPr="002A7AE8">
        <w:rPr>
          <w:rFonts w:cstheme="minorHAnsi"/>
          <w:sz w:val="28"/>
          <w:szCs w:val="28"/>
        </w:rPr>
        <w:t>Issues: Whether the EC GI Regulation was inconsistent with the TRIPS Agreement, particularly Articles 22 and 23, and with the most-favoured-nation and national treatment obligations. Whether the Regulation adequately protected existing trademark rights against conflicting GI registrations.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Held: The WTO Panel held that while the EC's GI protection system was broadly consistent with the TRIPS Agreement, certain aspects of the Regulation — specifically those requiring applications for foreign GIs to be made through the government of the country of origin — created conditions of market access that were inconsistent with the most-favoured-nation obligation under Article 4 of TRIPS. The Panel also held that the Regulation violated the national treatment obligation under Article 3 of TRIPS in certain respects. This case remains a foundational WTO-level articulation of the interplay between GI protection under TRIPS and other trade obligations, and has influenced the design of GI protection regimes in many countries.</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The TRIPS Agreement represents the most significant international legal framework for the protection of geographical indications. Through Articles 22, 23, and 24, it creates a graduated system of protection — universal minimum standards for all goods, enhanced absolute protection for wines and spirits, and a set of carefully negotiated exceptions that balance the interests of GI holders against those of established traders and generic-name users. India's GI Act is largely a product of these TRIPS obligations, and courts have consistently drawn upon TRIPS standards in interpreting the scope and limits of GI protection. The ongoing debate within the WTO about extending Article 23-type protection to all goods reflects the continued evolution of this area of international law.</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International registration of geographical indications</w:t>
      </w:r>
    </w:p>
    <w:p w:rsidR="002A7AE8" w:rsidRPr="002A7AE8" w:rsidRDefault="002A7AE8" w:rsidP="002A7AE8">
      <w:pPr>
        <w:rPr>
          <w:rFonts w:cstheme="minorHAnsi"/>
          <w:sz w:val="28"/>
          <w:szCs w:val="28"/>
        </w:rPr>
      </w:pPr>
      <w:r w:rsidRPr="002A7AE8">
        <w:rPr>
          <w:rFonts w:cstheme="minorHAnsi"/>
          <w:sz w:val="28"/>
          <w:szCs w:val="28"/>
        </w:rPr>
        <w:t>Introduction</w:t>
      </w:r>
    </w:p>
    <w:p w:rsidR="002A7AE8" w:rsidRPr="002A7AE8" w:rsidRDefault="002A7AE8" w:rsidP="002A7AE8">
      <w:pPr>
        <w:rPr>
          <w:rFonts w:cstheme="minorHAnsi"/>
          <w:sz w:val="28"/>
          <w:szCs w:val="28"/>
        </w:rPr>
      </w:pPr>
      <w:r w:rsidRPr="002A7AE8">
        <w:rPr>
          <w:rFonts w:cstheme="minorHAnsi"/>
          <w:sz w:val="28"/>
          <w:szCs w:val="28"/>
        </w:rPr>
        <w:t>The protection of geographical indications in the international arena is a matter of considerable complexity, given that a GI is inherently tied to a specific geographical location in one country yet the goods bearing that indication are traded globally. A GI registered and protected in its country of origin enjoys no automatic protection in other countries. Producers therefore require mechanisms that allow them to seek protection in multiple jurisdictions without having to navigate each national registration system independently. Several international instruments and frameworks have been developed to address this need, most notably through the World Intellectual Property Organization (WIPO) and the WTO.</w:t>
      </w:r>
    </w:p>
    <w:p w:rsidR="002A7AE8" w:rsidRPr="002A7AE8" w:rsidRDefault="002A7AE8" w:rsidP="002A7AE8">
      <w:pPr>
        <w:rPr>
          <w:rFonts w:cstheme="minorHAnsi"/>
          <w:sz w:val="28"/>
          <w:szCs w:val="28"/>
        </w:rPr>
      </w:pPr>
      <w:r w:rsidRPr="002A7AE8">
        <w:rPr>
          <w:rFonts w:cstheme="minorHAnsi"/>
          <w:sz w:val="28"/>
          <w:szCs w:val="28"/>
        </w:rPr>
        <w:t>Meaning of international registration of geographical indications International registration of a geographical indication refers to the recognition and protection of a GI in multiple countries through a single, streamlined registration procedure administered by an international body. Just as the Madrid System facilitates international registration of trademarks, the Lisbon System administered by WIPO serves as the primary mechanism for international registration of geographical indications. International registration simplifies the process for producers, reduces costs, and provides a degree of uniformity in the standards and scope of protection across participating countries.</w:t>
      </w:r>
    </w:p>
    <w:p w:rsidR="002A7AE8" w:rsidRPr="002A7AE8" w:rsidRDefault="002A7AE8" w:rsidP="002A7AE8">
      <w:pPr>
        <w:rPr>
          <w:rFonts w:cstheme="minorHAnsi"/>
          <w:sz w:val="28"/>
          <w:szCs w:val="28"/>
        </w:rPr>
      </w:pPr>
      <w:r w:rsidRPr="002A7AE8">
        <w:rPr>
          <w:rFonts w:cstheme="minorHAnsi"/>
          <w:sz w:val="28"/>
          <w:szCs w:val="28"/>
        </w:rPr>
        <w:t>Definition under the GI Act, 1999</w:t>
      </w:r>
    </w:p>
    <w:p w:rsidR="002A7AE8" w:rsidRPr="002A7AE8" w:rsidRDefault="002A7AE8" w:rsidP="002A7AE8">
      <w:pPr>
        <w:rPr>
          <w:rFonts w:cstheme="minorHAnsi"/>
          <w:sz w:val="28"/>
          <w:szCs w:val="28"/>
        </w:rPr>
      </w:pPr>
      <w:r w:rsidRPr="002A7AE8">
        <w:rPr>
          <w:rFonts w:cstheme="minorHAnsi"/>
          <w:sz w:val="28"/>
          <w:szCs w:val="28"/>
        </w:rPr>
        <w:t>The GI Act does not specifically define 'international registration.' However, Section 84 of the Act addresses the relationship between Indian law and international conventions. It empowers the Central Government to declare, by notification in the Official Gazette, any country or group of countries or international organisation to be a 'convention country' for the purposes of the Act, where such country affords to citizens of India similar privileges as it grants to its own citizens with respect to geographical indications. Section 85 further provides for reciprocity, empowering the Central Government to deny national treatment to citizens of countries that do not extend equivalent rights to Indian nationals.</w:t>
      </w:r>
    </w:p>
    <w:p w:rsidR="002A7AE8" w:rsidRPr="002A7AE8" w:rsidRDefault="002A7AE8" w:rsidP="002A7AE8">
      <w:pPr>
        <w:rPr>
          <w:rFonts w:cstheme="minorHAnsi"/>
          <w:sz w:val="28"/>
          <w:szCs w:val="28"/>
        </w:rPr>
      </w:pPr>
      <w:r w:rsidRPr="002A7AE8">
        <w:rPr>
          <w:rFonts w:cstheme="minorHAnsi"/>
          <w:sz w:val="28"/>
          <w:szCs w:val="28"/>
        </w:rPr>
        <w:t>Relevant provisions under the GI Act, 1999</w:t>
      </w:r>
    </w:p>
    <w:p w:rsidR="002A7AE8" w:rsidRPr="002A7AE8" w:rsidRDefault="002A7AE8" w:rsidP="002A7AE8">
      <w:pPr>
        <w:rPr>
          <w:rFonts w:cstheme="minorHAnsi"/>
          <w:sz w:val="28"/>
          <w:szCs w:val="28"/>
        </w:rPr>
      </w:pPr>
      <w:r w:rsidRPr="002A7AE8">
        <w:rPr>
          <w:rFonts w:cstheme="minorHAnsi"/>
          <w:sz w:val="28"/>
          <w:szCs w:val="28"/>
        </w:rPr>
        <w:t>Section 84: Special provisions relating to applications for registration from citizens of convention countries</w:t>
      </w:r>
    </w:p>
    <w:p w:rsidR="002A7AE8" w:rsidRPr="002A7AE8" w:rsidRDefault="002A7AE8" w:rsidP="002A7AE8">
      <w:pPr>
        <w:rPr>
          <w:rFonts w:cstheme="minorHAnsi"/>
          <w:sz w:val="28"/>
          <w:szCs w:val="28"/>
        </w:rPr>
      </w:pPr>
      <w:r w:rsidRPr="002A7AE8">
        <w:rPr>
          <w:rFonts w:cstheme="minorHAnsi"/>
          <w:sz w:val="28"/>
          <w:szCs w:val="28"/>
        </w:rPr>
        <w:t>"With a view to the fulfilment of a treaty, convention or arrangement with any country or a country which is a member of a group of countries or union of countries or Inter-Governmental Organisations outside India which affords to citizens of India similar privileges as granted to its own citizens, the Central Government may, by notification in the Official Gazette, declare such country or group of countries or union of countries or Inter-Governmental Organisations to be a convention country or convention countries for the purposes of this Act."</w:t>
      </w:r>
    </w:p>
    <w:p w:rsidR="002A7AE8" w:rsidRPr="002A7AE8" w:rsidRDefault="002A7AE8" w:rsidP="002A7AE8">
      <w:pPr>
        <w:rPr>
          <w:rFonts w:cstheme="minorHAnsi"/>
          <w:sz w:val="28"/>
          <w:szCs w:val="28"/>
        </w:rPr>
      </w:pPr>
      <w:r w:rsidRPr="002A7AE8">
        <w:rPr>
          <w:rFonts w:cstheme="minorHAnsi"/>
          <w:sz w:val="28"/>
          <w:szCs w:val="28"/>
        </w:rPr>
        <w:t>This provision facilitates India's participation in international GI protection frameworks by allowing the Indian government to extend reciprocal recognition to foreign GIs registered in convention countries. The practical effect is that producers from convention countries may apply for registration of their GIs in India, and Indian producers may similarly seek protection abroad.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85 deals with reciprocity and ensures that nationals of countries that do not afford Indian producers equivalent treatment are not entitled to apply for or be registered as proprietors or authorised users of GIs in India.</w:t>
      </w:r>
    </w:p>
    <w:p w:rsidR="002A7AE8" w:rsidRPr="002A7AE8" w:rsidRDefault="002A7AE8" w:rsidP="002A7AE8">
      <w:pPr>
        <w:rPr>
          <w:rFonts w:cstheme="minorHAnsi"/>
          <w:sz w:val="28"/>
          <w:szCs w:val="28"/>
        </w:rPr>
      </w:pPr>
      <w:r w:rsidRPr="002A7AE8">
        <w:rPr>
          <w:rFonts w:cstheme="minorHAnsi"/>
          <w:sz w:val="28"/>
          <w:szCs w:val="28"/>
        </w:rPr>
        <w:t>The Lisbon System – the primary international registration mechanism The primary international framework for the registration and protection of geographical indications is the Lisbon System, administered by WIPO. The system comprises two instruments:</w:t>
      </w:r>
    </w:p>
    <w:p w:rsidR="002A7AE8" w:rsidRPr="002A7AE8" w:rsidRDefault="002A7AE8" w:rsidP="002A7AE8">
      <w:pPr>
        <w:rPr>
          <w:rFonts w:cstheme="minorHAnsi"/>
          <w:sz w:val="28"/>
          <w:szCs w:val="28"/>
        </w:rPr>
      </w:pPr>
      <w:r w:rsidRPr="002A7AE8">
        <w:rPr>
          <w:rFonts w:cstheme="minorHAnsi"/>
          <w:sz w:val="28"/>
          <w:szCs w:val="28"/>
        </w:rPr>
        <w:t>The Lisbon Agreement for the Protection of Appellations of Origin and their International Registration (1958), as amended: Originally concluded in 1958 and revised at Stockholm in 1967, the Lisbon Agreement established a system for the international registration of appellations of origin — a subset of geographical indications where the quality or characteristics of the product are due exclusively or essentially to the geographical environment, including both natural and human factors. An appellation of origin registered under the Lisbon Agreement is protected in all contracting countries without the need for separate national registrations.</w:t>
      </w:r>
    </w:p>
    <w:p w:rsidR="002A7AE8" w:rsidRPr="002A7AE8" w:rsidRDefault="002A7AE8" w:rsidP="002A7AE8">
      <w:pPr>
        <w:rPr>
          <w:rFonts w:cstheme="minorHAnsi"/>
          <w:sz w:val="28"/>
          <w:szCs w:val="28"/>
        </w:rPr>
      </w:pPr>
      <w:r w:rsidRPr="002A7AE8">
        <w:rPr>
          <w:rFonts w:cstheme="minorHAnsi"/>
          <w:sz w:val="28"/>
          <w:szCs w:val="28"/>
        </w:rPr>
        <w:t>The Geneva Act of the Lisbon Agreement on Appellations of Origin and Geographical Indications (2015): Adopted on 20 May 2015 and entering into force on 26 February 2020, the Geneva Act modernised and expanded the Lisbon System significantly. It extended the scope of protection beyond appellations of origin to cover the broader category of geographical indications, thereby bringing the Lisbon System in line with the TRIPS definition and opening protection to a wider range of products whose qualities are not exclusively but only essentially attributable to geographical origin. The Geneva Act also opened the Lisbon System to the accession of certain intergovernmental organisations, notably the European Union and the African Intellectual Property Organisation (OAPI), greatly expanding the geographic reach of the system.</w:t>
      </w:r>
    </w:p>
    <w:p w:rsidR="002A7AE8" w:rsidRPr="002A7AE8" w:rsidRDefault="002A7AE8" w:rsidP="002A7AE8">
      <w:pPr>
        <w:rPr>
          <w:rFonts w:cstheme="minorHAnsi"/>
          <w:sz w:val="28"/>
          <w:szCs w:val="28"/>
        </w:rPr>
      </w:pPr>
      <w:r w:rsidRPr="002A7AE8">
        <w:rPr>
          <w:rFonts w:cstheme="minorHAnsi"/>
          <w:sz w:val="28"/>
          <w:szCs w:val="28"/>
        </w:rPr>
        <w:t>Under the Lisbon System, an applicant files a single international application with WIPO through its national competent authority. WIPO examines the application for formal compliance, registers it in the International Register, and notifies all contracting parties. Each contracting party then has the opportunity to declare that it refuses protection in its territory, within a prescribed period. If no refusal is notified, the GI automatically receives protection in all contracting parties. This significantly reduces the administrative burden on producers compared to filing separate national applications.</w:t>
      </w:r>
    </w:p>
    <w:p w:rsidR="002A7AE8" w:rsidRPr="002A7AE8" w:rsidRDefault="002A7AE8" w:rsidP="002A7AE8">
      <w:pPr>
        <w:rPr>
          <w:rFonts w:cstheme="minorHAnsi"/>
          <w:sz w:val="28"/>
          <w:szCs w:val="28"/>
        </w:rPr>
      </w:pPr>
      <w:r w:rsidRPr="002A7AE8">
        <w:rPr>
          <w:rFonts w:cstheme="minorHAnsi"/>
          <w:sz w:val="28"/>
          <w:szCs w:val="28"/>
        </w:rPr>
        <w:t>The TRIPS framework on international registration</w:t>
      </w:r>
    </w:p>
    <w:p w:rsidR="002A7AE8" w:rsidRPr="002A7AE8" w:rsidRDefault="002A7AE8" w:rsidP="002A7AE8">
      <w:pPr>
        <w:rPr>
          <w:rFonts w:cstheme="minorHAnsi"/>
          <w:sz w:val="28"/>
          <w:szCs w:val="28"/>
        </w:rPr>
      </w:pPr>
      <w:r w:rsidRPr="002A7AE8">
        <w:rPr>
          <w:rFonts w:cstheme="minorHAnsi"/>
          <w:sz w:val="28"/>
          <w:szCs w:val="28"/>
        </w:rPr>
        <w:t>Article 23.4 of TRIPS obligates Members to negotiate the establishment of a multilateral system for the notification and registration of geographical indications for wines eligible for protection in participating Members. These negotiations have been ongoing in the TRIPS Council for many years and remain a subject of debate. The WTO's approach is thus more aspirational at the international registration level than the Lisbon System's existing operational mechanism. Some members advocate for extending this multilateral register to all products, not just wines, which would significantly alter the international GI landscape.</w:t>
      </w:r>
    </w:p>
    <w:p w:rsidR="002A7AE8" w:rsidRPr="002A7AE8" w:rsidRDefault="002A7AE8" w:rsidP="002A7AE8">
      <w:pPr>
        <w:rPr>
          <w:rFonts w:cstheme="minorHAnsi"/>
          <w:sz w:val="28"/>
          <w:szCs w:val="28"/>
        </w:rPr>
      </w:pPr>
      <w:r w:rsidRPr="002A7AE8">
        <w:rPr>
          <w:rFonts w:cstheme="minorHAnsi"/>
          <w:sz w:val="28"/>
          <w:szCs w:val="28"/>
        </w:rPr>
        <w:t>EU's system of GI registration</w:t>
      </w:r>
    </w:p>
    <w:p w:rsidR="002A7AE8" w:rsidRPr="002A7AE8" w:rsidRDefault="002A7AE8" w:rsidP="002A7AE8">
      <w:pPr>
        <w:rPr>
          <w:rFonts w:cstheme="minorHAnsi"/>
          <w:sz w:val="28"/>
          <w:szCs w:val="28"/>
        </w:rPr>
      </w:pPr>
      <w:r w:rsidRPr="002A7AE8">
        <w:rPr>
          <w:rFonts w:cstheme="minorHAnsi"/>
          <w:sz w:val="28"/>
          <w:szCs w:val="28"/>
        </w:rPr>
        <w:t>The European Union maintains one of the most robust GI protection regimes in the world, recognising three categories: Protected Designation of Origin (PDO), Protected Geographical Indication (PGI), and Traditional Speciality Guaranteed (TSG). EU GI registrations, once granted, are effective across all EU member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states. The EU has also acceded to the Geneva Act of the Lisbon Agreement, enabling EU GIs to receive international protection through the Lisbon System. The EU has been a strong advocate for extending Article 23-type enhanced protection to all product categories globally, and has concluded bilateral and regional agreements with many countries, including India, to secure mutual recognition of GIs.</w:t>
      </w:r>
    </w:p>
    <w:p w:rsidR="002A7AE8" w:rsidRPr="002A7AE8" w:rsidRDefault="002A7AE8" w:rsidP="002A7AE8">
      <w:pPr>
        <w:rPr>
          <w:rFonts w:cstheme="minorHAnsi"/>
          <w:sz w:val="28"/>
          <w:szCs w:val="28"/>
        </w:rPr>
      </w:pPr>
      <w:r w:rsidRPr="002A7AE8">
        <w:rPr>
          <w:rFonts w:cstheme="minorHAnsi"/>
          <w:sz w:val="28"/>
          <w:szCs w:val="28"/>
        </w:rPr>
        <w:t>India and international GI registration</w:t>
      </w:r>
    </w:p>
    <w:p w:rsidR="002A7AE8" w:rsidRPr="002A7AE8" w:rsidRDefault="002A7AE8" w:rsidP="002A7AE8">
      <w:pPr>
        <w:rPr>
          <w:rFonts w:cstheme="minorHAnsi"/>
          <w:sz w:val="28"/>
          <w:szCs w:val="28"/>
        </w:rPr>
      </w:pPr>
      <w:r w:rsidRPr="002A7AE8">
        <w:rPr>
          <w:rFonts w:cstheme="minorHAnsi"/>
          <w:sz w:val="28"/>
          <w:szCs w:val="28"/>
        </w:rPr>
        <w:t>India has not acceded to the Lisbon Agreement or the Geneva Act, and therefore Indian GIs do not have direct access to the Lisbon System. Indian producers seeking international protection for their GIs must currently rely on bilateral agreements or pursue registration in each target country separately. India has concluded GI-related provisions in several bilateral Free Trade Agreements and is negotiating others. The lack of membership in the Lisbon System is a notable gap, given India's rich portfolio of GIs, including Darjeeling Tea, Basmati Rice, Kanjeevaram Silk, Alphonso Mangoes, and hundreds more.</w:t>
      </w:r>
    </w:p>
    <w:p w:rsidR="002A7AE8" w:rsidRPr="002A7AE8" w:rsidRDefault="002A7AE8" w:rsidP="002A7AE8">
      <w:pPr>
        <w:rPr>
          <w:rFonts w:cstheme="minorHAnsi"/>
          <w:sz w:val="28"/>
          <w:szCs w:val="28"/>
        </w:rPr>
      </w:pPr>
      <w:r w:rsidRPr="002A7AE8">
        <w:rPr>
          <w:rFonts w:cstheme="minorHAnsi"/>
          <w:sz w:val="28"/>
          <w:szCs w:val="28"/>
        </w:rPr>
        <w:t>Case laws</w:t>
      </w:r>
    </w:p>
    <w:p w:rsidR="002A7AE8" w:rsidRPr="002A7AE8" w:rsidRDefault="002A7AE8" w:rsidP="002A7AE8">
      <w:pPr>
        <w:rPr>
          <w:rFonts w:cstheme="minorHAnsi"/>
          <w:sz w:val="28"/>
          <w:szCs w:val="28"/>
        </w:rPr>
      </w:pPr>
      <w:r w:rsidRPr="002A7AE8">
        <w:rPr>
          <w:rFonts w:cstheme="minorHAnsi"/>
          <w:sz w:val="28"/>
          <w:szCs w:val="28"/>
        </w:rPr>
        <w:t>Scotch Whisky Association and others v. Golden Bottling Limited, Delhi High Court, 20 April 2006, 129 (2006) DLT 423</w:t>
      </w:r>
    </w:p>
    <w:p w:rsidR="002A7AE8" w:rsidRPr="002A7AE8" w:rsidRDefault="002A7AE8" w:rsidP="002A7AE8">
      <w:pPr>
        <w:rPr>
          <w:rFonts w:cstheme="minorHAnsi"/>
          <w:sz w:val="28"/>
          <w:szCs w:val="28"/>
        </w:rPr>
      </w:pPr>
      <w:r w:rsidRPr="002A7AE8">
        <w:rPr>
          <w:rFonts w:cstheme="minorHAnsi"/>
          <w:sz w:val="28"/>
          <w:szCs w:val="28"/>
        </w:rPr>
        <w:t>Facts: The Scotch Whisky Association, representing Scotch whisky producers whose GI is internationally recognised, filed suit in India against an Indian company using the word 'Scot' on whisky not produced in Scotland. At the time of the suit, Scotch Whisky was protected in multiple countries under international agreements and was well-known internationally, though not yet registered as a GI in India.</w:t>
      </w:r>
    </w:p>
    <w:p w:rsidR="002A7AE8" w:rsidRPr="002A7AE8" w:rsidRDefault="002A7AE8" w:rsidP="002A7AE8">
      <w:pPr>
        <w:rPr>
          <w:rFonts w:cstheme="minorHAnsi"/>
          <w:sz w:val="28"/>
          <w:szCs w:val="28"/>
        </w:rPr>
      </w:pPr>
      <w:r w:rsidRPr="002A7AE8">
        <w:rPr>
          <w:rFonts w:cstheme="minorHAnsi"/>
          <w:sz w:val="28"/>
          <w:szCs w:val="28"/>
        </w:rPr>
        <w:t>Issues: Whether international recognition of a GI in multiple jurisdictions can substitute for domestic registration in India. Whether the absence of domestic GI registration bars all forms of legal relief in India.</w:t>
      </w:r>
    </w:p>
    <w:p w:rsidR="002A7AE8" w:rsidRPr="002A7AE8" w:rsidRDefault="002A7AE8" w:rsidP="002A7AE8">
      <w:pPr>
        <w:rPr>
          <w:rFonts w:cstheme="minorHAnsi"/>
          <w:sz w:val="28"/>
          <w:szCs w:val="28"/>
        </w:rPr>
      </w:pPr>
      <w:r w:rsidRPr="002A7AE8">
        <w:rPr>
          <w:rFonts w:cstheme="minorHAnsi"/>
          <w:sz w:val="28"/>
          <w:szCs w:val="28"/>
        </w:rPr>
        <w:t>Held: The court held that while international recognition of a GI is relevant context, Section 20(1) of the Indian GI Act explicitly bars infringement suits for unregistered GIs in India. The plaintiffs were therefore entitled only to passing off relief under the common law, which does not require registration. The judgment illustrates the limitation of international recognition without corresponding domestic registration and the need for Indian producers and foreign GI holders to register their marks in each jurisdiction where protection is sought.</w:t>
      </w:r>
    </w:p>
    <w:p w:rsidR="002A7AE8" w:rsidRPr="002A7AE8" w:rsidRDefault="002A7AE8" w:rsidP="002A7AE8">
      <w:pPr>
        <w:rPr>
          <w:rFonts w:cstheme="minorHAnsi"/>
          <w:sz w:val="28"/>
          <w:szCs w:val="28"/>
        </w:rPr>
      </w:pPr>
      <w:r w:rsidRPr="002A7AE8">
        <w:rPr>
          <w:rFonts w:cstheme="minorHAnsi"/>
          <w:sz w:val="28"/>
          <w:szCs w:val="28"/>
        </w:rPr>
        <w:t>European Communities – Protection of Trademarks and Geographical Indications for Agricultural Products and Foodstuffs, WTO Panel Report (WT/DS174/R), 15 March 2005</w:t>
      </w:r>
    </w:p>
    <w:p w:rsidR="002A7AE8" w:rsidRPr="002A7AE8" w:rsidRDefault="002A7AE8" w:rsidP="002A7AE8">
      <w:pPr>
        <w:rPr>
          <w:rFonts w:cstheme="minorHAnsi"/>
          <w:sz w:val="28"/>
          <w:szCs w:val="28"/>
        </w:rPr>
      </w:pPr>
      <w:r w:rsidRPr="002A7AE8">
        <w:rPr>
          <w:rFonts w:cstheme="minorHAnsi"/>
          <w:sz w:val="28"/>
          <w:szCs w:val="28"/>
        </w:rPr>
        <w:t>Facts: The United States challenged the European Communities' regulation governing GI protection for agricultural products, which required foreign GI applications to be filed through the applicant's national government. This procedure was argued to be less favourable than the direct access available to EC nationals, and was said to breach non-discrimination obligations under TRIPS.</w:t>
      </w:r>
    </w:p>
    <w:p w:rsidR="002A7AE8" w:rsidRPr="002A7AE8" w:rsidRDefault="002A7AE8" w:rsidP="002A7AE8">
      <w:pPr>
        <w:rPr>
          <w:rFonts w:cstheme="minorHAnsi"/>
          <w:sz w:val="28"/>
          <w:szCs w:val="28"/>
        </w:rPr>
      </w:pPr>
      <w:r w:rsidRPr="002A7AE8">
        <w:rPr>
          <w:rFonts w:cstheme="minorHAnsi"/>
          <w:sz w:val="28"/>
          <w:szCs w:val="28"/>
        </w:rPr>
        <w:t>Issues: Whether conditionality in accessing an international or regional GI registration system can breach WTO non-discrimination obligations. Whether national treatment and most-favoured-nation obligations apply to GI protection regimes.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Held: The WTO Panel held that while a region or bloc may design its own GI protection regime, access to such a regime must comply with the national treatment and MFN obligations of TRIPS. Requiring foreign applicants to apply through their home governments, where no equivalent requirement existed for EC nationals, created an inequitable system inconsistent with TRIPS. This ruling has important implications for the design of any international GI registration mechanism, confirming that non-discrimination is a fundamental principle governing access to GI protection in international trade.</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The international registration of geographical indications is an evolving field. The Lisbon System under WIPO provides the most structured mechanism for international registration, and its expansion through the Geneva Act of 2015 to cover geographical indications more broadly has been a significant development. However, the system's reach is limited by the number of contracting parties and India's non-membership. The TRIPS framework, while setting minimum standards, has yet to establish a fully operational multilateral registration system for GIs beyond wines. In this landscape, bilateral and regional agreements remain important tools for Indian producers seeking international protection. There is a growing case for India to consider accession to the Lisbon-Geneva System to better protect its extensive and economically valuable portfolio of geographical indications on the global stage.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Registration of geographical indication and its effect</w:t>
      </w:r>
    </w:p>
    <w:p w:rsidR="002A7AE8" w:rsidRPr="002A7AE8" w:rsidRDefault="002A7AE8" w:rsidP="002A7AE8">
      <w:pPr>
        <w:rPr>
          <w:rFonts w:cstheme="minorHAnsi"/>
          <w:sz w:val="28"/>
          <w:szCs w:val="28"/>
        </w:rPr>
      </w:pPr>
      <w:r w:rsidRPr="002A7AE8">
        <w:rPr>
          <w:rFonts w:cstheme="minorHAnsi"/>
          <w:sz w:val="28"/>
          <w:szCs w:val="28"/>
        </w:rPr>
        <w:t>Introduction</w:t>
      </w:r>
    </w:p>
    <w:p w:rsidR="002A7AE8" w:rsidRPr="002A7AE8" w:rsidRDefault="002A7AE8" w:rsidP="002A7AE8">
      <w:pPr>
        <w:rPr>
          <w:rFonts w:cstheme="minorHAnsi"/>
          <w:sz w:val="28"/>
          <w:szCs w:val="28"/>
        </w:rPr>
      </w:pPr>
      <w:r w:rsidRPr="002A7AE8">
        <w:rPr>
          <w:rFonts w:cstheme="minorHAnsi"/>
          <w:sz w:val="28"/>
          <w:szCs w:val="28"/>
        </w:rPr>
        <w:t>Registration of a geographical indication under the GI Act, 1999 is the formal process by which an indication becomes entitled to the statutory rights and protections created by the Act. While some protection may be available even for unregistered GIs through the common law action of passing off, registration provides a far stronger and more certain legal position. It creates a public record, establishes a presumption of validity, and confers specific exclusive rights upon the registered proprietor and authorised users.</w:t>
      </w:r>
    </w:p>
    <w:p w:rsidR="002A7AE8" w:rsidRPr="002A7AE8" w:rsidRDefault="002A7AE8" w:rsidP="002A7AE8">
      <w:pPr>
        <w:rPr>
          <w:rFonts w:cstheme="minorHAnsi"/>
          <w:sz w:val="28"/>
          <w:szCs w:val="28"/>
        </w:rPr>
      </w:pPr>
      <w:r w:rsidRPr="002A7AE8">
        <w:rPr>
          <w:rFonts w:cstheme="minorHAnsi"/>
          <w:sz w:val="28"/>
          <w:szCs w:val="28"/>
        </w:rPr>
        <w:t>Understanding the registration process and its legal effects is essential for producers, policymakers, and legal practitioners working in this field.</w:t>
      </w:r>
    </w:p>
    <w:p w:rsidR="002A7AE8" w:rsidRPr="002A7AE8" w:rsidRDefault="002A7AE8" w:rsidP="002A7AE8">
      <w:pPr>
        <w:rPr>
          <w:rFonts w:cstheme="minorHAnsi"/>
          <w:sz w:val="28"/>
          <w:szCs w:val="28"/>
        </w:rPr>
      </w:pPr>
      <w:r w:rsidRPr="002A7AE8">
        <w:rPr>
          <w:rFonts w:cstheme="minorHAnsi"/>
          <w:sz w:val="28"/>
          <w:szCs w:val="28"/>
        </w:rPr>
        <w:t>Meaning of registration of geographical indication</w:t>
      </w:r>
    </w:p>
    <w:p w:rsidR="002A7AE8" w:rsidRPr="002A7AE8" w:rsidRDefault="002A7AE8" w:rsidP="002A7AE8">
      <w:pPr>
        <w:rPr>
          <w:rFonts w:cstheme="minorHAnsi"/>
          <w:sz w:val="28"/>
          <w:szCs w:val="28"/>
        </w:rPr>
      </w:pPr>
      <w:r w:rsidRPr="002A7AE8">
        <w:rPr>
          <w:rFonts w:cstheme="minorHAnsi"/>
          <w:sz w:val="28"/>
          <w:szCs w:val="28"/>
        </w:rPr>
        <w:t>Registration under the GI Act refers to the process of entering a geographical indication in the Register of Geographical Indications maintained under Section 6 of the Act. The register is divided into two parts: Part A, which contains particulars of registered geographical indications, and Part B, which contains particulars of authorised users. The Registrar of Geographical Indications (who is the Controller-General of Patents, Designs and Trade Marks by virtue of Section 3) administers the registration process, and the Geographical Indications Registry, headquartered in Chennai, has all-India jurisdiction.</w:t>
      </w:r>
    </w:p>
    <w:p w:rsidR="002A7AE8" w:rsidRPr="002A7AE8" w:rsidRDefault="002A7AE8" w:rsidP="002A7AE8">
      <w:pPr>
        <w:rPr>
          <w:rFonts w:cstheme="minorHAnsi"/>
          <w:sz w:val="28"/>
          <w:szCs w:val="28"/>
        </w:rPr>
      </w:pPr>
      <w:r w:rsidRPr="002A7AE8">
        <w:rPr>
          <w:rFonts w:cstheme="minorHAnsi"/>
          <w:sz w:val="28"/>
          <w:szCs w:val="28"/>
        </w:rPr>
        <w:t>Definition under the GI Act, 1999</w:t>
      </w:r>
    </w:p>
    <w:p w:rsidR="002A7AE8" w:rsidRPr="002A7AE8" w:rsidRDefault="002A7AE8" w:rsidP="002A7AE8">
      <w:pPr>
        <w:rPr>
          <w:rFonts w:cstheme="minorHAnsi"/>
          <w:sz w:val="28"/>
          <w:szCs w:val="28"/>
        </w:rPr>
      </w:pPr>
      <w:r w:rsidRPr="002A7AE8">
        <w:rPr>
          <w:rFonts w:cstheme="minorHAnsi"/>
          <w:sz w:val="28"/>
          <w:szCs w:val="28"/>
        </w:rPr>
        <w:t>Section 2(1)(m) defines 'registered' with its grammatical variations to mean registered under this Act. Section 2(1)(n) defines 'registered proprietor' in relation to a geographical indication to mean any association of persons or of producers or any organisation for the time being entered in the register as proprietor of the geographical indication. Section 2(1)(b) defines 'authorised user' to mean the authorised user of a geographical indication registered under Section 17.</w:t>
      </w:r>
    </w:p>
    <w:p w:rsidR="002A7AE8" w:rsidRPr="002A7AE8" w:rsidRDefault="002A7AE8" w:rsidP="002A7AE8">
      <w:pPr>
        <w:rPr>
          <w:rFonts w:cstheme="minorHAnsi"/>
          <w:sz w:val="28"/>
          <w:szCs w:val="28"/>
        </w:rPr>
      </w:pPr>
      <w:r w:rsidRPr="002A7AE8">
        <w:rPr>
          <w:rFonts w:cstheme="minorHAnsi"/>
          <w:sz w:val="28"/>
          <w:szCs w:val="28"/>
        </w:rPr>
        <w:t>Relevant provisions under the GI Act, 1999 – the registration process</w:t>
      </w:r>
    </w:p>
    <w:p w:rsidR="002A7AE8" w:rsidRPr="002A7AE8" w:rsidRDefault="002A7AE8" w:rsidP="002A7AE8">
      <w:pPr>
        <w:rPr>
          <w:rFonts w:cstheme="minorHAnsi"/>
          <w:sz w:val="28"/>
          <w:szCs w:val="28"/>
        </w:rPr>
      </w:pPr>
      <w:r w:rsidRPr="002A7AE8">
        <w:rPr>
          <w:rFonts w:cstheme="minorHAnsi"/>
          <w:sz w:val="28"/>
          <w:szCs w:val="28"/>
        </w:rPr>
        <w:t>Section 11 – Application for registration</w:t>
      </w:r>
    </w:p>
    <w:p w:rsidR="002A7AE8" w:rsidRPr="002A7AE8" w:rsidRDefault="002A7AE8" w:rsidP="002A7AE8">
      <w:pPr>
        <w:rPr>
          <w:rFonts w:cstheme="minorHAnsi"/>
          <w:sz w:val="28"/>
          <w:szCs w:val="28"/>
        </w:rPr>
      </w:pPr>
      <w:r w:rsidRPr="002A7AE8">
        <w:rPr>
          <w:rFonts w:cstheme="minorHAnsi"/>
          <w:sz w:val="28"/>
          <w:szCs w:val="28"/>
        </w:rPr>
        <w:t>"Any association of persons or producers or any organisation or authority established by or under any law for the time being in force representing the interest of the producers of the concerned goods, who are desirous of registering a geographical indication in relation to such goods shall apply in writing to the Registrar in such form and in such manner and accompanied by such fees as may be prescribed for the registration of the geographical indication."</w:t>
      </w:r>
    </w:p>
    <w:p w:rsidR="002A7AE8" w:rsidRPr="002A7AE8" w:rsidRDefault="002A7AE8" w:rsidP="002A7AE8">
      <w:pPr>
        <w:rPr>
          <w:rFonts w:cstheme="minorHAnsi"/>
          <w:sz w:val="28"/>
          <w:szCs w:val="28"/>
        </w:rPr>
      </w:pPr>
      <w:r w:rsidRPr="002A7AE8">
        <w:rPr>
          <w:rFonts w:cstheme="minorHAnsi"/>
          <w:sz w:val="28"/>
          <w:szCs w:val="28"/>
        </w:rPr>
        <w:t>The application must include a statement showing how the GI serves to designate the goods as originating from the territory, the class of goods, a geographical map of the territory, particulars of the appearance of the GI, and a statement containing particulars of producers proposed to be initially registered. A single application may be filed for multiple classes of goods. The application must be filed with the office of the GI Registry whose territorial jurisdiction covers the relevant territory.</w:t>
      </w:r>
    </w:p>
    <w:p w:rsidR="002A7AE8" w:rsidRPr="002A7AE8" w:rsidRDefault="002A7AE8" w:rsidP="002A7AE8">
      <w:pPr>
        <w:rPr>
          <w:rFonts w:cstheme="minorHAnsi"/>
          <w:sz w:val="28"/>
          <w:szCs w:val="28"/>
        </w:rPr>
      </w:pPr>
      <w:r w:rsidRPr="002A7AE8">
        <w:rPr>
          <w:rFonts w:cstheme="minorHAnsi"/>
          <w:sz w:val="28"/>
          <w:szCs w:val="28"/>
        </w:rPr>
        <w:t>Section 13 – Advertisement of application</w:t>
      </w:r>
    </w:p>
    <w:p w:rsidR="002A7AE8" w:rsidRPr="002A7AE8" w:rsidRDefault="002A7AE8" w:rsidP="002A7AE8">
      <w:pPr>
        <w:rPr>
          <w:rFonts w:cstheme="minorHAnsi"/>
          <w:sz w:val="28"/>
          <w:szCs w:val="28"/>
        </w:rPr>
      </w:pPr>
      <w:r w:rsidRPr="002A7AE8">
        <w:rPr>
          <w:rFonts w:cstheme="minorHAnsi"/>
          <w:sz w:val="28"/>
          <w:szCs w:val="28"/>
        </w:rPr>
        <w:t>Once accepted, the application is advertised in the manner prescribed. Advertisement invites opposition from any interested person within three months (extendable by one month) under Section 14.</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16 – Registration</w:t>
      </w:r>
    </w:p>
    <w:p w:rsidR="002A7AE8" w:rsidRPr="002A7AE8" w:rsidRDefault="002A7AE8" w:rsidP="002A7AE8">
      <w:pPr>
        <w:rPr>
          <w:rFonts w:cstheme="minorHAnsi"/>
          <w:sz w:val="28"/>
          <w:szCs w:val="28"/>
        </w:rPr>
      </w:pPr>
      <w:r w:rsidRPr="002A7AE8">
        <w:rPr>
          <w:rFonts w:cstheme="minorHAnsi"/>
          <w:sz w:val="28"/>
          <w:szCs w:val="28"/>
        </w:rPr>
        <w:t>"Subject to the provisions of section 12, when an application for registration of a geographical indication has been accepted and either —</w:t>
      </w:r>
    </w:p>
    <w:p w:rsidR="002A7AE8" w:rsidRPr="002A7AE8" w:rsidRDefault="002A7AE8" w:rsidP="002A7AE8">
      <w:pPr>
        <w:rPr>
          <w:rFonts w:cstheme="minorHAnsi"/>
          <w:sz w:val="28"/>
          <w:szCs w:val="28"/>
        </w:rPr>
      </w:pPr>
      <w:r w:rsidRPr="002A7AE8">
        <w:rPr>
          <w:rFonts w:cstheme="minorHAnsi"/>
          <w:sz w:val="28"/>
          <w:szCs w:val="28"/>
        </w:rPr>
        <w:t>(a) the application has not been opposed and the time for notice of opposition has expired; or (b) the application has been opposed and the opposition has been decided in favour of the applicant, the Registrar shall, unless the Central Government otherwise directs, register the said geographical indication and the authorised users, if any, mentioned in the application and the geographical indication and the authorised users when registered shall be registered as of the date of the making of the said application..."</w:t>
      </w:r>
    </w:p>
    <w:p w:rsidR="002A7AE8" w:rsidRPr="002A7AE8" w:rsidRDefault="002A7AE8" w:rsidP="002A7AE8">
      <w:pPr>
        <w:rPr>
          <w:rFonts w:cstheme="minorHAnsi"/>
          <w:sz w:val="28"/>
          <w:szCs w:val="28"/>
        </w:rPr>
      </w:pPr>
      <w:r w:rsidRPr="002A7AE8">
        <w:rPr>
          <w:rFonts w:cstheme="minorHAnsi"/>
          <w:sz w:val="28"/>
          <w:szCs w:val="28"/>
        </w:rPr>
        <w:t>On registration, the Registrar issues a certificate sealed with the seal of the GI Registry. The date of registration is the date of the original application. If registration is not completed within twelve months from the date of application due to the applicant's default, the application may be treated as abandoned.</w:t>
      </w:r>
    </w:p>
    <w:p w:rsidR="002A7AE8" w:rsidRPr="002A7AE8" w:rsidRDefault="002A7AE8" w:rsidP="002A7AE8">
      <w:pPr>
        <w:rPr>
          <w:rFonts w:cstheme="minorHAnsi"/>
          <w:sz w:val="28"/>
          <w:szCs w:val="28"/>
        </w:rPr>
      </w:pPr>
      <w:r w:rsidRPr="002A7AE8">
        <w:rPr>
          <w:rFonts w:cstheme="minorHAnsi"/>
          <w:sz w:val="28"/>
          <w:szCs w:val="28"/>
        </w:rPr>
        <w:t>Section 17 – Application for registration as authorised user</w:t>
      </w:r>
    </w:p>
    <w:p w:rsidR="002A7AE8" w:rsidRPr="002A7AE8" w:rsidRDefault="002A7AE8" w:rsidP="002A7AE8">
      <w:pPr>
        <w:rPr>
          <w:rFonts w:cstheme="minorHAnsi"/>
          <w:sz w:val="28"/>
          <w:szCs w:val="28"/>
        </w:rPr>
      </w:pPr>
      <w:r w:rsidRPr="002A7AE8">
        <w:rPr>
          <w:rFonts w:cstheme="minorHAnsi"/>
          <w:sz w:val="28"/>
          <w:szCs w:val="28"/>
        </w:rPr>
        <w:t>Any person claiming to be a producer of the goods in respect of which a GI has been registered may apply to the Registrar for registration as an authorised user. The same procedural steps applicable to GI registration apply to the registration of authorised users.</w:t>
      </w:r>
    </w:p>
    <w:p w:rsidR="002A7AE8" w:rsidRPr="002A7AE8" w:rsidRDefault="002A7AE8" w:rsidP="002A7AE8">
      <w:pPr>
        <w:rPr>
          <w:rFonts w:cstheme="minorHAnsi"/>
          <w:sz w:val="28"/>
          <w:szCs w:val="28"/>
        </w:rPr>
      </w:pPr>
      <w:r w:rsidRPr="002A7AE8">
        <w:rPr>
          <w:rFonts w:cstheme="minorHAnsi"/>
          <w:sz w:val="28"/>
          <w:szCs w:val="28"/>
        </w:rPr>
        <w:t>Section 18 – Duration, renewal, removal and restoration</w:t>
      </w:r>
    </w:p>
    <w:p w:rsidR="002A7AE8" w:rsidRPr="002A7AE8" w:rsidRDefault="002A7AE8" w:rsidP="002A7AE8">
      <w:pPr>
        <w:rPr>
          <w:rFonts w:cstheme="minorHAnsi"/>
          <w:sz w:val="28"/>
          <w:szCs w:val="28"/>
        </w:rPr>
      </w:pPr>
      <w:r w:rsidRPr="002A7AE8">
        <w:rPr>
          <w:rFonts w:cstheme="minorHAnsi"/>
          <w:sz w:val="28"/>
          <w:szCs w:val="28"/>
        </w:rPr>
        <w:t>"The registration of a geographical indication shall be for a period of ten years, but may be renewed from time to time in accordance with the provisions of this section."</w:t>
      </w:r>
    </w:p>
    <w:p w:rsidR="002A7AE8" w:rsidRPr="002A7AE8" w:rsidRDefault="002A7AE8" w:rsidP="002A7AE8">
      <w:pPr>
        <w:rPr>
          <w:rFonts w:cstheme="minorHAnsi"/>
          <w:sz w:val="28"/>
          <w:szCs w:val="28"/>
        </w:rPr>
      </w:pPr>
      <w:r w:rsidRPr="002A7AE8">
        <w:rPr>
          <w:rFonts w:cstheme="minorHAnsi"/>
          <w:sz w:val="28"/>
          <w:szCs w:val="28"/>
        </w:rPr>
        <w:t>Registration of an authorised user is for ten years or until the GI registration expires, whichever is earlier. Registration may be removed for failure to pay renewal fees, but may be restored within one year of removal upon payment of prescribed fees and on satisfaction of the Registrar that it is just to do so.</w:t>
      </w:r>
    </w:p>
    <w:p w:rsidR="002A7AE8" w:rsidRPr="002A7AE8" w:rsidRDefault="002A7AE8" w:rsidP="002A7AE8">
      <w:pPr>
        <w:rPr>
          <w:rFonts w:cstheme="minorHAnsi"/>
          <w:sz w:val="28"/>
          <w:szCs w:val="28"/>
        </w:rPr>
      </w:pPr>
      <w:r w:rsidRPr="002A7AE8">
        <w:rPr>
          <w:rFonts w:cstheme="minorHAnsi"/>
          <w:sz w:val="28"/>
          <w:szCs w:val="28"/>
        </w:rPr>
        <w:t>Effects of registration</w:t>
      </w:r>
    </w:p>
    <w:p w:rsidR="002A7AE8" w:rsidRPr="002A7AE8" w:rsidRDefault="002A7AE8" w:rsidP="002A7AE8">
      <w:pPr>
        <w:rPr>
          <w:rFonts w:cstheme="minorHAnsi"/>
          <w:sz w:val="28"/>
          <w:szCs w:val="28"/>
        </w:rPr>
      </w:pPr>
      <w:r w:rsidRPr="002A7AE8">
        <w:rPr>
          <w:rFonts w:cstheme="minorHAnsi"/>
          <w:sz w:val="28"/>
          <w:szCs w:val="28"/>
        </w:rPr>
        <w:t>Section 20 – No action for infringement of unregistered geographical indication</w:t>
      </w:r>
    </w:p>
    <w:p w:rsidR="002A7AE8" w:rsidRPr="002A7AE8" w:rsidRDefault="002A7AE8" w:rsidP="002A7AE8">
      <w:pPr>
        <w:rPr>
          <w:rFonts w:cstheme="minorHAnsi"/>
          <w:sz w:val="28"/>
          <w:szCs w:val="28"/>
        </w:rPr>
      </w:pPr>
      <w:r w:rsidRPr="002A7AE8">
        <w:rPr>
          <w:rFonts w:cstheme="minorHAnsi"/>
          <w:sz w:val="28"/>
          <w:szCs w:val="28"/>
        </w:rPr>
        <w:t>"No person shall be entitled to institute any proceeding to prevent, or to recover damages for, the infringement of an unregistered geographical indication."</w:t>
      </w:r>
    </w:p>
    <w:p w:rsidR="002A7AE8" w:rsidRPr="002A7AE8" w:rsidRDefault="002A7AE8" w:rsidP="002A7AE8">
      <w:pPr>
        <w:rPr>
          <w:rFonts w:cstheme="minorHAnsi"/>
          <w:sz w:val="28"/>
          <w:szCs w:val="28"/>
        </w:rPr>
      </w:pPr>
      <w:r w:rsidRPr="002A7AE8">
        <w:rPr>
          <w:rFonts w:cstheme="minorHAnsi"/>
          <w:sz w:val="28"/>
          <w:szCs w:val="28"/>
        </w:rPr>
        <w:t>This provision clearly restricts the right to bring infringement proceedings to registered GIs only. For unregistered GIs, the only remedy is the common law action of passing off, preserved by Section 20(2).</w:t>
      </w:r>
    </w:p>
    <w:p w:rsidR="002A7AE8" w:rsidRPr="002A7AE8" w:rsidRDefault="002A7AE8" w:rsidP="002A7AE8">
      <w:pPr>
        <w:rPr>
          <w:rFonts w:cstheme="minorHAnsi"/>
          <w:sz w:val="28"/>
          <w:szCs w:val="28"/>
        </w:rPr>
      </w:pPr>
      <w:r w:rsidRPr="002A7AE8">
        <w:rPr>
          <w:rFonts w:cstheme="minorHAnsi"/>
          <w:sz w:val="28"/>
          <w:szCs w:val="28"/>
        </w:rPr>
        <w:t>Section 21 – Rights conferred by registration</w:t>
      </w:r>
    </w:p>
    <w:p w:rsidR="002A7AE8" w:rsidRPr="002A7AE8" w:rsidRDefault="002A7AE8" w:rsidP="002A7AE8">
      <w:pPr>
        <w:rPr>
          <w:rFonts w:cstheme="minorHAnsi"/>
          <w:sz w:val="28"/>
          <w:szCs w:val="28"/>
        </w:rPr>
      </w:pPr>
      <w:r w:rsidRPr="002A7AE8">
        <w:rPr>
          <w:rFonts w:cstheme="minorHAnsi"/>
          <w:sz w:val="28"/>
          <w:szCs w:val="28"/>
        </w:rPr>
        <w:t>"Subject to the other provisions of this Act, the registration of a geographical indication shall, if valid, give — (a) to the registered proprietor of the geographical indication and the authorised user or users thereof the right to obtain relief in respect of infringement of the geographical indication in the manner provided by this Act; (b) to the authorised user thereof the exclusive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right to the use of the geographical indication in relation to the goods in respect of which the geographical indication is registered."</w:t>
      </w:r>
    </w:p>
    <w:p w:rsidR="002A7AE8" w:rsidRPr="002A7AE8" w:rsidRDefault="002A7AE8" w:rsidP="002A7AE8">
      <w:pPr>
        <w:rPr>
          <w:rFonts w:cstheme="minorHAnsi"/>
          <w:sz w:val="28"/>
          <w:szCs w:val="28"/>
        </w:rPr>
      </w:pPr>
      <w:r w:rsidRPr="002A7AE8">
        <w:rPr>
          <w:rFonts w:cstheme="minorHAnsi"/>
          <w:sz w:val="28"/>
          <w:szCs w:val="28"/>
        </w:rPr>
        <w:t>The registered proprietor has the right to obtain relief for infringement, but it is the authorised user who has the exclusive right of use. Where multiple authorised users exist, the exclusive right does not operate as between those users themselves; each retains the same rights as against third parties.</w:t>
      </w:r>
    </w:p>
    <w:p w:rsidR="002A7AE8" w:rsidRPr="002A7AE8" w:rsidRDefault="002A7AE8" w:rsidP="002A7AE8">
      <w:pPr>
        <w:rPr>
          <w:rFonts w:cstheme="minorHAnsi"/>
          <w:sz w:val="28"/>
          <w:szCs w:val="28"/>
        </w:rPr>
      </w:pPr>
      <w:r w:rsidRPr="002A7AE8">
        <w:rPr>
          <w:rFonts w:cstheme="minorHAnsi"/>
          <w:sz w:val="28"/>
          <w:szCs w:val="28"/>
        </w:rPr>
        <w:t>Section 23 – Registration as prima facie evidence of validity</w:t>
      </w:r>
    </w:p>
    <w:p w:rsidR="002A7AE8" w:rsidRPr="002A7AE8" w:rsidRDefault="002A7AE8" w:rsidP="002A7AE8">
      <w:pPr>
        <w:rPr>
          <w:rFonts w:cstheme="minorHAnsi"/>
          <w:sz w:val="28"/>
          <w:szCs w:val="28"/>
        </w:rPr>
      </w:pPr>
      <w:r w:rsidRPr="002A7AE8">
        <w:rPr>
          <w:rFonts w:cstheme="minorHAnsi"/>
          <w:sz w:val="28"/>
          <w:szCs w:val="28"/>
        </w:rPr>
        <w:t>"In all legal proceedings relating to a geographical indication, the certificate of registration granted in this regard by the Registrar under this Act, being a copy of the entry in the register under the seal of the Geographical Indications Registry, shall be prima facie evidence of the validity thereof and be admissible in all courts without further proof or production of the original."</w:t>
      </w:r>
    </w:p>
    <w:p w:rsidR="002A7AE8" w:rsidRPr="002A7AE8" w:rsidRDefault="002A7AE8" w:rsidP="002A7AE8">
      <w:pPr>
        <w:rPr>
          <w:rFonts w:cstheme="minorHAnsi"/>
          <w:sz w:val="28"/>
          <w:szCs w:val="28"/>
        </w:rPr>
      </w:pPr>
      <w:r w:rsidRPr="002A7AE8">
        <w:rPr>
          <w:rFonts w:cstheme="minorHAnsi"/>
          <w:sz w:val="28"/>
          <w:szCs w:val="28"/>
        </w:rPr>
        <w:t>Section 24 – Prohibition of assignment or transmission</w:t>
      </w:r>
    </w:p>
    <w:p w:rsidR="002A7AE8" w:rsidRPr="002A7AE8" w:rsidRDefault="002A7AE8" w:rsidP="002A7AE8">
      <w:pPr>
        <w:rPr>
          <w:rFonts w:cstheme="minorHAnsi"/>
          <w:sz w:val="28"/>
          <w:szCs w:val="28"/>
        </w:rPr>
      </w:pPr>
      <w:r w:rsidRPr="002A7AE8">
        <w:rPr>
          <w:rFonts w:cstheme="minorHAnsi"/>
          <w:sz w:val="28"/>
          <w:szCs w:val="28"/>
        </w:rPr>
        <w:t>"Notwithstanding anything contained in any law for the time being in force, any right to a registered geographical indication shall not be the subject matter of assignment, transmission, licensing, pledge, mortgage or any such other agreement..."</w:t>
      </w:r>
    </w:p>
    <w:p w:rsidR="002A7AE8" w:rsidRPr="002A7AE8" w:rsidRDefault="002A7AE8" w:rsidP="002A7AE8">
      <w:pPr>
        <w:rPr>
          <w:rFonts w:cstheme="minorHAnsi"/>
          <w:sz w:val="28"/>
          <w:szCs w:val="28"/>
        </w:rPr>
      </w:pPr>
      <w:r w:rsidRPr="002A7AE8">
        <w:rPr>
          <w:rFonts w:cstheme="minorHAnsi"/>
          <w:sz w:val="28"/>
          <w:szCs w:val="28"/>
        </w:rPr>
        <w:t>This is one of the most distinctive features of GI protection, setting it apart from trademarks which can be freely assigned. A GI is a collective right rooted in the geographical origin of goods and cannot be privatised or transferred to a party unconnected with that origin.</w:t>
      </w:r>
    </w:p>
    <w:p w:rsidR="002A7AE8" w:rsidRPr="002A7AE8" w:rsidRDefault="002A7AE8" w:rsidP="002A7AE8">
      <w:pPr>
        <w:rPr>
          <w:rFonts w:cstheme="minorHAnsi"/>
          <w:sz w:val="28"/>
          <w:szCs w:val="28"/>
        </w:rPr>
      </w:pPr>
      <w:r w:rsidRPr="002A7AE8">
        <w:rPr>
          <w:rFonts w:cstheme="minorHAnsi"/>
          <w:sz w:val="28"/>
          <w:szCs w:val="28"/>
        </w:rPr>
        <w:t>Infringement of a registered geographical indication</w:t>
      </w:r>
    </w:p>
    <w:p w:rsidR="002A7AE8" w:rsidRPr="002A7AE8" w:rsidRDefault="002A7AE8" w:rsidP="002A7AE8">
      <w:pPr>
        <w:rPr>
          <w:rFonts w:cstheme="minorHAnsi"/>
          <w:sz w:val="28"/>
          <w:szCs w:val="28"/>
        </w:rPr>
      </w:pPr>
      <w:r w:rsidRPr="002A7AE8">
        <w:rPr>
          <w:rFonts w:cstheme="minorHAnsi"/>
          <w:sz w:val="28"/>
          <w:szCs w:val="28"/>
        </w:rPr>
        <w:t>Section 22 defines infringement. A registered GI is infringed by a person who, not being an authorised user, uses the GI to indicate an origin other than the true one in a manner that misleads, or uses any GI in a manner constituting unfair competition, or uses another GI that, though literally true, falsely represents the goods as originating from the registered GI's territory. Section 22(3) provides enhanced protection akin to Article 23 of TRIPS for notified classes of goods, where infringement occurs regardless of whether consumers are misled.</w:t>
      </w:r>
    </w:p>
    <w:p w:rsidR="002A7AE8" w:rsidRPr="002A7AE8" w:rsidRDefault="002A7AE8" w:rsidP="002A7AE8">
      <w:pPr>
        <w:rPr>
          <w:rFonts w:cstheme="minorHAnsi"/>
          <w:sz w:val="28"/>
          <w:szCs w:val="28"/>
        </w:rPr>
      </w:pPr>
      <w:r w:rsidRPr="002A7AE8">
        <w:rPr>
          <w:rFonts w:cstheme="minorHAnsi"/>
          <w:sz w:val="28"/>
          <w:szCs w:val="28"/>
        </w:rPr>
        <w:t>Case laws</w:t>
      </w:r>
    </w:p>
    <w:p w:rsidR="002A7AE8" w:rsidRPr="002A7AE8" w:rsidRDefault="002A7AE8" w:rsidP="002A7AE8">
      <w:pPr>
        <w:rPr>
          <w:rFonts w:cstheme="minorHAnsi"/>
          <w:sz w:val="28"/>
          <w:szCs w:val="28"/>
        </w:rPr>
      </w:pPr>
      <w:r w:rsidRPr="002A7AE8">
        <w:rPr>
          <w:rFonts w:cstheme="minorHAnsi"/>
          <w:sz w:val="28"/>
          <w:szCs w:val="28"/>
        </w:rPr>
        <w:t>Tea Board, India v. ITC Limited, Calcutta High Court, 20 April 2011 and 24 August 2011</w:t>
      </w:r>
    </w:p>
    <w:p w:rsidR="002A7AE8" w:rsidRPr="002A7AE8" w:rsidRDefault="002A7AE8" w:rsidP="002A7AE8">
      <w:pPr>
        <w:rPr>
          <w:rFonts w:cstheme="minorHAnsi"/>
          <w:sz w:val="28"/>
          <w:szCs w:val="28"/>
        </w:rPr>
      </w:pPr>
      <w:r w:rsidRPr="002A7AE8">
        <w:rPr>
          <w:rFonts w:cstheme="minorHAnsi"/>
          <w:sz w:val="28"/>
          <w:szCs w:val="28"/>
        </w:rPr>
        <w:t>Facts: The Tea Board, as registered proprietor and certification trademark holder of the GI 'Darjeeling' for tea, sought to prevent ITC Limited from using the name 'Darjeeling Lounge' for a hotel lounge. The Tea Board relied on its registered GI and certification trademark to claim an exclusive right over the word 'Darjeeling' in all commercial contexts.</w:t>
      </w:r>
    </w:p>
    <w:p w:rsidR="002A7AE8" w:rsidRPr="002A7AE8" w:rsidRDefault="002A7AE8" w:rsidP="002A7AE8">
      <w:pPr>
        <w:rPr>
          <w:rFonts w:cstheme="minorHAnsi"/>
          <w:sz w:val="28"/>
          <w:szCs w:val="28"/>
        </w:rPr>
      </w:pPr>
      <w:r w:rsidRPr="002A7AE8">
        <w:rPr>
          <w:rFonts w:cstheme="minorHAnsi"/>
          <w:sz w:val="28"/>
          <w:szCs w:val="28"/>
        </w:rPr>
        <w:t>Issues: Whether the rights conferred by registration of a GI under the GI Act extend beyond the goods in respect of which the GI is registered, to encompass services. What is the true scope of the 'exclusive right' conferred upon an authorised user under Section 21(1)(b).</w:t>
      </w:r>
    </w:p>
    <w:p w:rsidR="002A7AE8" w:rsidRPr="002A7AE8" w:rsidRDefault="002A7AE8" w:rsidP="002A7AE8">
      <w:pPr>
        <w:rPr>
          <w:rFonts w:cstheme="minorHAnsi"/>
          <w:sz w:val="28"/>
          <w:szCs w:val="28"/>
        </w:rPr>
      </w:pPr>
      <w:r w:rsidRPr="002A7AE8">
        <w:rPr>
          <w:rFonts w:cstheme="minorHAnsi"/>
          <w:sz w:val="28"/>
          <w:szCs w:val="28"/>
        </w:rPr>
        <w:t>Held: The Calcutta High Court held that the GI Act protects goods only, and that the rights conferred by registration do not extend to services. The exclusive right under Section 21(1)(b) is limited to the use of the GI in relation to the goods for which it is registered. The Tea Board could not prevent ITC</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from using 'Darjeeling' as the name of a lounge in the hotel hospitality business. The court also noted that there was no prima facie case of passing off. This decision importantly delineates the boundaries of GI registration rights.</w:t>
      </w:r>
    </w:p>
    <w:p w:rsidR="002A7AE8" w:rsidRPr="002A7AE8" w:rsidRDefault="002A7AE8" w:rsidP="002A7AE8">
      <w:pPr>
        <w:rPr>
          <w:rFonts w:cstheme="minorHAnsi"/>
          <w:sz w:val="28"/>
          <w:szCs w:val="28"/>
        </w:rPr>
      </w:pPr>
      <w:r w:rsidRPr="002A7AE8">
        <w:rPr>
          <w:rFonts w:cstheme="minorHAnsi"/>
          <w:sz w:val="28"/>
          <w:szCs w:val="28"/>
        </w:rPr>
        <w:t>Scotch Whisky Association and others v. Golden Bottling Limited, Delhi High Court, 20 April 2006, 129 (2006) DLT 423</w:t>
      </w:r>
    </w:p>
    <w:p w:rsidR="002A7AE8" w:rsidRPr="002A7AE8" w:rsidRDefault="002A7AE8" w:rsidP="002A7AE8">
      <w:pPr>
        <w:rPr>
          <w:rFonts w:cstheme="minorHAnsi"/>
          <w:sz w:val="28"/>
          <w:szCs w:val="28"/>
        </w:rPr>
      </w:pPr>
      <w:r w:rsidRPr="002A7AE8">
        <w:rPr>
          <w:rFonts w:cstheme="minorHAnsi"/>
          <w:sz w:val="28"/>
          <w:szCs w:val="28"/>
        </w:rPr>
        <w:t>Facts: The SWA's GI for Scotch Whisky was not registered in India at the time of the suit. The defendant was using the word 'Scot' on whisky made in India. The SWA argued that the absence of domestic registration should not bar all relief.</w:t>
      </w:r>
    </w:p>
    <w:p w:rsidR="002A7AE8" w:rsidRPr="002A7AE8" w:rsidRDefault="002A7AE8" w:rsidP="002A7AE8">
      <w:pPr>
        <w:rPr>
          <w:rFonts w:cstheme="minorHAnsi"/>
          <w:sz w:val="28"/>
          <w:szCs w:val="28"/>
        </w:rPr>
      </w:pPr>
      <w:r w:rsidRPr="002A7AE8">
        <w:rPr>
          <w:rFonts w:cstheme="minorHAnsi"/>
          <w:sz w:val="28"/>
          <w:szCs w:val="28"/>
        </w:rPr>
        <w:t>Issues: What remedies are available in respect of an unregistered GI. Whether Section 20(1) of the GI Act completely bars all relief for unregistered GIs.</w:t>
      </w:r>
    </w:p>
    <w:p w:rsidR="002A7AE8" w:rsidRPr="002A7AE8" w:rsidRDefault="002A7AE8" w:rsidP="002A7AE8">
      <w:pPr>
        <w:rPr>
          <w:rFonts w:cstheme="minorHAnsi"/>
          <w:sz w:val="28"/>
          <w:szCs w:val="28"/>
        </w:rPr>
      </w:pPr>
      <w:r w:rsidRPr="002A7AE8">
        <w:rPr>
          <w:rFonts w:cstheme="minorHAnsi"/>
          <w:sz w:val="28"/>
          <w:szCs w:val="28"/>
        </w:rPr>
        <w:t>Held: The court held that Section 20(1) bars infringement proceedings for unregistered GIs but Section 20(2) expressly preserves the right to bring a passing off action. The defendant was restrained on the basis of passing off. The decision confirms that registration is crucial for statutory infringement remedies, and that unregistered GIs are left only with the less certain remedy of passing off.</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Registration of a geographical indication under the GI Act is the cornerstone of statutory GI protection in India. It creates an official record, confers the right to obtain relief for infringement, grants the exclusive right of use to authorised users, and raises a presumption of validity in legal proceedings. The prohibition on assignment and transmission reflects the fundamental public nature of GI rights. The ten-year renewable term ensures perpetual protection as long as the GI remains in use and fees are paid. Judicial decisions have clarified that these rights, while strong, are bounded — they extend only to the registered category of goods and do not confer an absolute monopoly over the geographical name in all contexts.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Distinction between geographical indications and trademarks</w:t>
      </w:r>
    </w:p>
    <w:p w:rsidR="002A7AE8" w:rsidRPr="002A7AE8" w:rsidRDefault="002A7AE8" w:rsidP="002A7AE8">
      <w:pPr>
        <w:rPr>
          <w:rFonts w:cstheme="minorHAnsi"/>
          <w:sz w:val="28"/>
          <w:szCs w:val="28"/>
        </w:rPr>
      </w:pPr>
      <w:r w:rsidRPr="002A7AE8">
        <w:rPr>
          <w:rFonts w:cstheme="minorHAnsi"/>
          <w:sz w:val="28"/>
          <w:szCs w:val="28"/>
        </w:rPr>
        <w:t>Introduction</w:t>
      </w:r>
    </w:p>
    <w:p w:rsidR="002A7AE8" w:rsidRPr="002A7AE8" w:rsidRDefault="002A7AE8" w:rsidP="002A7AE8">
      <w:pPr>
        <w:rPr>
          <w:rFonts w:cstheme="minorHAnsi"/>
          <w:sz w:val="28"/>
          <w:szCs w:val="28"/>
        </w:rPr>
      </w:pPr>
      <w:r w:rsidRPr="002A7AE8">
        <w:rPr>
          <w:rFonts w:cstheme="minorHAnsi"/>
          <w:sz w:val="28"/>
          <w:szCs w:val="28"/>
        </w:rPr>
        <w:t>Geographical indications and trademarks are both forms of intellectual property that operate in the marketplace to convey information about goods to consumers. Both can take the form of words, symbols, or a combination of these, and both serve to distinguish goods in commerce. Despite these superficial similarities, they are fundamentally different in their nature, purpose, ownership, scope of protection, and legal treatment. The boundaries between the two have been a source of legal controversy both in India and internationally, particularly in cases where a geographical name has been used as a trademark, or where a trademark overlaps with an existing GI.</w:t>
      </w:r>
    </w:p>
    <w:p w:rsidR="002A7AE8" w:rsidRPr="002A7AE8" w:rsidRDefault="002A7AE8" w:rsidP="002A7AE8">
      <w:pPr>
        <w:rPr>
          <w:rFonts w:cstheme="minorHAnsi"/>
          <w:sz w:val="28"/>
          <w:szCs w:val="28"/>
        </w:rPr>
      </w:pPr>
      <w:r w:rsidRPr="002A7AE8">
        <w:rPr>
          <w:rFonts w:cstheme="minorHAnsi"/>
          <w:sz w:val="28"/>
          <w:szCs w:val="28"/>
        </w:rPr>
        <w:t>Meaning and nature of a trademark</w:t>
      </w:r>
    </w:p>
    <w:p w:rsidR="002A7AE8" w:rsidRPr="002A7AE8" w:rsidRDefault="002A7AE8" w:rsidP="002A7AE8">
      <w:pPr>
        <w:rPr>
          <w:rFonts w:cstheme="minorHAnsi"/>
          <w:sz w:val="28"/>
          <w:szCs w:val="28"/>
        </w:rPr>
      </w:pPr>
      <w:r w:rsidRPr="002A7AE8">
        <w:rPr>
          <w:rFonts w:cstheme="minorHAnsi"/>
          <w:sz w:val="28"/>
          <w:szCs w:val="28"/>
        </w:rPr>
        <w:t>A trademark is a sign capable of being represented graphically which is capable of distinguishing the goods or services of one person from those of others.</w:t>
      </w:r>
    </w:p>
    <w:p w:rsidR="002A7AE8" w:rsidRPr="002A7AE8" w:rsidRDefault="002A7AE8" w:rsidP="002A7AE8">
      <w:pPr>
        <w:rPr>
          <w:rFonts w:cstheme="minorHAnsi"/>
          <w:sz w:val="28"/>
          <w:szCs w:val="28"/>
        </w:rPr>
      </w:pPr>
      <w:r w:rsidRPr="002A7AE8">
        <w:rPr>
          <w:rFonts w:cstheme="minorHAnsi"/>
          <w:sz w:val="28"/>
          <w:szCs w:val="28"/>
        </w:rPr>
        <w:t>Under the Trade Marks Act, 1999, a trademark may consist of a word, device, brand, heading, label, ticket, name, signature, numeral, or any combination thereof. The essential function of a trademark is to identify the commercial origin of goods or services — that is, to indicate that the goods come from a particular business enterprise. A trademark is a private right vested in an individual or entity and can be assigned, licensed, pledged, or mortgaged.</w:t>
      </w:r>
    </w:p>
    <w:p w:rsidR="002A7AE8" w:rsidRPr="002A7AE8" w:rsidRDefault="002A7AE8" w:rsidP="002A7AE8">
      <w:pPr>
        <w:rPr>
          <w:rFonts w:cstheme="minorHAnsi"/>
          <w:sz w:val="28"/>
          <w:szCs w:val="28"/>
        </w:rPr>
      </w:pPr>
      <w:r w:rsidRPr="002A7AE8">
        <w:rPr>
          <w:rFonts w:cstheme="minorHAnsi"/>
          <w:sz w:val="28"/>
          <w:szCs w:val="28"/>
        </w:rPr>
        <w:t>Meaning and nature of a geographical indication</w:t>
      </w:r>
    </w:p>
    <w:p w:rsidR="002A7AE8" w:rsidRPr="002A7AE8" w:rsidRDefault="002A7AE8" w:rsidP="002A7AE8">
      <w:pPr>
        <w:rPr>
          <w:rFonts w:cstheme="minorHAnsi"/>
          <w:sz w:val="28"/>
          <w:szCs w:val="28"/>
        </w:rPr>
      </w:pPr>
      <w:r w:rsidRPr="002A7AE8">
        <w:rPr>
          <w:rFonts w:cstheme="minorHAnsi"/>
          <w:sz w:val="28"/>
          <w:szCs w:val="28"/>
        </w:rPr>
        <w:t>A geographical indication, as defined in Section 2(1)(e) of the GI Act, identifies goods as originating from a particular territory, region or locality where a given quality, reputation or other characteristic of the goods is essentially attributable to its geographical origin. A GI is a collective right — it does not belong to any single trader but to all the producers of the relevant goods from that region who satisfy the defined standards. It cannot be assigned, licensed, pledged, or mortgaged under Section 24 of the GI Act.</w:t>
      </w:r>
    </w:p>
    <w:p w:rsidR="002A7AE8" w:rsidRPr="002A7AE8" w:rsidRDefault="002A7AE8" w:rsidP="002A7AE8">
      <w:pPr>
        <w:rPr>
          <w:rFonts w:cstheme="minorHAnsi"/>
          <w:sz w:val="28"/>
          <w:szCs w:val="28"/>
        </w:rPr>
      </w:pPr>
      <w:r w:rsidRPr="002A7AE8">
        <w:rPr>
          <w:rFonts w:cstheme="minorHAnsi"/>
          <w:sz w:val="28"/>
          <w:szCs w:val="28"/>
        </w:rPr>
        <w:t>Definition under the GI Act, 1999</w:t>
      </w:r>
    </w:p>
    <w:p w:rsidR="002A7AE8" w:rsidRPr="002A7AE8" w:rsidRDefault="002A7AE8" w:rsidP="002A7AE8">
      <w:pPr>
        <w:rPr>
          <w:rFonts w:cstheme="minorHAnsi"/>
          <w:sz w:val="28"/>
          <w:szCs w:val="28"/>
        </w:rPr>
      </w:pPr>
      <w:r w:rsidRPr="002A7AE8">
        <w:rPr>
          <w:rFonts w:cstheme="minorHAnsi"/>
          <w:sz w:val="28"/>
          <w:szCs w:val="28"/>
        </w:rPr>
        <w:t>Section 25 of the GI Act deals with the prohibition of registration of a geographical indication as a trademark. It provides:</w:t>
      </w:r>
    </w:p>
    <w:p w:rsidR="002A7AE8" w:rsidRPr="002A7AE8" w:rsidRDefault="002A7AE8" w:rsidP="002A7AE8">
      <w:pPr>
        <w:rPr>
          <w:rFonts w:cstheme="minorHAnsi"/>
          <w:sz w:val="28"/>
          <w:szCs w:val="28"/>
        </w:rPr>
      </w:pPr>
      <w:r w:rsidRPr="002A7AE8">
        <w:rPr>
          <w:rFonts w:cstheme="minorHAnsi"/>
          <w:sz w:val="28"/>
          <w:szCs w:val="28"/>
        </w:rPr>
        <w:t>"Notwithstanding anything contained in the Trade Marks Act, 1999, the Registrar of Trade Marks referred to in section 3 of that Act, shall, suo motu or at the request of an interested party, refuse or invalidate the registration of a trade mark which — (a) contains or consists of a geographical indication with respect to the goods or class or classes of goods not originating in the territory of a country, or a region or locality in that territory which such geographical indication indicates, if use of such geographical indications in the trade mark for such goods, is of such a nature as to confuse or mislead the persons as to the true place of origin of such goods or class or classes of goods; (b) contains or consists of a geographical indication identifying goods or class or classes of goods notified under sub-section (2) of section 22."</w:t>
      </w:r>
    </w:p>
    <w:p w:rsidR="002A7AE8" w:rsidRPr="002A7AE8" w:rsidRDefault="002A7AE8" w:rsidP="002A7AE8">
      <w:pPr>
        <w:rPr>
          <w:rFonts w:cstheme="minorHAnsi"/>
          <w:sz w:val="28"/>
          <w:szCs w:val="28"/>
        </w:rPr>
      </w:pPr>
      <w:r w:rsidRPr="002A7AE8">
        <w:rPr>
          <w:rFonts w:cstheme="minorHAnsi"/>
          <w:sz w:val="28"/>
          <w:szCs w:val="28"/>
        </w:rPr>
        <w:t>Section 26 of the GI Act protects existing good faith trademarks that incorporate a geographical indication, provided the trademark was applied for, registered, or rights in it were acquired through use in good faith before the commencement of the GI Act or before the date of filing the application for GI registration.</w:t>
      </w:r>
    </w:p>
    <w:p w:rsidR="002A7AE8" w:rsidRPr="002A7AE8" w:rsidRDefault="002A7AE8" w:rsidP="002A7AE8">
      <w:pPr>
        <w:rPr>
          <w:rFonts w:cstheme="minorHAnsi"/>
          <w:sz w:val="28"/>
          <w:szCs w:val="28"/>
        </w:rPr>
      </w:pPr>
      <w:r w:rsidRPr="002A7AE8">
        <w:rPr>
          <w:rFonts w:cstheme="minorHAnsi"/>
          <w:sz w:val="28"/>
          <w:szCs w:val="28"/>
        </w:rPr>
        <w:t>Key distinctions between geographical indications and trademarks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Nature and purpose: A trademark identifies the commercial source of goods or services, indicating the business that has produced or endorsed the product. A GI, by contrast, identifies the geographical source and certifies that the goods originate from a particular place and possess the qualities or reputation associated with that place. The purpose of a trademark is to build brand identity for a business; the purpose of a GI is to protect the collective reputation and quality of goods from a region.</w:t>
      </w:r>
    </w:p>
    <w:p w:rsidR="002A7AE8" w:rsidRPr="002A7AE8" w:rsidRDefault="002A7AE8" w:rsidP="002A7AE8">
      <w:pPr>
        <w:rPr>
          <w:rFonts w:cstheme="minorHAnsi"/>
          <w:sz w:val="28"/>
          <w:szCs w:val="28"/>
        </w:rPr>
      </w:pPr>
      <w:r w:rsidRPr="002A7AE8">
        <w:rPr>
          <w:rFonts w:cstheme="minorHAnsi"/>
          <w:sz w:val="28"/>
          <w:szCs w:val="28"/>
        </w:rPr>
        <w:t>Ownership: A trademark is an individual right vested in a specific person, company, or entity. A GI is a collective or community right — it belongs to all producers of the relevant goods in the specified region who meet the requisite quality standards. No single producer can own a GI to the exclusion of others from the same region.</w:t>
      </w:r>
    </w:p>
    <w:p w:rsidR="002A7AE8" w:rsidRPr="002A7AE8" w:rsidRDefault="002A7AE8" w:rsidP="002A7AE8">
      <w:pPr>
        <w:rPr>
          <w:rFonts w:cstheme="minorHAnsi"/>
          <w:sz w:val="28"/>
          <w:szCs w:val="28"/>
        </w:rPr>
      </w:pPr>
      <w:r w:rsidRPr="002A7AE8">
        <w:rPr>
          <w:rFonts w:cstheme="minorHAnsi"/>
          <w:sz w:val="28"/>
          <w:szCs w:val="28"/>
        </w:rPr>
        <w:t>Assignability: Under the Trade Marks Act, 1999, a trademark can be assigned, licensed, franchised, or otherwise transferred, whether with or without the goodwill of the business. Under Section 24 of the GI Act, a registered geographical indication cannot be assigned, transmitted, licensed, pledged, mortgaged, or made the subject of any such agreement. This is one of the most fundamental distinctions between the two forms of IP.</w:t>
      </w:r>
    </w:p>
    <w:p w:rsidR="002A7AE8" w:rsidRPr="002A7AE8" w:rsidRDefault="002A7AE8" w:rsidP="002A7AE8">
      <w:pPr>
        <w:rPr>
          <w:rFonts w:cstheme="minorHAnsi"/>
          <w:sz w:val="28"/>
          <w:szCs w:val="28"/>
        </w:rPr>
      </w:pPr>
      <w:r w:rsidRPr="002A7AE8">
        <w:rPr>
          <w:rFonts w:cstheme="minorHAnsi"/>
          <w:sz w:val="28"/>
          <w:szCs w:val="28"/>
        </w:rPr>
        <w:t>Duration: A trademark is initially registered for ten years and is renewable indefinitely, but renewal depends on continued use. If a trademark is not used for five years consecutively, it may be vulnerable to cancellation for non-use. A GI is also registered for ten years and is renewable indefinitely, but unlike trademarks, GIs cannot be 'abandoned' through non-use in the same way, as the collective character of the right means that individual non-use by one producer does not affect the collective right.</w:t>
      </w:r>
    </w:p>
    <w:p w:rsidR="002A7AE8" w:rsidRPr="002A7AE8" w:rsidRDefault="002A7AE8" w:rsidP="002A7AE8">
      <w:pPr>
        <w:rPr>
          <w:rFonts w:cstheme="minorHAnsi"/>
          <w:sz w:val="28"/>
          <w:szCs w:val="28"/>
        </w:rPr>
      </w:pPr>
      <w:r w:rsidRPr="002A7AE8">
        <w:rPr>
          <w:rFonts w:cstheme="minorHAnsi"/>
          <w:sz w:val="28"/>
          <w:szCs w:val="28"/>
        </w:rPr>
        <w:t>Who may apply: Any person — natural or legal — who is using or proposes to use a mark in the course of trade may apply for trademark registration.</w:t>
      </w:r>
    </w:p>
    <w:p w:rsidR="002A7AE8" w:rsidRPr="002A7AE8" w:rsidRDefault="002A7AE8" w:rsidP="002A7AE8">
      <w:pPr>
        <w:rPr>
          <w:rFonts w:cstheme="minorHAnsi"/>
          <w:sz w:val="28"/>
          <w:szCs w:val="28"/>
        </w:rPr>
      </w:pPr>
      <w:r w:rsidRPr="002A7AE8">
        <w:rPr>
          <w:rFonts w:cstheme="minorHAnsi"/>
          <w:sz w:val="28"/>
          <w:szCs w:val="28"/>
        </w:rPr>
        <w:t>Applications for GI registration can only be made by associations of persons, associations of producers, or organisations or authorities established by law representing the interests of producers.</w:t>
      </w:r>
    </w:p>
    <w:p w:rsidR="002A7AE8" w:rsidRPr="002A7AE8" w:rsidRDefault="002A7AE8" w:rsidP="002A7AE8">
      <w:pPr>
        <w:rPr>
          <w:rFonts w:cstheme="minorHAnsi"/>
          <w:sz w:val="28"/>
          <w:szCs w:val="28"/>
        </w:rPr>
      </w:pPr>
      <w:r w:rsidRPr="002A7AE8">
        <w:rPr>
          <w:rFonts w:cstheme="minorHAnsi"/>
          <w:sz w:val="28"/>
          <w:szCs w:val="28"/>
        </w:rPr>
        <w:t>Scope of exclusivity: A trademark grants exclusivity to a single proprietor or licensee. A GI grants the exclusive right of use to all registered authorised users in the region — it is a shared exclusive right that no single user can exploit to the exclusion of other legitimate producers from the same region.</w:t>
      </w:r>
    </w:p>
    <w:p w:rsidR="002A7AE8" w:rsidRPr="002A7AE8" w:rsidRDefault="002A7AE8" w:rsidP="002A7AE8">
      <w:pPr>
        <w:rPr>
          <w:rFonts w:cstheme="minorHAnsi"/>
          <w:sz w:val="28"/>
          <w:szCs w:val="28"/>
        </w:rPr>
      </w:pPr>
      <w:r w:rsidRPr="002A7AE8">
        <w:rPr>
          <w:rFonts w:cstheme="minorHAnsi"/>
          <w:sz w:val="28"/>
          <w:szCs w:val="28"/>
        </w:rPr>
        <w:t>Generic names: A trademark, once it becomes a generic name for goods of its type, may be cancelled. Similarly, under Section 9(f) of the GI Act, a geographical indication that has become generic cannot be registered or maintained. However, the standards and processes differ.</w:t>
      </w:r>
    </w:p>
    <w:p w:rsidR="002A7AE8" w:rsidRPr="002A7AE8" w:rsidRDefault="002A7AE8" w:rsidP="002A7AE8">
      <w:pPr>
        <w:rPr>
          <w:rFonts w:cstheme="minorHAnsi"/>
          <w:sz w:val="28"/>
          <w:szCs w:val="28"/>
        </w:rPr>
      </w:pPr>
      <w:r w:rsidRPr="002A7AE8">
        <w:rPr>
          <w:rFonts w:cstheme="minorHAnsi"/>
          <w:sz w:val="28"/>
          <w:szCs w:val="28"/>
        </w:rPr>
        <w:t>Protection against conflict: Where a GI and a trademark conflict, Section 25 of the GI Act creates a general rule that trademarks misleading as to geographical origin may be refused or invalidated. Section 26 provides a safe harbour for pre-existing good faith trademarks.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Comparative table</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Basis of Distinction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Nature</w:t>
      </w:r>
      <w:r w:rsidRPr="002A7AE8">
        <w:rPr>
          <w:rFonts w:cstheme="minorHAnsi"/>
          <w:sz w:val="28"/>
          <w:szCs w:val="28"/>
        </w:rPr>
        <w:tab/>
        <w:t>Trademark</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Identifies the commercial/trade origin of goods or services</w:t>
      </w:r>
      <w:r w:rsidRPr="002A7AE8">
        <w:rPr>
          <w:rFonts w:cstheme="minorHAnsi"/>
          <w:sz w:val="28"/>
          <w:szCs w:val="28"/>
        </w:rPr>
        <w:tab/>
        <w:t>Geographical Indication (GI)</w:t>
      </w:r>
    </w:p>
    <w:p w:rsidR="002A7AE8" w:rsidRPr="002A7AE8" w:rsidRDefault="002A7AE8" w:rsidP="002A7AE8">
      <w:pPr>
        <w:rPr>
          <w:rFonts w:cstheme="minorHAnsi"/>
          <w:sz w:val="28"/>
          <w:szCs w:val="28"/>
        </w:rPr>
      </w:pPr>
      <w:r w:rsidRPr="002A7AE8">
        <w:rPr>
          <w:rFonts w:cstheme="minorHAnsi"/>
          <w:sz w:val="28"/>
          <w:szCs w:val="28"/>
        </w:rPr>
        <w:t>Identifies the geographical origin of goods and qualities, reputation, or characteristics associated with that region</w:t>
      </w:r>
    </w:p>
    <w:p w:rsidR="002A7AE8" w:rsidRPr="002A7AE8" w:rsidRDefault="002A7AE8" w:rsidP="002A7AE8">
      <w:pPr>
        <w:rPr>
          <w:rFonts w:cstheme="minorHAnsi"/>
          <w:sz w:val="28"/>
          <w:szCs w:val="28"/>
        </w:rPr>
      </w:pPr>
      <w:r w:rsidRPr="002A7AE8">
        <w:rPr>
          <w:rFonts w:cstheme="minorHAnsi"/>
          <w:sz w:val="28"/>
          <w:szCs w:val="28"/>
        </w:rPr>
        <w:t>Ownership</w:t>
      </w:r>
      <w:r w:rsidRPr="002A7AE8">
        <w:rPr>
          <w:rFonts w:cstheme="minorHAnsi"/>
          <w:sz w:val="28"/>
          <w:szCs w:val="28"/>
        </w:rPr>
        <w:tab/>
        <w:t>It is an individual proprietary right owned by a person, company, or legal entity</w:t>
      </w:r>
      <w:r w:rsidRPr="002A7AE8">
        <w:rPr>
          <w:rFonts w:cstheme="minorHAnsi"/>
          <w:sz w:val="28"/>
          <w:szCs w:val="28"/>
        </w:rPr>
        <w:tab/>
        <w:t>It is a collective right belonging to all qualifying producers of the concerned geographical region</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Assignability</w:t>
      </w:r>
      <w:r w:rsidRPr="002A7AE8">
        <w:rPr>
          <w:rFonts w:cstheme="minorHAnsi"/>
          <w:sz w:val="28"/>
          <w:szCs w:val="28"/>
        </w:rPr>
        <w:tab/>
      </w:r>
    </w:p>
    <w:p w:rsidR="002A7AE8" w:rsidRPr="002A7AE8" w:rsidRDefault="002A7AE8" w:rsidP="002A7AE8">
      <w:pPr>
        <w:rPr>
          <w:rFonts w:cstheme="minorHAnsi"/>
          <w:sz w:val="28"/>
          <w:szCs w:val="28"/>
        </w:rPr>
      </w:pPr>
      <w:r w:rsidRPr="002A7AE8">
        <w:rPr>
          <w:rFonts w:cstheme="minorHAnsi"/>
          <w:sz w:val="28"/>
          <w:szCs w:val="28"/>
        </w:rPr>
        <w:t>Freely assignable, licensable, and pledgeable</w:t>
      </w:r>
      <w:r w:rsidRPr="002A7AE8">
        <w:rPr>
          <w:rFonts w:cstheme="minorHAnsi"/>
          <w:sz w:val="28"/>
          <w:szCs w:val="28"/>
        </w:rPr>
        <w:tab/>
        <w:t>Cannot be assigned, licensed, transmitted, pledged, mortgaged, or transferred (Section 24, GI Act, 1999)</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Who may apply</w:t>
      </w:r>
      <w:r w:rsidRPr="002A7AE8">
        <w:rPr>
          <w:rFonts w:cstheme="minorHAnsi"/>
          <w:sz w:val="28"/>
          <w:szCs w:val="28"/>
        </w:rPr>
        <w:tab/>
        <w:t>Any person claiming to be the proprietor who uses or intends to use the mark</w:t>
      </w:r>
      <w:r w:rsidRPr="002A7AE8">
        <w:rPr>
          <w:rFonts w:cstheme="minorHAnsi"/>
          <w:sz w:val="28"/>
          <w:szCs w:val="28"/>
        </w:rPr>
        <w:tab/>
        <w:t>Associations of persons, producers, organisations, or authorities representing the interests of producers of the goods</w:t>
      </w:r>
    </w:p>
    <w:p w:rsidR="002A7AE8" w:rsidRPr="002A7AE8" w:rsidRDefault="002A7AE8" w:rsidP="002A7AE8">
      <w:pPr>
        <w:rPr>
          <w:rFonts w:cstheme="minorHAnsi"/>
          <w:sz w:val="28"/>
          <w:szCs w:val="28"/>
        </w:rPr>
      </w:pPr>
      <w:r w:rsidRPr="002A7AE8">
        <w:rPr>
          <w:rFonts w:cstheme="minorHAnsi"/>
          <w:sz w:val="28"/>
          <w:szCs w:val="28"/>
        </w:rPr>
        <w:t>Exclusivity</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Duration</w:t>
      </w:r>
      <w:r w:rsidRPr="002A7AE8">
        <w:rPr>
          <w:rFonts w:cstheme="minorHAnsi"/>
          <w:sz w:val="28"/>
          <w:szCs w:val="28"/>
        </w:rPr>
        <w:tab/>
        <w:t>Generally belongs to a single proprietor or permitted licensee</w:t>
      </w:r>
    </w:p>
    <w:p w:rsidR="002A7AE8" w:rsidRPr="002A7AE8" w:rsidRDefault="002A7AE8" w:rsidP="002A7AE8">
      <w:pPr>
        <w:rPr>
          <w:rFonts w:cstheme="minorHAnsi"/>
          <w:sz w:val="28"/>
          <w:szCs w:val="28"/>
        </w:rPr>
      </w:pPr>
      <w:r w:rsidRPr="002A7AE8">
        <w:rPr>
          <w:rFonts w:cstheme="minorHAnsi"/>
          <w:sz w:val="28"/>
          <w:szCs w:val="28"/>
        </w:rPr>
        <w:t>Registration valid for 10 years and renewable indefinitely; rights may be affected by non-use</w:t>
      </w:r>
      <w:r w:rsidRPr="002A7AE8">
        <w:rPr>
          <w:rFonts w:cstheme="minorHAnsi"/>
          <w:sz w:val="28"/>
          <w:szCs w:val="28"/>
        </w:rPr>
        <w:tab/>
        <w:t>Available to all registered authorised users belonging to the geographical area</w:t>
      </w:r>
    </w:p>
    <w:p w:rsidR="002A7AE8" w:rsidRPr="002A7AE8" w:rsidRDefault="002A7AE8" w:rsidP="002A7AE8">
      <w:pPr>
        <w:rPr>
          <w:rFonts w:cstheme="minorHAnsi"/>
          <w:sz w:val="28"/>
          <w:szCs w:val="28"/>
        </w:rPr>
      </w:pPr>
      <w:r w:rsidRPr="002A7AE8">
        <w:rPr>
          <w:rFonts w:cstheme="minorHAnsi"/>
          <w:sz w:val="28"/>
          <w:szCs w:val="28"/>
        </w:rPr>
        <w:t>Registration valid for 10 years and renewable; collective nature makes abandonment less likely</w:t>
      </w:r>
    </w:p>
    <w:p w:rsidR="002A7AE8" w:rsidRPr="002A7AE8" w:rsidRDefault="002A7AE8" w:rsidP="002A7AE8">
      <w:pPr>
        <w:rPr>
          <w:rFonts w:cstheme="minorHAnsi"/>
          <w:sz w:val="28"/>
          <w:szCs w:val="28"/>
        </w:rPr>
      </w:pPr>
      <w:r w:rsidRPr="002A7AE8">
        <w:rPr>
          <w:rFonts w:cstheme="minorHAnsi"/>
          <w:sz w:val="28"/>
          <w:szCs w:val="28"/>
        </w:rPr>
        <w:t>Regulation / Governing Law</w:t>
      </w:r>
      <w:r w:rsidRPr="002A7AE8">
        <w:rPr>
          <w:rFonts w:cstheme="minorHAnsi"/>
          <w:sz w:val="28"/>
          <w:szCs w:val="28"/>
        </w:rPr>
        <w:tab/>
        <w:t>Governed by the Trade Marks Act, 1999</w:t>
      </w:r>
      <w:r w:rsidRPr="002A7AE8">
        <w:rPr>
          <w:rFonts w:cstheme="minorHAnsi"/>
          <w:sz w:val="28"/>
          <w:szCs w:val="28"/>
        </w:rPr>
        <w:tab/>
        <w:t>Governed by the Geographical Indications of Goods (Registration and Protection) Act, 1999</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Conflict Rule</w:t>
      </w:r>
      <w:r w:rsidRPr="002A7AE8">
        <w:rPr>
          <w:rFonts w:cstheme="minorHAnsi"/>
          <w:sz w:val="28"/>
          <w:szCs w:val="28"/>
        </w:rPr>
        <w:tab/>
        <w:t>A trademark containing or consisting of a GI that misleads the public may be refused or invalidated (Section 25, GI Act, 1999)</w:t>
      </w:r>
      <w:r w:rsidRPr="002A7AE8">
        <w:rPr>
          <w:rFonts w:cstheme="minorHAnsi"/>
          <w:sz w:val="28"/>
          <w:szCs w:val="28"/>
        </w:rPr>
        <w:tab/>
        <w:t>Good faith pre-existing trademarks are protected and may continue despite GI registration (Section 26, GI Act, 1999)</w:t>
      </w:r>
    </w:p>
    <w:p w:rsidR="002A7AE8" w:rsidRPr="002A7AE8" w:rsidRDefault="002A7AE8" w:rsidP="002A7AE8">
      <w:pPr>
        <w:rPr>
          <w:rFonts w:cstheme="minorHAnsi"/>
          <w:sz w:val="28"/>
          <w:szCs w:val="28"/>
        </w:rPr>
      </w:pPr>
      <w:r w:rsidRPr="002A7AE8">
        <w:rPr>
          <w:rFonts w:cstheme="minorHAnsi"/>
          <w:sz w:val="28"/>
          <w:szCs w:val="28"/>
        </w:rPr>
        <w:t>Case laws</w:t>
      </w:r>
    </w:p>
    <w:p w:rsidR="002A7AE8" w:rsidRPr="002A7AE8" w:rsidRDefault="002A7AE8" w:rsidP="002A7AE8">
      <w:pPr>
        <w:rPr>
          <w:rFonts w:cstheme="minorHAnsi"/>
          <w:sz w:val="28"/>
          <w:szCs w:val="28"/>
        </w:rPr>
      </w:pPr>
      <w:r w:rsidRPr="002A7AE8">
        <w:rPr>
          <w:rFonts w:cstheme="minorHAnsi"/>
          <w:sz w:val="28"/>
          <w:szCs w:val="28"/>
        </w:rPr>
        <w:t>Tea Board, India v. ITC Limited, Calcutta High Court, 20 April 2011 and 24 August 2011</w:t>
      </w:r>
    </w:p>
    <w:p w:rsidR="002A7AE8" w:rsidRPr="002A7AE8" w:rsidRDefault="002A7AE8" w:rsidP="002A7AE8">
      <w:pPr>
        <w:rPr>
          <w:rFonts w:cstheme="minorHAnsi"/>
          <w:sz w:val="28"/>
          <w:szCs w:val="28"/>
        </w:rPr>
      </w:pPr>
      <w:r w:rsidRPr="002A7AE8">
        <w:rPr>
          <w:rFonts w:cstheme="minorHAnsi"/>
          <w:sz w:val="28"/>
          <w:szCs w:val="28"/>
        </w:rPr>
        <w:t>Facts: The Tea Board held both a registered GI and a certification trademark for 'Darjeeling' in relation to tea. ITC used 'Darjeeling Lounge' as the name of a hotel lounge. The Tea Board alleged infringement both of its GI and its certification trademark, raising the question of the relationship between these two types of IP protection.</w:t>
      </w:r>
    </w:p>
    <w:p w:rsidR="002A7AE8" w:rsidRPr="002A7AE8" w:rsidRDefault="002A7AE8" w:rsidP="002A7AE8">
      <w:pPr>
        <w:rPr>
          <w:rFonts w:cstheme="minorHAnsi"/>
          <w:sz w:val="28"/>
          <w:szCs w:val="28"/>
        </w:rPr>
      </w:pPr>
      <w:r w:rsidRPr="002A7AE8">
        <w:rPr>
          <w:rFonts w:cstheme="minorHAnsi"/>
          <w:sz w:val="28"/>
          <w:szCs w:val="28"/>
        </w:rPr>
        <w:t>Issues: Whether the rights conferred by a certification trademark and a GI are co-extensive. Whether the GI Act and the Trade Marks Act offer different levels of protection. Whether use of a GI-incorporated term outside the registered goods category amounts to infringement of either the trademark or the GI.</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Held: The court drew a clear distinction between a certification trademark and a GI. While a certification trademark under the Trade Marks Act may confer broader and more trademark-like rights including the right to sue for infringement in wider circumstances, the GI Act limits protection to goods. The court held that the use of 'Darjeeling' as the name of a hospitality lounge did not infringe the GI for Darjeeling tea since the GI Act does not protect services. Similarly, no prima facie case of trademark infringement or passing off was made out. The case illustrates that a geographical name may simultaneously be a GI and a certification trademark, but the scope of rights under each regime differs.</w:t>
      </w:r>
    </w:p>
    <w:p w:rsidR="002A7AE8" w:rsidRPr="002A7AE8" w:rsidRDefault="002A7AE8" w:rsidP="002A7AE8">
      <w:pPr>
        <w:rPr>
          <w:rFonts w:cstheme="minorHAnsi"/>
          <w:sz w:val="28"/>
          <w:szCs w:val="28"/>
        </w:rPr>
      </w:pPr>
      <w:r w:rsidRPr="002A7AE8">
        <w:rPr>
          <w:rFonts w:cstheme="minorHAnsi"/>
          <w:sz w:val="28"/>
          <w:szCs w:val="28"/>
        </w:rPr>
        <w:t>Scotch Whisky Association and others v. Golden Bottling Limited, Delhi High Court, 20 April 2006, 129 (2006) DLT 423</w:t>
      </w:r>
    </w:p>
    <w:p w:rsidR="002A7AE8" w:rsidRPr="002A7AE8" w:rsidRDefault="002A7AE8" w:rsidP="002A7AE8">
      <w:pPr>
        <w:rPr>
          <w:rFonts w:cstheme="minorHAnsi"/>
          <w:sz w:val="28"/>
          <w:szCs w:val="28"/>
        </w:rPr>
      </w:pPr>
      <w:r w:rsidRPr="002A7AE8">
        <w:rPr>
          <w:rFonts w:cstheme="minorHAnsi"/>
          <w:sz w:val="28"/>
          <w:szCs w:val="28"/>
        </w:rPr>
        <w:t>Facts: The defendant used the word 'Scot' on Indian-made whisky. 'Scotch' had not been registered as a GI in India at the time but was internationally recognised as a GI. The plaintiffs argued that even without domestic GI registration, the term should not be available as a component of a trademark on non-Scottish whisky.</w:t>
      </w:r>
    </w:p>
    <w:p w:rsidR="002A7AE8" w:rsidRPr="002A7AE8" w:rsidRDefault="002A7AE8" w:rsidP="002A7AE8">
      <w:pPr>
        <w:rPr>
          <w:rFonts w:cstheme="minorHAnsi"/>
          <w:sz w:val="28"/>
          <w:szCs w:val="28"/>
        </w:rPr>
      </w:pPr>
      <w:r w:rsidRPr="002A7AE8">
        <w:rPr>
          <w:rFonts w:cstheme="minorHAnsi"/>
          <w:sz w:val="28"/>
          <w:szCs w:val="28"/>
        </w:rPr>
        <w:t>Issues: Can a geographical indication that is not registered in India be used as part of a trademark or product name in India. What is the relationship between GI protection and the law of passing off.</w:t>
      </w:r>
    </w:p>
    <w:p w:rsidR="002A7AE8" w:rsidRPr="002A7AE8" w:rsidRDefault="002A7AE8" w:rsidP="002A7AE8">
      <w:pPr>
        <w:rPr>
          <w:rFonts w:cstheme="minorHAnsi"/>
          <w:sz w:val="28"/>
          <w:szCs w:val="28"/>
        </w:rPr>
      </w:pPr>
      <w:r w:rsidRPr="002A7AE8">
        <w:rPr>
          <w:rFonts w:cstheme="minorHAnsi"/>
          <w:sz w:val="28"/>
          <w:szCs w:val="28"/>
        </w:rPr>
        <w:t>Held: The court held that the use of 'Scot' on non-Scottish whisky amounted to passing off. Even though formal GI registration was absent, the geographical connotation of the word was so strong and well-established that its use on non-Scottish products was inherently deceptive. The court noted the difference between trademark rights (which may allow use of geographical names as brands in certain circumstances) and the policy underlying GI protection (which seeks to prevent any misleading geographical attribution).</w:t>
      </w:r>
    </w:p>
    <w:p w:rsidR="002A7AE8" w:rsidRPr="002A7AE8" w:rsidRDefault="002A7AE8" w:rsidP="002A7AE8">
      <w:pPr>
        <w:rPr>
          <w:rFonts w:cstheme="minorHAnsi"/>
          <w:sz w:val="28"/>
          <w:szCs w:val="28"/>
        </w:rPr>
      </w:pPr>
      <w:r w:rsidRPr="002A7AE8">
        <w:rPr>
          <w:rFonts w:cstheme="minorHAnsi"/>
          <w:sz w:val="28"/>
          <w:szCs w:val="28"/>
        </w:rPr>
        <w:t>The decision reinforces the principle that geographical names with a strong GI character should not be monopolised as private trademarks.</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While both trademarks and geographical indications are instruments of intellectual property operating in the commercial sphere, they differ fundamentally in their nature, purpose, and legal incidents. A trademark is a private, assignable, commercial sign indicating business origin. A GI is a collective, inalienable sign indicating geographical origin and the associated qualities of goods. The interaction between the two regimes — as governed by Sections 25 and 26 of the GI Act — attempts to balance the interests of legitimate GI holders and established trademark owners. The judicial trend in India, reinforced by international GI jurisprudence, reflects an increasing sensitivity to the need to prevent geographical names from being monopolised as private trademarks and to ensure that the collective patrimony of a region's producers is adequately protected.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Layout designs/topographies of integrated circuits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Introduction</w:t>
      </w:r>
    </w:p>
    <w:p w:rsidR="002A7AE8" w:rsidRPr="002A7AE8" w:rsidRDefault="002A7AE8" w:rsidP="002A7AE8">
      <w:pPr>
        <w:rPr>
          <w:rFonts w:cstheme="minorHAnsi"/>
          <w:sz w:val="28"/>
          <w:szCs w:val="28"/>
        </w:rPr>
      </w:pPr>
      <w:r w:rsidRPr="002A7AE8">
        <w:rPr>
          <w:rFonts w:cstheme="minorHAnsi"/>
          <w:sz w:val="28"/>
          <w:szCs w:val="28"/>
        </w:rPr>
        <w:t>The rapid advancement of electronics and computer technology has placed semiconductor integrated circuits at the core of virtually every modern device</w:t>
      </w:r>
    </w:p>
    <w:p w:rsidR="002A7AE8" w:rsidRPr="002A7AE8" w:rsidRDefault="002A7AE8" w:rsidP="002A7AE8">
      <w:pPr>
        <w:rPr>
          <w:rFonts w:cstheme="minorHAnsi"/>
          <w:sz w:val="28"/>
          <w:szCs w:val="28"/>
        </w:rPr>
      </w:pPr>
      <w:r w:rsidRPr="002A7AE8">
        <w:rPr>
          <w:rFonts w:cstheme="minorHAnsi"/>
          <w:sz w:val="28"/>
          <w:szCs w:val="28"/>
        </w:rPr>
        <w:t>— from smartphones and automobiles to medical equipment and communication systems. An integrated circuit (IC) is far more than a collection of components; its value lies in the unique, three-dimensional arrangement of those components, referred to as its layout-design or topography. Designing such a layout demands significant intellectual effort, technical skill, and financial investment. Unauthorised copying of these designs causes serious economic harm to their creators and discourages further innovation.</w:t>
      </w:r>
    </w:p>
    <w:p w:rsidR="002A7AE8" w:rsidRPr="002A7AE8" w:rsidRDefault="002A7AE8" w:rsidP="002A7AE8">
      <w:pPr>
        <w:rPr>
          <w:rFonts w:cstheme="minorHAnsi"/>
          <w:sz w:val="28"/>
          <w:szCs w:val="28"/>
        </w:rPr>
      </w:pPr>
      <w:r w:rsidRPr="002A7AE8">
        <w:rPr>
          <w:rFonts w:cstheme="minorHAnsi"/>
          <w:sz w:val="28"/>
          <w:szCs w:val="28"/>
        </w:rPr>
        <w:t>Globally, the protection of semiconductor layout-designs gained recognition through the Treaty on Intellectual Property in Respect of Integrated Circuits (IPIC Treaty/Washington Treaty, 1989) and subsequently through Section 6 of Part II of the Agreement on Trade-Related Aspects of Intellectual Property Rights (TRIPS), 1994, specifically Articles 35 to 38. India, as a founding WTO member, enacted the Semiconductor Integrated Circuits Layout-Design Act, 2000 (hereinafter referred to as the SICLD Act or the Act), which came into force progressively from 2004 onwards, with its substantive protection provisions operational from May 2011.</w:t>
      </w:r>
    </w:p>
    <w:p w:rsidR="002A7AE8" w:rsidRPr="002A7AE8" w:rsidRDefault="002A7AE8" w:rsidP="002A7AE8">
      <w:pPr>
        <w:rPr>
          <w:rFonts w:cstheme="minorHAnsi"/>
          <w:sz w:val="28"/>
          <w:szCs w:val="28"/>
        </w:rPr>
      </w:pPr>
      <w:r w:rsidRPr="002A7AE8">
        <w:rPr>
          <w:rFonts w:cstheme="minorHAnsi"/>
          <w:sz w:val="28"/>
          <w:szCs w:val="28"/>
        </w:rPr>
        <w:t>The Act creates a complete statutory framework covering registration of layout-designs, the rights flowing from registration, protection against infringement, remedies available to rights holders, assignment and transmission of rights, and criminal penalties for violations.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Meaning of the concept</w:t>
      </w:r>
    </w:p>
    <w:p w:rsidR="002A7AE8" w:rsidRPr="002A7AE8" w:rsidRDefault="002A7AE8" w:rsidP="002A7AE8">
      <w:pPr>
        <w:rPr>
          <w:rFonts w:cstheme="minorHAnsi"/>
          <w:sz w:val="28"/>
          <w:szCs w:val="28"/>
        </w:rPr>
      </w:pPr>
      <w:r w:rsidRPr="002A7AE8">
        <w:rPr>
          <w:rFonts w:cstheme="minorHAnsi"/>
          <w:sz w:val="28"/>
          <w:szCs w:val="28"/>
        </w:rPr>
        <w:t>A layout-design, also called the topography of an integrated circuit, refers to the three-dimensional arrangement or mapping of transistors, resistors, capacitors, diodes, and the conductive wires or lead wires that interconnect them, as embedded on a semiconductor substrate. The term "topography" describes the layered terrain of the chip produced through photolithographic manufacturing processes, where successive layers are etched using photomasks that direct light at specific locations.</w:t>
      </w:r>
    </w:p>
    <w:p w:rsidR="002A7AE8" w:rsidRPr="002A7AE8" w:rsidRDefault="002A7AE8" w:rsidP="002A7AE8">
      <w:pPr>
        <w:rPr>
          <w:rFonts w:cstheme="minorHAnsi"/>
          <w:sz w:val="28"/>
          <w:szCs w:val="28"/>
        </w:rPr>
      </w:pPr>
      <w:r w:rsidRPr="002A7AE8">
        <w:rPr>
          <w:rFonts w:cstheme="minorHAnsi"/>
          <w:sz w:val="28"/>
          <w:szCs w:val="28"/>
        </w:rPr>
        <w:t>What makes this subject matter distinctive in intellectual property law is its dual nature: it is functional yet creative. The individual components used in a layout-design may be entirely commonplace and well-known to every chip engineer; what matters is how they are arranged and connected. This creative spatial organisation, if original, qualifies for protection. Since it is too functional for copyright protection and typically not inventive enough for patent protection, most jurisdictions — including India — have adopted sui generis legislation specifically tailored to this form of intellectual property.</w:t>
      </w:r>
    </w:p>
    <w:p w:rsidR="002A7AE8" w:rsidRPr="002A7AE8" w:rsidRDefault="002A7AE8" w:rsidP="002A7AE8">
      <w:pPr>
        <w:rPr>
          <w:rFonts w:cstheme="minorHAnsi"/>
          <w:sz w:val="28"/>
          <w:szCs w:val="28"/>
        </w:rPr>
      </w:pPr>
      <w:r w:rsidRPr="002A7AE8">
        <w:rPr>
          <w:rFonts w:cstheme="minorHAnsi"/>
          <w:sz w:val="28"/>
          <w:szCs w:val="28"/>
        </w:rPr>
        <w:t>Originality is the central criterion for protection. A layout-design qualifies as original when it results from the creator's own intellectual effort and is not commonly known among creators of layout-designs and manufacturers of semiconductor integrated circuits at the time of its creation. Even a design that combines known elements can qualify as original if the overall combination reflects independent intellectual effort.</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Definition under the Semiconductor Integrated Circuits Layout-Design Act,</w:t>
      </w:r>
    </w:p>
    <w:p w:rsidR="002A7AE8" w:rsidRPr="002A7AE8" w:rsidRDefault="002A7AE8" w:rsidP="002A7AE8">
      <w:pPr>
        <w:rPr>
          <w:rFonts w:cstheme="minorHAnsi"/>
          <w:sz w:val="28"/>
          <w:szCs w:val="28"/>
        </w:rPr>
      </w:pPr>
      <w:r w:rsidRPr="002A7AE8">
        <w:rPr>
          <w:rFonts w:cstheme="minorHAnsi"/>
          <w:sz w:val="28"/>
          <w:szCs w:val="28"/>
        </w:rPr>
        <w:t>2000</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2(h) — Layout-design</w:t>
      </w:r>
    </w:p>
    <w:p w:rsidR="002A7AE8" w:rsidRPr="002A7AE8" w:rsidRDefault="002A7AE8" w:rsidP="002A7AE8">
      <w:pPr>
        <w:rPr>
          <w:rFonts w:cstheme="minorHAnsi"/>
          <w:sz w:val="28"/>
          <w:szCs w:val="28"/>
        </w:rPr>
      </w:pPr>
      <w:r w:rsidRPr="002A7AE8">
        <w:rPr>
          <w:rFonts w:cstheme="minorHAnsi"/>
          <w:sz w:val="28"/>
          <w:szCs w:val="28"/>
        </w:rPr>
        <w:t>"layout-design" means a layout of transistors and other circuitry elements and includes lead wires connecting such elements and expressed in any manner in a semiconductor integrated circuit;</w:t>
      </w:r>
    </w:p>
    <w:p w:rsidR="002A7AE8" w:rsidRPr="002A7AE8" w:rsidRDefault="002A7AE8" w:rsidP="002A7AE8">
      <w:pPr>
        <w:rPr>
          <w:rFonts w:cstheme="minorHAnsi"/>
          <w:sz w:val="28"/>
          <w:szCs w:val="28"/>
        </w:rPr>
      </w:pPr>
      <w:r w:rsidRPr="002A7AE8">
        <w:rPr>
          <w:rFonts w:cstheme="minorHAnsi"/>
          <w:sz w:val="28"/>
          <w:szCs w:val="28"/>
        </w:rPr>
        <w:t>Key words: "layout of transistors and other circuitry elements" — the definition covers the full spatial arrangement of active and passive components. "Includes lead wires connecting such elements" — the connecting wires are explicitly part of the protected subject matter, acknowledging that the pattern of interconnections is as much a creative choice as the placement of components. "Expressed in any manner" — the mode of expression is irrelevant; the design attracts protection whether it is recorded on paper, stored digitally, or embodied in a physical chip. This breadth ensures that no creative rendition of a circuit arrangement escapes the Act's coverage.</w:t>
      </w:r>
    </w:p>
    <w:p w:rsidR="002A7AE8" w:rsidRPr="002A7AE8" w:rsidRDefault="002A7AE8" w:rsidP="002A7AE8">
      <w:pPr>
        <w:rPr>
          <w:rFonts w:cstheme="minorHAnsi"/>
          <w:sz w:val="28"/>
          <w:szCs w:val="28"/>
        </w:rPr>
      </w:pPr>
      <w:r w:rsidRPr="002A7AE8">
        <w:rPr>
          <w:rFonts w:cstheme="minorHAnsi"/>
          <w:sz w:val="28"/>
          <w:szCs w:val="28"/>
        </w:rPr>
        <w:t>Section 2(r) — Semiconductor integrated circuit</w:t>
      </w:r>
    </w:p>
    <w:p w:rsidR="002A7AE8" w:rsidRPr="002A7AE8" w:rsidRDefault="002A7AE8" w:rsidP="002A7AE8">
      <w:pPr>
        <w:rPr>
          <w:rFonts w:cstheme="minorHAnsi"/>
          <w:sz w:val="28"/>
          <w:szCs w:val="28"/>
        </w:rPr>
      </w:pPr>
      <w:r w:rsidRPr="002A7AE8">
        <w:rPr>
          <w:rFonts w:cstheme="minorHAnsi"/>
          <w:sz w:val="28"/>
          <w:szCs w:val="28"/>
        </w:rPr>
        <w:t>"semiconductor integrated circuit" means a product having transistors and other circuitry elements which are inseparably formed on a semiconductor material or an insulating material or inside the semiconductor material and designed to perform an electronic circuitry function;</w:t>
      </w:r>
    </w:p>
    <w:p w:rsidR="002A7AE8" w:rsidRPr="002A7AE8" w:rsidRDefault="002A7AE8" w:rsidP="002A7AE8">
      <w:pPr>
        <w:rPr>
          <w:rFonts w:cstheme="minorHAnsi"/>
          <w:sz w:val="28"/>
          <w:szCs w:val="28"/>
        </w:rPr>
      </w:pPr>
      <w:r w:rsidRPr="002A7AE8">
        <w:rPr>
          <w:rFonts w:cstheme="minorHAnsi"/>
          <w:sz w:val="28"/>
          <w:szCs w:val="28"/>
        </w:rPr>
        <w:t>Key words: "inseparably formed" — the components are permanently embedded and cannot be removed without destroying the circuit, distinguishing an IC from an assembly of discrete components. "Designed to perform an electronic circuitry function" — the definition is purposive; the product must be created with the specific aim of performing an electronic function, ensuring that raw semiconductor material is excluded. The definition covers chips in microprocessors, memory modules, and all other purpose-built semiconductor products.</w:t>
      </w:r>
    </w:p>
    <w:p w:rsidR="002A7AE8" w:rsidRPr="002A7AE8" w:rsidRDefault="002A7AE8" w:rsidP="002A7AE8">
      <w:pPr>
        <w:rPr>
          <w:rFonts w:cstheme="minorHAnsi"/>
          <w:sz w:val="28"/>
          <w:szCs w:val="28"/>
        </w:rPr>
      </w:pPr>
      <w:r w:rsidRPr="002A7AE8">
        <w:rPr>
          <w:rFonts w:cstheme="minorHAnsi"/>
          <w:sz w:val="28"/>
          <w:szCs w:val="28"/>
        </w:rPr>
        <w:t>Section 2(e) — Commercial exploitation</w:t>
      </w:r>
    </w:p>
    <w:p w:rsidR="002A7AE8" w:rsidRPr="002A7AE8" w:rsidRDefault="002A7AE8" w:rsidP="002A7AE8">
      <w:pPr>
        <w:rPr>
          <w:rFonts w:cstheme="minorHAnsi"/>
          <w:sz w:val="28"/>
          <w:szCs w:val="28"/>
        </w:rPr>
      </w:pPr>
      <w:r w:rsidRPr="002A7AE8">
        <w:rPr>
          <w:rFonts w:cstheme="minorHAnsi"/>
          <w:sz w:val="28"/>
          <w:szCs w:val="28"/>
        </w:rPr>
        <w:t>"commercial exploitation", in relation to Semiconductor Integrated Circuits Layout-Design, means to sell, lease, offer or exhibit for sale or otherwise distribute such semiconductor integrated circuit for any commercial purpose;</w:t>
      </w:r>
    </w:p>
    <w:p w:rsidR="002A7AE8" w:rsidRPr="002A7AE8" w:rsidRDefault="002A7AE8" w:rsidP="002A7AE8">
      <w:pPr>
        <w:rPr>
          <w:rFonts w:cstheme="minorHAnsi"/>
          <w:sz w:val="28"/>
          <w:szCs w:val="28"/>
        </w:rPr>
      </w:pPr>
      <w:r w:rsidRPr="002A7AE8">
        <w:rPr>
          <w:rFonts w:cstheme="minorHAnsi"/>
          <w:sz w:val="28"/>
          <w:szCs w:val="28"/>
        </w:rPr>
        <w:t>Key words: "sell, lease, offer or exhibit for sale or otherwise distribute" — the definition deliberately casts a wide net to prevent circumvention through alternative modes of placing the circuit on the market. "For any commercial purpose" — purely non-commercial use, such as in-house testing or academic study, falls outside this definition. This definition is critical because the ten-year protection term under Section 15 begins from the earlier of the filing date or the date of first commercial exploitation anywhere in the world.</w:t>
      </w:r>
    </w:p>
    <w:p w:rsidR="002A7AE8" w:rsidRPr="002A7AE8" w:rsidRDefault="002A7AE8" w:rsidP="002A7AE8">
      <w:pPr>
        <w:rPr>
          <w:rFonts w:cstheme="minorHAnsi"/>
          <w:sz w:val="28"/>
          <w:szCs w:val="28"/>
        </w:rPr>
      </w:pPr>
      <w:r w:rsidRPr="002A7AE8">
        <w:rPr>
          <w:rFonts w:cstheme="minorHAnsi"/>
          <w:sz w:val="28"/>
          <w:szCs w:val="28"/>
        </w:rPr>
        <w:t>4.</w:t>
      </w:r>
      <w:r w:rsidRPr="002A7AE8">
        <w:rPr>
          <w:rFonts w:cstheme="minorHAnsi"/>
          <w:sz w:val="28"/>
          <w:szCs w:val="28"/>
        </w:rPr>
        <w:tab/>
        <w:t>International framework and position under Indian law The IPIC Treaty (Washington Treaty), 1989</w:t>
      </w:r>
    </w:p>
    <w:p w:rsidR="002A7AE8" w:rsidRPr="002A7AE8" w:rsidRDefault="002A7AE8" w:rsidP="002A7AE8">
      <w:pPr>
        <w:rPr>
          <w:rFonts w:cstheme="minorHAnsi"/>
          <w:sz w:val="28"/>
          <w:szCs w:val="28"/>
        </w:rPr>
      </w:pPr>
      <w:r w:rsidRPr="002A7AE8">
        <w:rPr>
          <w:rFonts w:cstheme="minorHAnsi"/>
          <w:sz w:val="28"/>
          <w:szCs w:val="28"/>
        </w:rPr>
        <w:t>The Treaty on Intellectual Property in Respect of Integrated Circuits, adopted at Washington D.C. in 1989 under WIPO's auspices, was the first dedicated international instrument for the protection of IC layout-designs. It required contracting parties to provide exclusive rights in original layout-designs for at least eight years from filing or first commercial exploitation. It permitted</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exceptions for private use, reverse engineering for analysis, and educational use. The Treaty never entered into force independently due to insufficient ratifications, but its substantive provisions were incorporated by reference into the TRIPS Agreement.</w:t>
      </w:r>
    </w:p>
    <w:p w:rsidR="002A7AE8" w:rsidRPr="002A7AE8" w:rsidRDefault="002A7AE8" w:rsidP="002A7AE8">
      <w:pPr>
        <w:rPr>
          <w:rFonts w:cstheme="minorHAnsi"/>
          <w:sz w:val="28"/>
          <w:szCs w:val="28"/>
        </w:rPr>
      </w:pPr>
      <w:r w:rsidRPr="002A7AE8">
        <w:rPr>
          <w:rFonts w:cstheme="minorHAnsi"/>
          <w:sz w:val="28"/>
          <w:szCs w:val="28"/>
        </w:rPr>
        <w:t>TRIPS Agreement, 1994 — Section 6 (Articles 35 to 38)</w:t>
      </w:r>
    </w:p>
    <w:p w:rsidR="002A7AE8" w:rsidRPr="002A7AE8" w:rsidRDefault="002A7AE8" w:rsidP="002A7AE8">
      <w:pPr>
        <w:rPr>
          <w:rFonts w:cstheme="minorHAnsi"/>
          <w:sz w:val="28"/>
          <w:szCs w:val="28"/>
        </w:rPr>
      </w:pPr>
      <w:r w:rsidRPr="002A7AE8">
        <w:rPr>
          <w:rFonts w:cstheme="minorHAnsi"/>
          <w:sz w:val="28"/>
          <w:szCs w:val="28"/>
        </w:rPr>
        <w:t>Section 6 of Part II of the TRIPS Agreement is the primary binding international framework for WTO Members.</w:t>
      </w:r>
    </w:p>
    <w:p w:rsidR="002A7AE8" w:rsidRPr="002A7AE8" w:rsidRDefault="002A7AE8" w:rsidP="002A7AE8">
      <w:pPr>
        <w:rPr>
          <w:rFonts w:cstheme="minorHAnsi"/>
          <w:sz w:val="28"/>
          <w:szCs w:val="28"/>
        </w:rPr>
      </w:pPr>
      <w:r w:rsidRPr="002A7AE8">
        <w:rPr>
          <w:rFonts w:cstheme="minorHAnsi"/>
          <w:sz w:val="28"/>
          <w:szCs w:val="28"/>
        </w:rPr>
        <w:t>Article 35 requires all WTO Members to protect layout-designs in accordance with Articles 2 through 7 (other than Article 6(3)), Article 12, and Article 16(3) of the IPIC Treaty, along with the additional provisions of Articles 36 to 38 of TRIPS. This effectively incorporates the IPIC definitions, the originality requirement, and the basic structure of exclusive rights into the binding TRIPS obligations.</w:t>
      </w:r>
    </w:p>
    <w:p w:rsidR="002A7AE8" w:rsidRPr="002A7AE8" w:rsidRDefault="002A7AE8" w:rsidP="002A7AE8">
      <w:pPr>
        <w:rPr>
          <w:rFonts w:cstheme="minorHAnsi"/>
          <w:sz w:val="28"/>
          <w:szCs w:val="28"/>
        </w:rPr>
      </w:pPr>
      <w:r w:rsidRPr="002A7AE8">
        <w:rPr>
          <w:rFonts w:cstheme="minorHAnsi"/>
          <w:sz w:val="28"/>
          <w:szCs w:val="28"/>
        </w:rPr>
        <w:t>Article 36 mandates that Members treat as unlawful — without the right holder's authorisation — the acts of importing, selling, or otherwise distributing for commercial purposes a protected layout-design, an IC incorporating it, or an article containing such an IC. The protection extends down the distribution chain as long as the article continues to contain the unlawfully reproduced design.</w:t>
      </w:r>
    </w:p>
    <w:p w:rsidR="002A7AE8" w:rsidRPr="002A7AE8" w:rsidRDefault="002A7AE8" w:rsidP="002A7AE8">
      <w:pPr>
        <w:rPr>
          <w:rFonts w:cstheme="minorHAnsi"/>
          <w:sz w:val="28"/>
          <w:szCs w:val="28"/>
        </w:rPr>
      </w:pPr>
      <w:r w:rsidRPr="002A7AE8">
        <w:rPr>
          <w:rFonts w:cstheme="minorHAnsi"/>
          <w:sz w:val="28"/>
          <w:szCs w:val="28"/>
        </w:rPr>
        <w:t>Article 37 sets out the exceptions: private acts, acts performed solely for the purpose of evaluation, analysis, or teaching, and reverse engineering resulting in an independently original layout-design do not require authorisation. It also addresses the innocent infringer — a person who unknowingly acquires an infringing IC — who may continue dealing in existing stock upon payment of royalty to the right holder.</w:t>
      </w:r>
    </w:p>
    <w:p w:rsidR="002A7AE8" w:rsidRPr="002A7AE8" w:rsidRDefault="002A7AE8" w:rsidP="002A7AE8">
      <w:pPr>
        <w:rPr>
          <w:rFonts w:cstheme="minorHAnsi"/>
          <w:sz w:val="28"/>
          <w:szCs w:val="28"/>
        </w:rPr>
      </w:pPr>
      <w:r w:rsidRPr="002A7AE8">
        <w:rPr>
          <w:rFonts w:cstheme="minorHAnsi"/>
          <w:sz w:val="28"/>
          <w:szCs w:val="28"/>
        </w:rPr>
        <w:t>Article 38 fixes the minimum term of protection: at least ten years from the date of filing an application for registration or from the first commercial exploitation of the layout-design, whichever occurs first, where registration is a condition of protection.</w:t>
      </w:r>
    </w:p>
    <w:p w:rsidR="002A7AE8" w:rsidRPr="002A7AE8" w:rsidRDefault="002A7AE8" w:rsidP="002A7AE8">
      <w:pPr>
        <w:rPr>
          <w:rFonts w:cstheme="minorHAnsi"/>
          <w:sz w:val="28"/>
          <w:szCs w:val="28"/>
        </w:rPr>
      </w:pPr>
      <w:r w:rsidRPr="002A7AE8">
        <w:rPr>
          <w:rFonts w:cstheme="minorHAnsi"/>
          <w:sz w:val="28"/>
          <w:szCs w:val="28"/>
        </w:rPr>
        <w:t>Position under Indian law</w:t>
      </w:r>
    </w:p>
    <w:p w:rsidR="002A7AE8" w:rsidRPr="002A7AE8" w:rsidRDefault="002A7AE8" w:rsidP="002A7AE8">
      <w:pPr>
        <w:rPr>
          <w:rFonts w:cstheme="minorHAnsi"/>
          <w:sz w:val="28"/>
          <w:szCs w:val="28"/>
        </w:rPr>
      </w:pPr>
      <w:r w:rsidRPr="002A7AE8">
        <w:rPr>
          <w:rFonts w:cstheme="minorHAnsi"/>
          <w:sz w:val="28"/>
          <w:szCs w:val="28"/>
        </w:rPr>
        <w:t>India enacted the SICLD Act, 2000 to comply with TRIPS Section 6. The Act was assented to on 4 September 2000, but its substantive provisions — including registration, rights, infringement, and penalties — came into force progressively: Sections 3 and 5 (Registrar and Registry) from 1 May 2004, and the remaining protective provisions from 1 May 2011. The Patents Act, 1970 was also amended in 2002 by inserting Section 3(o), which excludes the topography of integrated circuits from patentability, channelling all such protection through the SICLD Act exclusively.</w:t>
      </w:r>
    </w:p>
    <w:p w:rsidR="002A7AE8" w:rsidRPr="002A7AE8" w:rsidRDefault="002A7AE8" w:rsidP="002A7AE8">
      <w:pPr>
        <w:rPr>
          <w:rFonts w:cstheme="minorHAnsi"/>
          <w:sz w:val="28"/>
          <w:szCs w:val="28"/>
        </w:rPr>
      </w:pPr>
      <w:r w:rsidRPr="002A7AE8">
        <w:rPr>
          <w:rFonts w:cstheme="minorHAnsi"/>
          <w:sz w:val="28"/>
          <w:szCs w:val="28"/>
        </w:rPr>
        <w:t>India has not independently acceded to the IPIC Treaty. International protection for Indian layout-designs in foreign countries depends on bilateral or multilateral arrangements. Sections 93 and 94 of the Act provide a convention country framework, allowing the Central Government to extend reciprocal protection to nationals of countries that afford equivalent rights to Indian citizens.</w:t>
      </w:r>
    </w:p>
    <w:p w:rsidR="002A7AE8" w:rsidRPr="002A7AE8" w:rsidRDefault="002A7AE8" w:rsidP="002A7AE8">
      <w:pPr>
        <w:rPr>
          <w:rFonts w:cstheme="minorHAnsi"/>
          <w:sz w:val="28"/>
          <w:szCs w:val="28"/>
        </w:rPr>
      </w:pPr>
      <w:r w:rsidRPr="002A7AE8">
        <w:rPr>
          <w:rFonts w:cstheme="minorHAnsi"/>
          <w:sz w:val="28"/>
          <w:szCs w:val="28"/>
        </w:rPr>
        <w:t>5.</w:t>
      </w:r>
      <w:r w:rsidRPr="002A7AE8">
        <w:rPr>
          <w:rFonts w:cstheme="minorHAnsi"/>
          <w:sz w:val="28"/>
          <w:szCs w:val="28"/>
        </w:rPr>
        <w:tab/>
        <w:t>Relevant provisions under the Semiconductor Integrated Circuits Layout-</w:t>
      </w:r>
    </w:p>
    <w:p w:rsidR="002A7AE8" w:rsidRPr="002A7AE8" w:rsidRDefault="002A7AE8" w:rsidP="002A7AE8">
      <w:pPr>
        <w:rPr>
          <w:rFonts w:cstheme="minorHAnsi"/>
          <w:sz w:val="28"/>
          <w:szCs w:val="28"/>
        </w:rPr>
      </w:pPr>
      <w:r w:rsidRPr="002A7AE8">
        <w:rPr>
          <w:rFonts w:cstheme="minorHAnsi"/>
          <w:sz w:val="28"/>
          <w:szCs w:val="28"/>
        </w:rPr>
        <w:t>Design Act, 2000</w:t>
      </w:r>
    </w:p>
    <w:p w:rsidR="002A7AE8" w:rsidRPr="002A7AE8" w:rsidRDefault="002A7AE8" w:rsidP="002A7AE8">
      <w:pPr>
        <w:rPr>
          <w:rFonts w:cstheme="minorHAnsi"/>
          <w:sz w:val="28"/>
          <w:szCs w:val="28"/>
        </w:rPr>
      </w:pPr>
      <w:r w:rsidRPr="002A7AE8">
        <w:rPr>
          <w:rFonts w:cstheme="minorHAnsi"/>
          <w:sz w:val="28"/>
          <w:szCs w:val="28"/>
        </w:rPr>
        <w:t>Section 7 — Prohibition of registration of certain layout-designs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 layout-design — (a) which is not original; or (b) which has been commercially exploited anywhere in India or in a convention country; or</w:t>
      </w:r>
    </w:p>
    <w:p w:rsidR="002A7AE8" w:rsidRPr="002A7AE8" w:rsidRDefault="002A7AE8" w:rsidP="002A7AE8">
      <w:pPr>
        <w:rPr>
          <w:rFonts w:cstheme="minorHAnsi"/>
          <w:sz w:val="28"/>
          <w:szCs w:val="28"/>
        </w:rPr>
      </w:pPr>
      <w:r w:rsidRPr="002A7AE8">
        <w:rPr>
          <w:rFonts w:cstheme="minorHAnsi"/>
          <w:sz w:val="28"/>
          <w:szCs w:val="28"/>
        </w:rPr>
        <w:t>(c) which is not inherently distinctive; or (d) which is not inherently capable of being distinguishable from any other registered layout-design, shall not be registered as a layout-design..."</w:t>
      </w:r>
    </w:p>
    <w:p w:rsidR="002A7AE8" w:rsidRPr="002A7AE8" w:rsidRDefault="002A7AE8" w:rsidP="002A7AE8">
      <w:pPr>
        <w:rPr>
          <w:rFonts w:cstheme="minorHAnsi"/>
          <w:sz w:val="28"/>
          <w:szCs w:val="28"/>
        </w:rPr>
      </w:pPr>
      <w:r w:rsidRPr="002A7AE8">
        <w:rPr>
          <w:rFonts w:cstheme="minorHAnsi"/>
          <w:sz w:val="28"/>
          <w:szCs w:val="28"/>
        </w:rPr>
        <w:t>Section 7 sets the threshold conditions for registrability. The proviso to sub-section (1) provides a valuable grace period: a layout-design that has been commercially exploited for not more than two years from the date of filing an application — in India or a convention country — is treated as unexploited for purposes of the bar. Sub-section (2) defines originality: the design must stem from the creator's own intellectual effort and must not be commonly known in the industry at the time of creation. Sub-section (3) addresses employment and commission: absent a contrary contractual provision, the right to register belongs to the employer or commissioning party. This default rule protects businesses that invest in chip design while leaving parties free to contractually reassign ownership.</w:t>
      </w:r>
    </w:p>
    <w:p w:rsidR="002A7AE8" w:rsidRPr="002A7AE8" w:rsidRDefault="002A7AE8" w:rsidP="002A7AE8">
      <w:pPr>
        <w:rPr>
          <w:rFonts w:cstheme="minorHAnsi"/>
          <w:sz w:val="28"/>
          <w:szCs w:val="28"/>
        </w:rPr>
      </w:pPr>
      <w:r w:rsidRPr="002A7AE8">
        <w:rPr>
          <w:rFonts w:cstheme="minorHAnsi"/>
          <w:sz w:val="28"/>
          <w:szCs w:val="28"/>
        </w:rPr>
        <w:t>Section 8 — Application for registration</w:t>
      </w:r>
    </w:p>
    <w:p w:rsidR="002A7AE8" w:rsidRPr="002A7AE8" w:rsidRDefault="002A7AE8" w:rsidP="002A7AE8">
      <w:pPr>
        <w:rPr>
          <w:rFonts w:cstheme="minorHAnsi"/>
          <w:sz w:val="28"/>
          <w:szCs w:val="28"/>
        </w:rPr>
      </w:pPr>
      <w:r w:rsidRPr="002A7AE8">
        <w:rPr>
          <w:rFonts w:cstheme="minorHAnsi"/>
          <w:sz w:val="28"/>
          <w:szCs w:val="28"/>
        </w:rPr>
        <w:t>"Any person claiming to be the creator of a layout-design, who is desirous of registering it, shall apply in writing to the Registrar in the prescribed manner for the registration of his layout-design."</w:t>
      </w:r>
    </w:p>
    <w:p w:rsidR="002A7AE8" w:rsidRPr="002A7AE8" w:rsidRDefault="002A7AE8" w:rsidP="002A7AE8">
      <w:pPr>
        <w:rPr>
          <w:rFonts w:cstheme="minorHAnsi"/>
          <w:sz w:val="28"/>
          <w:szCs w:val="28"/>
        </w:rPr>
      </w:pPr>
      <w:r w:rsidRPr="002A7AE8">
        <w:rPr>
          <w:rFonts w:cstheme="minorHAnsi"/>
          <w:sz w:val="28"/>
          <w:szCs w:val="28"/>
        </w:rPr>
        <w:t>Unlike geographical indications (which can only be applied for by associations), any individual person claiming to be the creator — whether a natural person or a legal entity — may apply. The application must be filed in the Semiconductor Integrated Circuits Layout-Design Registry office having territorial jurisdiction over the applicant's principal place of business in India. Applicants without an Indian business address must file at the office corresponding to the address for service disclosed in their application.</w:t>
      </w:r>
    </w:p>
    <w:p w:rsidR="002A7AE8" w:rsidRPr="002A7AE8" w:rsidRDefault="002A7AE8" w:rsidP="002A7AE8">
      <w:pPr>
        <w:rPr>
          <w:rFonts w:cstheme="minorHAnsi"/>
          <w:sz w:val="28"/>
          <w:szCs w:val="28"/>
        </w:rPr>
      </w:pPr>
      <w:r w:rsidRPr="002A7AE8">
        <w:rPr>
          <w:rFonts w:cstheme="minorHAnsi"/>
          <w:sz w:val="28"/>
          <w:szCs w:val="28"/>
        </w:rPr>
        <w:t>Section 10 — Advertisement of application</w:t>
      </w:r>
    </w:p>
    <w:p w:rsidR="002A7AE8" w:rsidRPr="002A7AE8" w:rsidRDefault="002A7AE8" w:rsidP="002A7AE8">
      <w:pPr>
        <w:rPr>
          <w:rFonts w:cstheme="minorHAnsi"/>
          <w:sz w:val="28"/>
          <w:szCs w:val="28"/>
        </w:rPr>
      </w:pPr>
      <w:r w:rsidRPr="002A7AE8">
        <w:rPr>
          <w:rFonts w:cstheme="minorHAnsi"/>
          <w:sz w:val="28"/>
          <w:szCs w:val="28"/>
        </w:rPr>
        <w:t>"When an application for registration of a layout-design has been accepted, the Registrar shall, within fourteen days after the date of acceptance, cause the application as accepted to be advertised in the prescribed manner."</w:t>
      </w:r>
    </w:p>
    <w:p w:rsidR="002A7AE8" w:rsidRPr="002A7AE8" w:rsidRDefault="002A7AE8" w:rsidP="002A7AE8">
      <w:pPr>
        <w:rPr>
          <w:rFonts w:cstheme="minorHAnsi"/>
          <w:sz w:val="28"/>
          <w:szCs w:val="28"/>
        </w:rPr>
      </w:pPr>
      <w:r w:rsidRPr="002A7AE8">
        <w:rPr>
          <w:rFonts w:cstheme="minorHAnsi"/>
          <w:sz w:val="28"/>
          <w:szCs w:val="28"/>
        </w:rPr>
        <w:t>The fourteen-day window for advertisement is a tight statutory deadline, ensuring that third parties receive timely notice and the opportunity to oppose before registration is finalised. Advertisement opens the opposition window under Section 11 and serves the public interest of transparency.</w:t>
      </w:r>
    </w:p>
    <w:p w:rsidR="002A7AE8" w:rsidRPr="002A7AE8" w:rsidRDefault="002A7AE8" w:rsidP="002A7AE8">
      <w:pPr>
        <w:rPr>
          <w:rFonts w:cstheme="minorHAnsi"/>
          <w:sz w:val="28"/>
          <w:szCs w:val="28"/>
        </w:rPr>
      </w:pPr>
      <w:r w:rsidRPr="002A7AE8">
        <w:rPr>
          <w:rFonts w:cstheme="minorHAnsi"/>
          <w:sz w:val="28"/>
          <w:szCs w:val="28"/>
        </w:rPr>
        <w:t>Section 13 — Registration</w:t>
      </w:r>
    </w:p>
    <w:p w:rsidR="002A7AE8" w:rsidRPr="002A7AE8" w:rsidRDefault="002A7AE8" w:rsidP="002A7AE8">
      <w:pPr>
        <w:rPr>
          <w:rFonts w:cstheme="minorHAnsi"/>
          <w:sz w:val="28"/>
          <w:szCs w:val="28"/>
        </w:rPr>
      </w:pPr>
      <w:r w:rsidRPr="002A7AE8">
        <w:rPr>
          <w:rFonts w:cstheme="minorHAnsi"/>
          <w:sz w:val="28"/>
          <w:szCs w:val="28"/>
        </w:rPr>
        <w:t>"...the Registrar shall register the said layout-design in the register and the layout-design shall be registered as of the date of the making of the said application and that date shall be deemed to be the date of registration."</w:t>
      </w:r>
    </w:p>
    <w:p w:rsidR="002A7AE8" w:rsidRPr="002A7AE8" w:rsidRDefault="002A7AE8" w:rsidP="002A7AE8">
      <w:pPr>
        <w:rPr>
          <w:rFonts w:cstheme="minorHAnsi"/>
          <w:sz w:val="28"/>
          <w:szCs w:val="28"/>
        </w:rPr>
      </w:pPr>
      <w:r w:rsidRPr="002A7AE8">
        <w:rPr>
          <w:rFonts w:cstheme="minorHAnsi"/>
          <w:sz w:val="28"/>
          <w:szCs w:val="28"/>
        </w:rPr>
        <w:t>On registration, the Registrar issues a certificate sealed with the seal of the SICLD Registry. The date of registration is backdated to the original filing date, ensuring that the creator's protection runs from the moment they sought registration. If registration is not completed within twelve months of application due to the applicant's default, the Registrar may treat the application as abandoned after notice.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15 — Duration of registration</w:t>
      </w:r>
    </w:p>
    <w:p w:rsidR="002A7AE8" w:rsidRPr="002A7AE8" w:rsidRDefault="002A7AE8" w:rsidP="002A7AE8">
      <w:pPr>
        <w:rPr>
          <w:rFonts w:cstheme="minorHAnsi"/>
          <w:sz w:val="28"/>
          <w:szCs w:val="28"/>
        </w:rPr>
      </w:pPr>
      <w:r w:rsidRPr="002A7AE8">
        <w:rPr>
          <w:rFonts w:cstheme="minorHAnsi"/>
          <w:sz w:val="28"/>
          <w:szCs w:val="28"/>
        </w:rPr>
        <w:t>"The registration of a layout-design shall be only for a period of ten years counted from the date of filing an application for registration or from the date of first commercial exploitation anywhere in India or in any country whichever is earlier."</w:t>
      </w:r>
    </w:p>
    <w:p w:rsidR="002A7AE8" w:rsidRPr="002A7AE8" w:rsidRDefault="002A7AE8" w:rsidP="002A7AE8">
      <w:pPr>
        <w:rPr>
          <w:rFonts w:cstheme="minorHAnsi"/>
          <w:sz w:val="28"/>
          <w:szCs w:val="28"/>
        </w:rPr>
      </w:pPr>
      <w:r w:rsidRPr="002A7AE8">
        <w:rPr>
          <w:rFonts w:cstheme="minorHAnsi"/>
          <w:sz w:val="28"/>
          <w:szCs w:val="28"/>
        </w:rPr>
        <w:t>The ten-year term is fixed and non-renewable, unlike trademarks. Running the clock from whichever date is earlier — application or first commercial exploitation — prevents gaming of the system by delaying market launch to extend the protection window. After expiry, the layout-design enters the public domain and can be freely used by anyone.</w:t>
      </w:r>
    </w:p>
    <w:p w:rsidR="002A7AE8" w:rsidRPr="002A7AE8" w:rsidRDefault="002A7AE8" w:rsidP="002A7AE8">
      <w:pPr>
        <w:rPr>
          <w:rFonts w:cstheme="minorHAnsi"/>
          <w:sz w:val="28"/>
          <w:szCs w:val="28"/>
        </w:rPr>
      </w:pPr>
      <w:r w:rsidRPr="002A7AE8">
        <w:rPr>
          <w:rFonts w:cstheme="minorHAnsi"/>
          <w:sz w:val="28"/>
          <w:szCs w:val="28"/>
        </w:rPr>
        <w:t>Section 16 — No action for infringement of unregistered layout-design</w:t>
      </w:r>
    </w:p>
    <w:p w:rsidR="002A7AE8" w:rsidRPr="002A7AE8" w:rsidRDefault="002A7AE8" w:rsidP="002A7AE8">
      <w:pPr>
        <w:rPr>
          <w:rFonts w:cstheme="minorHAnsi"/>
          <w:sz w:val="28"/>
          <w:szCs w:val="28"/>
        </w:rPr>
      </w:pPr>
      <w:r w:rsidRPr="002A7AE8">
        <w:rPr>
          <w:rFonts w:cstheme="minorHAnsi"/>
          <w:sz w:val="28"/>
          <w:szCs w:val="28"/>
        </w:rPr>
        <w:t>"No person shall be entitled to institute any proceeding to prevent, or to recover damages for, the infringement of an unregistered layout-design."</w:t>
      </w:r>
    </w:p>
    <w:p w:rsidR="002A7AE8" w:rsidRPr="002A7AE8" w:rsidRDefault="002A7AE8" w:rsidP="002A7AE8">
      <w:pPr>
        <w:rPr>
          <w:rFonts w:cstheme="minorHAnsi"/>
          <w:sz w:val="28"/>
          <w:szCs w:val="28"/>
        </w:rPr>
      </w:pPr>
      <w:r w:rsidRPr="002A7AE8">
        <w:rPr>
          <w:rFonts w:cstheme="minorHAnsi"/>
          <w:sz w:val="28"/>
          <w:szCs w:val="28"/>
        </w:rPr>
        <w:t>This provision places a hard premium on registration. Unlike copyright, which arises automatically on creation, or trademarks (which can be protected through passing off even without registration), layout-designs receive no statutory infringement protection without registration. Creators who delay or forgo registration have no civil remedy under the Act for unauthorised copying of their designs.</w:t>
      </w:r>
    </w:p>
    <w:p w:rsidR="002A7AE8" w:rsidRPr="002A7AE8" w:rsidRDefault="002A7AE8" w:rsidP="002A7AE8">
      <w:pPr>
        <w:rPr>
          <w:rFonts w:cstheme="minorHAnsi"/>
          <w:sz w:val="28"/>
          <w:szCs w:val="28"/>
        </w:rPr>
      </w:pPr>
      <w:r w:rsidRPr="002A7AE8">
        <w:rPr>
          <w:rFonts w:cstheme="minorHAnsi"/>
          <w:sz w:val="28"/>
          <w:szCs w:val="28"/>
        </w:rPr>
        <w:t>Section 17 — Rights conferred by registration</w:t>
      </w:r>
    </w:p>
    <w:p w:rsidR="002A7AE8" w:rsidRPr="002A7AE8" w:rsidRDefault="002A7AE8" w:rsidP="002A7AE8">
      <w:pPr>
        <w:rPr>
          <w:rFonts w:cstheme="minorHAnsi"/>
          <w:sz w:val="28"/>
          <w:szCs w:val="28"/>
        </w:rPr>
      </w:pPr>
      <w:r w:rsidRPr="002A7AE8">
        <w:rPr>
          <w:rFonts w:cstheme="minorHAnsi"/>
          <w:sz w:val="28"/>
          <w:szCs w:val="28"/>
        </w:rPr>
        <w:t>"Subject to the other provisions of this Act, the registration of a layout-design shall, if valid, give to the registered proprietor of layout-design the exclusive right to the use of the layout-design and to obtain relief in respect of infringement in the manner provided by this Act."</w:t>
      </w:r>
    </w:p>
    <w:p w:rsidR="002A7AE8" w:rsidRPr="002A7AE8" w:rsidRDefault="002A7AE8" w:rsidP="002A7AE8">
      <w:pPr>
        <w:rPr>
          <w:rFonts w:cstheme="minorHAnsi"/>
          <w:sz w:val="28"/>
          <w:szCs w:val="28"/>
        </w:rPr>
      </w:pPr>
      <w:r w:rsidRPr="002A7AE8">
        <w:rPr>
          <w:rFonts w:cstheme="minorHAnsi"/>
          <w:sz w:val="28"/>
          <w:szCs w:val="28"/>
        </w:rPr>
        <w:t>The Explanation to Section 17 declares that these exclusive rights are available irrespective of whether the layout-design has been incorporated in an article. Protection therefore attaches from the moment of registration, not from physical manufacture, enabling rights holders to act against infringement at the design documentation stage.</w:t>
      </w:r>
    </w:p>
    <w:p w:rsidR="002A7AE8" w:rsidRPr="002A7AE8" w:rsidRDefault="002A7AE8" w:rsidP="002A7AE8">
      <w:pPr>
        <w:rPr>
          <w:rFonts w:cstheme="minorHAnsi"/>
          <w:sz w:val="28"/>
          <w:szCs w:val="28"/>
        </w:rPr>
      </w:pPr>
      <w:r w:rsidRPr="002A7AE8">
        <w:rPr>
          <w:rFonts w:cstheme="minorHAnsi"/>
          <w:sz w:val="28"/>
          <w:szCs w:val="28"/>
        </w:rPr>
        <w:t>Section 18 — Infringement of layout-design</w:t>
      </w:r>
    </w:p>
    <w:p w:rsidR="002A7AE8" w:rsidRPr="002A7AE8" w:rsidRDefault="002A7AE8" w:rsidP="002A7AE8">
      <w:pPr>
        <w:rPr>
          <w:rFonts w:cstheme="minorHAnsi"/>
          <w:sz w:val="28"/>
          <w:szCs w:val="28"/>
        </w:rPr>
      </w:pPr>
      <w:r w:rsidRPr="002A7AE8">
        <w:rPr>
          <w:rFonts w:cstheme="minorHAnsi"/>
          <w:sz w:val="28"/>
          <w:szCs w:val="28"/>
        </w:rPr>
        <w:t>Section 18(1) defines infringement as any act, by a non-authorised person, of:</w:t>
      </w:r>
    </w:p>
    <w:p w:rsidR="002A7AE8" w:rsidRPr="002A7AE8" w:rsidRDefault="002A7AE8" w:rsidP="002A7AE8">
      <w:pPr>
        <w:rPr>
          <w:rFonts w:cstheme="minorHAnsi"/>
          <w:sz w:val="28"/>
          <w:szCs w:val="28"/>
        </w:rPr>
      </w:pPr>
      <w:r w:rsidRPr="002A7AE8">
        <w:rPr>
          <w:rFonts w:cstheme="minorHAnsi"/>
          <w:sz w:val="28"/>
          <w:szCs w:val="28"/>
        </w:rPr>
        <w:t>(a) reproducing a registered layout-design in its entirety or any original part of it; or (b) importing, selling, or commercially distributing a registered layout-design, an IC incorporating it, or an article containing such an IC without authorisation.</w:t>
      </w:r>
    </w:p>
    <w:p w:rsidR="002A7AE8" w:rsidRPr="002A7AE8" w:rsidRDefault="002A7AE8" w:rsidP="002A7AE8">
      <w:pPr>
        <w:rPr>
          <w:rFonts w:cstheme="minorHAnsi"/>
          <w:sz w:val="28"/>
          <w:szCs w:val="28"/>
        </w:rPr>
      </w:pPr>
      <w:r w:rsidRPr="002A7AE8">
        <w:rPr>
          <w:rFonts w:cstheme="minorHAnsi"/>
          <w:sz w:val="28"/>
          <w:szCs w:val="28"/>
        </w:rPr>
        <w:t>Section 18(2) carves out the research and teaching exception: reproduction for scientific evaluation, analysis, research, or teaching is not infringement.</w:t>
      </w:r>
    </w:p>
    <w:p w:rsidR="002A7AE8" w:rsidRPr="002A7AE8" w:rsidRDefault="002A7AE8" w:rsidP="002A7AE8">
      <w:pPr>
        <w:rPr>
          <w:rFonts w:cstheme="minorHAnsi"/>
          <w:sz w:val="28"/>
          <w:szCs w:val="28"/>
        </w:rPr>
      </w:pPr>
      <w:r w:rsidRPr="002A7AE8">
        <w:rPr>
          <w:rFonts w:cstheme="minorHAnsi"/>
          <w:sz w:val="28"/>
          <w:szCs w:val="28"/>
        </w:rPr>
        <w:t>Section 18(3) protects the reverse engineering pathway: a person who studies a registered design and independently creates a new, original layout-design is free to use that new design without infringing the original. Section 18(5) addresses the innocent infringer: prior to receiving notice that a circuit incorporates a registered layout-design, the person is not liable for infringement; after notice, they may continue dealing in existing stock subject to payment of royalty determined by negotiation or by the Appellate Board under Section 40. Section 18(8) protects independent creation: if someone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arrives at an identical layout-design through entirely independent intellectual effort, their use of that design is not infringement.</w:t>
      </w:r>
    </w:p>
    <w:p w:rsidR="002A7AE8" w:rsidRPr="002A7AE8" w:rsidRDefault="002A7AE8" w:rsidP="002A7AE8">
      <w:pPr>
        <w:rPr>
          <w:rFonts w:cstheme="minorHAnsi"/>
          <w:sz w:val="28"/>
          <w:szCs w:val="28"/>
        </w:rPr>
      </w:pPr>
      <w:r w:rsidRPr="002A7AE8">
        <w:rPr>
          <w:rFonts w:cstheme="minorHAnsi"/>
          <w:sz w:val="28"/>
          <w:szCs w:val="28"/>
        </w:rPr>
        <w:t>Section 21 — Assignability and transmissibility of registered layout-design</w:t>
      </w:r>
    </w:p>
    <w:p w:rsidR="002A7AE8" w:rsidRPr="002A7AE8" w:rsidRDefault="002A7AE8" w:rsidP="002A7AE8">
      <w:pPr>
        <w:rPr>
          <w:rFonts w:cstheme="minorHAnsi"/>
          <w:sz w:val="28"/>
          <w:szCs w:val="28"/>
        </w:rPr>
      </w:pPr>
      <w:r w:rsidRPr="002A7AE8">
        <w:rPr>
          <w:rFonts w:cstheme="minorHAnsi"/>
          <w:sz w:val="28"/>
          <w:szCs w:val="28"/>
        </w:rPr>
        <w:t>"Notwithstanding anything in any other law to the contrary, a registered layout-design shall, subject to the provisions of this Chapter, be assignable and transmissible whether with or without the goodwill of the business concerned."</w:t>
      </w:r>
    </w:p>
    <w:p w:rsidR="002A7AE8" w:rsidRPr="002A7AE8" w:rsidRDefault="002A7AE8" w:rsidP="002A7AE8">
      <w:pPr>
        <w:rPr>
          <w:rFonts w:cstheme="minorHAnsi"/>
          <w:sz w:val="28"/>
          <w:szCs w:val="28"/>
        </w:rPr>
      </w:pPr>
      <w:r w:rsidRPr="002A7AE8">
        <w:rPr>
          <w:rFonts w:cstheme="minorHAnsi"/>
          <w:sz w:val="28"/>
          <w:szCs w:val="28"/>
        </w:rPr>
        <w:t>Unlike geographical indications, which cannot be assigned or licensed under the GI Act, a registered layout-design is freely assignable and transmissible — whether or not the goodwill of the associated business is transferred along with it. Section 22 adds a procedural requirement: where assignment is made without the goodwill of the business, the assignee must apply to the Registrar within six months for directions on advertising the assignment. Section 23 requires registration of any assignment or transmission to give it legal effect in proceedings.</w:t>
      </w:r>
    </w:p>
    <w:p w:rsidR="002A7AE8" w:rsidRPr="002A7AE8" w:rsidRDefault="002A7AE8" w:rsidP="002A7AE8">
      <w:pPr>
        <w:rPr>
          <w:rFonts w:cstheme="minorHAnsi"/>
          <w:sz w:val="28"/>
          <w:szCs w:val="28"/>
        </w:rPr>
      </w:pPr>
      <w:r w:rsidRPr="002A7AE8">
        <w:rPr>
          <w:rFonts w:cstheme="minorHAnsi"/>
          <w:sz w:val="28"/>
          <w:szCs w:val="28"/>
        </w:rPr>
        <w:t>Section 51 — Power of the Board to permit certain uses</w:t>
      </w:r>
    </w:p>
    <w:p w:rsidR="002A7AE8" w:rsidRPr="002A7AE8" w:rsidRDefault="002A7AE8" w:rsidP="002A7AE8">
      <w:pPr>
        <w:rPr>
          <w:rFonts w:cstheme="minorHAnsi"/>
          <w:sz w:val="28"/>
          <w:szCs w:val="28"/>
        </w:rPr>
      </w:pPr>
      <w:r w:rsidRPr="002A7AE8">
        <w:rPr>
          <w:rFonts w:cstheme="minorHAnsi"/>
          <w:sz w:val="28"/>
          <w:szCs w:val="28"/>
        </w:rPr>
        <w:t>The Appellate Board may, on application by the Government or a Government-authorised person, permit use of a registered layout-design without the proprietor's consent where the use is: for non-commercial public purposes or national emergency; limited in duration; non-assignable; aimed at remedying anti-competitive practice; or predominantly for domestic supply. The Board must also determine the royalty payable to the registered proprietor. The first proviso requires the applicant to have made genuine efforts to obtain a commercial licence from the proprietor before the Board can grant such permission, unless a government certificate of emergency is produced.</w:t>
      </w:r>
    </w:p>
    <w:p w:rsidR="002A7AE8" w:rsidRPr="002A7AE8" w:rsidRDefault="002A7AE8" w:rsidP="002A7AE8">
      <w:pPr>
        <w:rPr>
          <w:rFonts w:cstheme="minorHAnsi"/>
          <w:sz w:val="28"/>
          <w:szCs w:val="28"/>
        </w:rPr>
      </w:pPr>
      <w:r w:rsidRPr="002A7AE8">
        <w:rPr>
          <w:rFonts w:cstheme="minorHAnsi"/>
          <w:sz w:val="28"/>
          <w:szCs w:val="28"/>
        </w:rPr>
        <w:t>Section 56 — Penalty for infringement</w:t>
      </w:r>
    </w:p>
    <w:p w:rsidR="002A7AE8" w:rsidRPr="002A7AE8" w:rsidRDefault="002A7AE8" w:rsidP="002A7AE8">
      <w:pPr>
        <w:rPr>
          <w:rFonts w:cstheme="minorHAnsi"/>
          <w:sz w:val="28"/>
          <w:szCs w:val="28"/>
        </w:rPr>
      </w:pPr>
      <w:r w:rsidRPr="002A7AE8">
        <w:rPr>
          <w:rFonts w:cstheme="minorHAnsi"/>
          <w:sz w:val="28"/>
          <w:szCs w:val="28"/>
        </w:rPr>
        <w:t>"Any person who contravenes knowingly and wilfully any of the provisions of section 18 shall be punishable with imprisonment for a term which may extend to three years, or with fine which shall not be less than fifty thousand rupees but which may extend to ten lakh rupees, or with both."</w:t>
      </w:r>
    </w:p>
    <w:p w:rsidR="002A7AE8" w:rsidRPr="002A7AE8" w:rsidRDefault="002A7AE8" w:rsidP="002A7AE8">
      <w:pPr>
        <w:rPr>
          <w:rFonts w:cstheme="minorHAnsi"/>
          <w:sz w:val="28"/>
          <w:szCs w:val="28"/>
        </w:rPr>
      </w:pPr>
      <w:r w:rsidRPr="002A7AE8">
        <w:rPr>
          <w:rFonts w:cstheme="minorHAnsi"/>
          <w:sz w:val="28"/>
          <w:szCs w:val="28"/>
        </w:rPr>
        <w:t>Criminal liability requires both knowledge and wilfulness — mere technical infringement is insufficient for prosecution. Court cognizance of an offence under Section 56 can only be taken on a written complaint from the registered proprietor or the registered user under Section 64(a). The serious upper-end penalty of three years and ten lakh rupees signals the legislature's intent to treat chip piracy as a significant economic crime.</w:t>
      </w:r>
    </w:p>
    <w:p w:rsidR="002A7AE8" w:rsidRPr="002A7AE8" w:rsidRDefault="002A7AE8" w:rsidP="002A7AE8">
      <w:pPr>
        <w:rPr>
          <w:rFonts w:cstheme="minorHAnsi"/>
          <w:sz w:val="28"/>
          <w:szCs w:val="28"/>
        </w:rPr>
      </w:pPr>
      <w:r w:rsidRPr="002A7AE8">
        <w:rPr>
          <w:rFonts w:cstheme="minorHAnsi"/>
          <w:sz w:val="28"/>
          <w:szCs w:val="28"/>
        </w:rPr>
        <w:t>6.</w:t>
      </w:r>
      <w:r w:rsidRPr="002A7AE8">
        <w:rPr>
          <w:rFonts w:cstheme="minorHAnsi"/>
          <w:sz w:val="28"/>
          <w:szCs w:val="28"/>
        </w:rPr>
        <w:tab/>
        <w:t>Advantages and disadvantages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Advantages</w:t>
      </w:r>
      <w:r w:rsidRPr="002A7AE8">
        <w:rPr>
          <w:rFonts w:cstheme="minorHAnsi"/>
          <w:sz w:val="28"/>
          <w:szCs w:val="28"/>
        </w:rPr>
        <w:tab/>
        <w:t>Disadvantages</w:t>
      </w:r>
    </w:p>
    <w:p w:rsidR="002A7AE8" w:rsidRPr="002A7AE8" w:rsidRDefault="002A7AE8" w:rsidP="002A7AE8">
      <w:pPr>
        <w:rPr>
          <w:rFonts w:cstheme="minorHAnsi"/>
          <w:sz w:val="28"/>
          <w:szCs w:val="28"/>
        </w:rPr>
      </w:pPr>
      <w:r w:rsidRPr="002A7AE8">
        <w:rPr>
          <w:rFonts w:cstheme="minorHAnsi"/>
          <w:sz w:val="28"/>
          <w:szCs w:val="28"/>
        </w:rPr>
        <w:t>Dedicated sui generis protection tailored to the specific characteristics of IC layout-designs, filling the gap between copyright and patent.</w:t>
      </w:r>
      <w:r w:rsidRPr="002A7AE8">
        <w:rPr>
          <w:rFonts w:cstheme="minorHAnsi"/>
          <w:sz w:val="28"/>
          <w:szCs w:val="28"/>
        </w:rPr>
        <w:tab/>
        <w:t>Registration is mandatory for infringement proceedings. No passing off or analogous common law remedy is available for unregistered designs.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Exclusive right to use and commercially exploit the layout-design for ten years, providing economic security and return on investment.</w:t>
      </w:r>
      <w:r w:rsidRPr="002A7AE8">
        <w:rPr>
          <w:rFonts w:cstheme="minorHAnsi"/>
          <w:sz w:val="28"/>
          <w:szCs w:val="28"/>
        </w:rPr>
        <w:tab/>
        <w:t>The ten-year term is non-renewable. Once the period expires, the design enters the public domain regardless of continued commercial relevance.</w:t>
      </w:r>
    </w:p>
    <w:p w:rsidR="002A7AE8" w:rsidRPr="002A7AE8" w:rsidRDefault="002A7AE8" w:rsidP="002A7AE8">
      <w:pPr>
        <w:rPr>
          <w:rFonts w:cstheme="minorHAnsi"/>
          <w:sz w:val="28"/>
          <w:szCs w:val="28"/>
        </w:rPr>
      </w:pPr>
      <w:r w:rsidRPr="002A7AE8">
        <w:rPr>
          <w:rFonts w:cstheme="minorHAnsi"/>
          <w:sz w:val="28"/>
          <w:szCs w:val="28"/>
        </w:rPr>
        <w:t>Reverse engineering for analysis, evaluation, research, or teaching is explicitly permitted, allowing scientific progress without stifling competition.</w:t>
      </w:r>
      <w:r w:rsidRPr="002A7AE8">
        <w:rPr>
          <w:rFonts w:cstheme="minorHAnsi"/>
          <w:sz w:val="28"/>
          <w:szCs w:val="28"/>
        </w:rPr>
        <w:tab/>
        <w:t>Delayed operationalisation — the Act was passed in 2000 but substantive provisions only came into force in 2011, leaving India without formal protection for over a decade during a critical growth period.</w:t>
      </w:r>
    </w:p>
    <w:p w:rsidR="002A7AE8" w:rsidRPr="002A7AE8" w:rsidRDefault="002A7AE8" w:rsidP="002A7AE8">
      <w:pPr>
        <w:rPr>
          <w:rFonts w:cstheme="minorHAnsi"/>
          <w:sz w:val="28"/>
          <w:szCs w:val="28"/>
        </w:rPr>
      </w:pPr>
      <w:r w:rsidRPr="002A7AE8">
        <w:rPr>
          <w:rFonts w:cstheme="minorHAnsi"/>
          <w:sz w:val="28"/>
          <w:szCs w:val="28"/>
        </w:rPr>
        <w:t>Rights attach from registration irrespective of physical incorporation in a chip, enabling early enforcement at the design stage.</w:t>
      </w:r>
      <w:r w:rsidRPr="002A7AE8">
        <w:rPr>
          <w:rFonts w:cstheme="minorHAnsi"/>
          <w:sz w:val="28"/>
          <w:szCs w:val="28"/>
        </w:rPr>
        <w:tab/>
        <w:t>Low registration rates and limited judicial precedent under the Act leave enforcement infrastructure underdeveloped compared to patents or trademarks.</w:t>
      </w:r>
    </w:p>
    <w:p w:rsidR="002A7AE8" w:rsidRPr="002A7AE8" w:rsidRDefault="002A7AE8" w:rsidP="002A7AE8">
      <w:pPr>
        <w:rPr>
          <w:rFonts w:cstheme="minorHAnsi"/>
          <w:sz w:val="28"/>
          <w:szCs w:val="28"/>
        </w:rPr>
      </w:pPr>
      <w:r w:rsidRPr="002A7AE8">
        <w:rPr>
          <w:rFonts w:cstheme="minorHAnsi"/>
          <w:sz w:val="28"/>
          <w:szCs w:val="28"/>
        </w:rPr>
        <w:t>Protection covers both the layout-design itself and integrated circuits or articles incorporating it, extending the coverage downstream in the supply chain.</w:t>
      </w:r>
      <w:r w:rsidRPr="002A7AE8">
        <w:rPr>
          <w:rFonts w:cstheme="minorHAnsi"/>
          <w:sz w:val="28"/>
          <w:szCs w:val="28"/>
        </w:rPr>
        <w:tab/>
        <w:t>The Act does not protect the functional principles or underlying electronic logic of a circuit, only the creative arrangement. A functionally identical design with a different arrangement does not infringe.</w:t>
      </w:r>
    </w:p>
    <w:p w:rsidR="002A7AE8" w:rsidRPr="002A7AE8" w:rsidRDefault="002A7AE8" w:rsidP="002A7AE8">
      <w:pPr>
        <w:rPr>
          <w:rFonts w:cstheme="minorHAnsi"/>
          <w:sz w:val="28"/>
          <w:szCs w:val="28"/>
        </w:rPr>
      </w:pPr>
      <w:r w:rsidRPr="002A7AE8">
        <w:rPr>
          <w:rFonts w:cstheme="minorHAnsi"/>
          <w:sz w:val="28"/>
          <w:szCs w:val="28"/>
        </w:rPr>
        <w:t>Innocent infringer protection under Section 18(5) provides a graduated response — royalty rather than immediate prohibition — avoiding disproportionate hardship on unknowing downstream parties.</w:t>
      </w:r>
      <w:r w:rsidRPr="002A7AE8">
        <w:rPr>
          <w:rFonts w:cstheme="minorHAnsi"/>
          <w:sz w:val="28"/>
          <w:szCs w:val="28"/>
        </w:rPr>
        <w:tab/>
        <w:t>Section 16 bars any proceedings for infringement of an unregistered layout-design, placing the entire burden of enforcement on timely and correctly filed registrations.</w:t>
      </w:r>
    </w:p>
    <w:p w:rsidR="002A7AE8" w:rsidRPr="002A7AE8" w:rsidRDefault="002A7AE8" w:rsidP="002A7AE8">
      <w:pPr>
        <w:rPr>
          <w:rFonts w:cstheme="minorHAnsi"/>
          <w:sz w:val="28"/>
          <w:szCs w:val="28"/>
        </w:rPr>
      </w:pPr>
      <w:r w:rsidRPr="002A7AE8">
        <w:rPr>
          <w:rFonts w:cstheme="minorHAnsi"/>
          <w:sz w:val="28"/>
          <w:szCs w:val="28"/>
        </w:rPr>
        <w:t>Compulsory licensing under Section 51 ensures that exclusive rights cannot override genuine national emergencies or public interest needs.</w:t>
      </w:r>
      <w:r w:rsidRPr="002A7AE8">
        <w:rPr>
          <w:rFonts w:cstheme="minorHAnsi"/>
          <w:sz w:val="28"/>
          <w:szCs w:val="28"/>
        </w:rPr>
        <w:tab/>
        <w:t>Proving originality — especially for complex designs combining known elements — requires highly technical evidence and expert testimony, making litigation expensive.</w:t>
      </w:r>
    </w:p>
    <w:p w:rsidR="002A7AE8" w:rsidRPr="002A7AE8" w:rsidRDefault="002A7AE8" w:rsidP="002A7AE8">
      <w:pPr>
        <w:rPr>
          <w:rFonts w:cstheme="minorHAnsi"/>
          <w:sz w:val="28"/>
          <w:szCs w:val="28"/>
        </w:rPr>
      </w:pPr>
      <w:r w:rsidRPr="002A7AE8">
        <w:rPr>
          <w:rFonts w:cstheme="minorHAnsi"/>
          <w:sz w:val="28"/>
          <w:szCs w:val="28"/>
        </w:rPr>
        <w:t>7.</w:t>
      </w:r>
      <w:r w:rsidRPr="002A7AE8">
        <w:rPr>
          <w:rFonts w:cstheme="minorHAnsi"/>
          <w:sz w:val="28"/>
          <w:szCs w:val="28"/>
        </w:rPr>
        <w:tab/>
        <w:t>Remedies available Civil remedies</w:t>
      </w:r>
    </w:p>
    <w:p w:rsidR="002A7AE8" w:rsidRPr="002A7AE8" w:rsidRDefault="002A7AE8" w:rsidP="002A7AE8">
      <w:pPr>
        <w:rPr>
          <w:rFonts w:cstheme="minorHAnsi"/>
          <w:sz w:val="28"/>
          <w:szCs w:val="28"/>
        </w:rPr>
      </w:pPr>
      <w:r w:rsidRPr="002A7AE8">
        <w:rPr>
          <w:rFonts w:cstheme="minorHAnsi"/>
          <w:sz w:val="28"/>
          <w:szCs w:val="28"/>
        </w:rPr>
        <w:t>Injunction: The registered proprietor or registered user may approach the competent civil court for an injunction restraining actual or threatened infringement. An interim injunction may be granted where the plaintiff</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demonstrates a prima facie case, balance of convenience in their favour, and risk of irreparable harm. Section 18(7) clarifies that acts done with the written consent of the registered proprietor, or in respect of a design already lawfully placed on the market by or with the proprietor's consent, do not constitute infringement, thereby limiting injunctive relief against genuine downstream purchasers.</w:t>
      </w:r>
    </w:p>
    <w:p w:rsidR="002A7AE8" w:rsidRPr="002A7AE8" w:rsidRDefault="002A7AE8" w:rsidP="002A7AE8">
      <w:pPr>
        <w:rPr>
          <w:rFonts w:cstheme="minorHAnsi"/>
          <w:sz w:val="28"/>
          <w:szCs w:val="28"/>
        </w:rPr>
      </w:pPr>
      <w:r w:rsidRPr="002A7AE8">
        <w:rPr>
          <w:rFonts w:cstheme="minorHAnsi"/>
          <w:sz w:val="28"/>
          <w:szCs w:val="28"/>
        </w:rPr>
        <w:t>Damages and account of profits: The court may award monetary compensation for loss suffered as a result of infringement. In the alternative, the plaintiff may elect an account of profits, requiring the infringer to surrender gains derived from the unauthorised use of the design.</w:t>
      </w:r>
    </w:p>
    <w:p w:rsidR="002A7AE8" w:rsidRPr="002A7AE8" w:rsidRDefault="002A7AE8" w:rsidP="002A7AE8">
      <w:pPr>
        <w:rPr>
          <w:rFonts w:cstheme="minorHAnsi"/>
          <w:sz w:val="28"/>
          <w:szCs w:val="28"/>
        </w:rPr>
      </w:pPr>
      <w:r w:rsidRPr="002A7AE8">
        <w:rPr>
          <w:rFonts w:cstheme="minorHAnsi"/>
          <w:sz w:val="28"/>
          <w:szCs w:val="28"/>
        </w:rPr>
        <w:t>Delivery up and destruction: Courts may order the delivery up of infringing goods — integrated circuits and articles incorporating the unlawfully reproduced design — and direct their destruction, preventing further exploitation of the misappropriated design.</w:t>
      </w:r>
    </w:p>
    <w:p w:rsidR="002A7AE8" w:rsidRPr="002A7AE8" w:rsidRDefault="002A7AE8" w:rsidP="002A7AE8">
      <w:pPr>
        <w:rPr>
          <w:rFonts w:cstheme="minorHAnsi"/>
          <w:sz w:val="28"/>
          <w:szCs w:val="28"/>
        </w:rPr>
      </w:pPr>
      <w:r w:rsidRPr="002A7AE8">
        <w:rPr>
          <w:rFonts w:cstheme="minorHAnsi"/>
          <w:sz w:val="28"/>
          <w:szCs w:val="28"/>
        </w:rPr>
        <w:t>Royalty under Section 18(5): Where an innocent infringer continues dealing in existing stock after receiving notice of the registered design, the Act imposes liability to pay royalty to the registered proprietor. The royalty is determined by agreement between the parties or, failing agreement, by the Appellate Board under Section 40.</w:t>
      </w:r>
    </w:p>
    <w:p w:rsidR="002A7AE8" w:rsidRPr="002A7AE8" w:rsidRDefault="002A7AE8" w:rsidP="002A7AE8">
      <w:pPr>
        <w:rPr>
          <w:rFonts w:cstheme="minorHAnsi"/>
          <w:sz w:val="28"/>
          <w:szCs w:val="28"/>
        </w:rPr>
      </w:pPr>
      <w:r w:rsidRPr="002A7AE8">
        <w:rPr>
          <w:rFonts w:cstheme="minorHAnsi"/>
          <w:sz w:val="28"/>
          <w:szCs w:val="28"/>
        </w:rPr>
        <w:t>Criminal remedies</w:t>
      </w:r>
    </w:p>
    <w:p w:rsidR="002A7AE8" w:rsidRPr="002A7AE8" w:rsidRDefault="002A7AE8" w:rsidP="002A7AE8">
      <w:pPr>
        <w:rPr>
          <w:rFonts w:cstheme="minorHAnsi"/>
          <w:sz w:val="28"/>
          <w:szCs w:val="28"/>
        </w:rPr>
      </w:pPr>
      <w:r w:rsidRPr="002A7AE8">
        <w:rPr>
          <w:rFonts w:cstheme="minorHAnsi"/>
          <w:sz w:val="28"/>
          <w:szCs w:val="28"/>
        </w:rPr>
        <w:t>Section 56 provides for imprisonment up to three years and/or a fine of not less than fifty thousand rupees up to ten lakh rupees for knowing and wilful infringement of Section 18. Section 57 imposes a penalty of imprisonment up to six months or a fine up to fifty thousand rupees for falsely representing an unregistered layout-design as registered. Section 59 punishes falsification of register entries with imprisonment up to two years or fine or both. Section 60 empowers the convicting court to order forfeiture of all goods and things connected with the offence, with further discretion to destroy or dispose of forfeited articles.</w:t>
      </w:r>
    </w:p>
    <w:p w:rsidR="002A7AE8" w:rsidRPr="002A7AE8" w:rsidRDefault="002A7AE8" w:rsidP="002A7AE8">
      <w:pPr>
        <w:rPr>
          <w:rFonts w:cstheme="minorHAnsi"/>
          <w:sz w:val="28"/>
          <w:szCs w:val="28"/>
        </w:rPr>
      </w:pPr>
      <w:r w:rsidRPr="002A7AE8">
        <w:rPr>
          <w:rFonts w:cstheme="minorHAnsi"/>
          <w:sz w:val="28"/>
          <w:szCs w:val="28"/>
        </w:rPr>
        <w:t>Administrative and appellate remedies</w:t>
      </w:r>
    </w:p>
    <w:p w:rsidR="002A7AE8" w:rsidRPr="002A7AE8" w:rsidRDefault="002A7AE8" w:rsidP="002A7AE8">
      <w:pPr>
        <w:rPr>
          <w:rFonts w:cstheme="minorHAnsi"/>
          <w:sz w:val="28"/>
          <w:szCs w:val="28"/>
        </w:rPr>
      </w:pPr>
      <w:r w:rsidRPr="002A7AE8">
        <w:rPr>
          <w:rFonts w:cstheme="minorHAnsi"/>
          <w:sz w:val="28"/>
          <w:szCs w:val="28"/>
        </w:rPr>
        <w:t>Section 30 empowers any aggrieved person to apply to the Appellate Board or the Registrar for rectification of the Register, seeking to expunge or vary a wrongly made or wrongly remaining entry. Section 41 allows any person to apply to the Appellate Board for cancellation of a registered layout-design on the ground that it was prohibited from registration under Section 7. Section 42 provides for appeal to the Appellate Board against any Registrar order, within three months of communication, with a discretionary extension for sufficient cause. Section 53 provides a further appeal to the High Court against Appellate Board orders.</w:t>
      </w:r>
    </w:p>
    <w:p w:rsidR="002A7AE8" w:rsidRPr="002A7AE8" w:rsidRDefault="002A7AE8" w:rsidP="002A7AE8">
      <w:pPr>
        <w:rPr>
          <w:rFonts w:cstheme="minorHAnsi"/>
          <w:sz w:val="28"/>
          <w:szCs w:val="28"/>
        </w:rPr>
      </w:pPr>
      <w:r w:rsidRPr="002A7AE8">
        <w:rPr>
          <w:rFonts w:cstheme="minorHAnsi"/>
          <w:sz w:val="28"/>
          <w:szCs w:val="28"/>
        </w:rPr>
        <w:t>8.</w:t>
      </w:r>
      <w:r w:rsidRPr="002A7AE8">
        <w:rPr>
          <w:rFonts w:cstheme="minorHAnsi"/>
          <w:sz w:val="28"/>
          <w:szCs w:val="28"/>
        </w:rPr>
        <w:tab/>
        <w:t>Case laws</w:t>
      </w:r>
    </w:p>
    <w:p w:rsidR="002A7AE8" w:rsidRPr="002A7AE8" w:rsidRDefault="002A7AE8" w:rsidP="002A7AE8">
      <w:pPr>
        <w:rPr>
          <w:rFonts w:cstheme="minorHAnsi"/>
          <w:sz w:val="28"/>
          <w:szCs w:val="28"/>
        </w:rPr>
      </w:pPr>
      <w:r w:rsidRPr="002A7AE8">
        <w:rPr>
          <w:rFonts w:cstheme="minorHAnsi"/>
          <w:sz w:val="28"/>
          <w:szCs w:val="28"/>
        </w:rPr>
        <w:t>Eastern Book Company v. D.B. Modak, (2008) 1 SCC 1, Supreme Court of India</w:t>
      </w:r>
    </w:p>
    <w:p w:rsidR="002A7AE8" w:rsidRPr="002A7AE8" w:rsidRDefault="002A7AE8" w:rsidP="002A7AE8">
      <w:pPr>
        <w:rPr>
          <w:rFonts w:cstheme="minorHAnsi"/>
          <w:sz w:val="28"/>
          <w:szCs w:val="28"/>
        </w:rPr>
      </w:pPr>
      <w:r w:rsidRPr="002A7AE8">
        <w:rPr>
          <w:rFonts w:cstheme="minorHAnsi"/>
          <w:sz w:val="28"/>
          <w:szCs w:val="28"/>
        </w:rPr>
        <w:t>Facts: Eastern Book Company (EBC) compiled and published edited versions of Supreme Court judgments. EBC added editorial notes, headnotes, and cross-references to the raw text of these judgments, which were otherwise in the public domain as works of the Government. The defendant, D.B. Modak, copied significant portions of EBC's edited compilation. EBC filed suit claiming copyright protection over its editorial contributions, arguing that the skill and effort invested in selection and arrangement justified protection.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Issues: What standard of originality is required for an intellectual work to qualify for intellectual property protection? Whether the "sweat of the brow" doctrine — protection arising purely from labour and investment, without genuine creative input — is sufficient to attract copyright protection in India.</w:t>
      </w:r>
    </w:p>
    <w:p w:rsidR="002A7AE8" w:rsidRPr="002A7AE8" w:rsidRDefault="002A7AE8" w:rsidP="002A7AE8">
      <w:pPr>
        <w:rPr>
          <w:rFonts w:cstheme="minorHAnsi"/>
          <w:sz w:val="28"/>
          <w:szCs w:val="28"/>
        </w:rPr>
      </w:pPr>
      <w:r w:rsidRPr="002A7AE8">
        <w:rPr>
          <w:rFonts w:cstheme="minorHAnsi"/>
          <w:sz w:val="28"/>
          <w:szCs w:val="28"/>
        </w:rPr>
        <w:t>Held: The Supreme Court decisively rejected the sweat-of-the-brow doctrine and held that originality in Indian IP law requires a minimum degree of creativity — not mere mechanical effort or financial investment. The Court adopted the standard that the work must reflect the author's own intellectual creativity and independent judgment. While EBC's selection and arrangement of certain editorial elements did reflect such creativity and therefore attracted protection, purely mechanical additions such as formatting paragraphs or inserting paragraph numbers did not. The principle directly applies to layout-design protection: a semiconductor layout-design must reflect genuine intellectual creativity in its arrangement, not merely the effort of copying and assembling known elements. Section 7(2) of the SICLD Act codifies this standard by requiring that the design be the result of the creator's own intellectual efforts and not commonly known in the industry.</w:t>
      </w:r>
    </w:p>
    <w:p w:rsidR="002A7AE8" w:rsidRPr="002A7AE8" w:rsidRDefault="002A7AE8" w:rsidP="002A7AE8">
      <w:pPr>
        <w:rPr>
          <w:rFonts w:cstheme="minorHAnsi"/>
          <w:sz w:val="28"/>
          <w:szCs w:val="28"/>
        </w:rPr>
      </w:pPr>
      <w:r w:rsidRPr="002A7AE8">
        <w:rPr>
          <w:rFonts w:cstheme="minorHAnsi"/>
          <w:sz w:val="28"/>
          <w:szCs w:val="28"/>
        </w:rPr>
        <w:t>Brooktree Corporation v. Advanced Micro Devices Inc., 977 F.2d 1555, United States Court of Appeals, Federal Circuit, 1992</w:t>
      </w:r>
    </w:p>
    <w:p w:rsidR="002A7AE8" w:rsidRPr="002A7AE8" w:rsidRDefault="002A7AE8" w:rsidP="002A7AE8">
      <w:pPr>
        <w:rPr>
          <w:rFonts w:cstheme="minorHAnsi"/>
          <w:sz w:val="28"/>
          <w:szCs w:val="28"/>
        </w:rPr>
      </w:pPr>
      <w:r w:rsidRPr="002A7AE8">
        <w:rPr>
          <w:rFonts w:cstheme="minorHAnsi"/>
          <w:sz w:val="28"/>
          <w:szCs w:val="28"/>
        </w:rPr>
        <w:t>Facts: Brooktree Corporation, a semiconductor manufacturer, designed and registered static random access memory (SRAM) cell arrangements as mask works under the United States Semiconductor Chip Protection Act, 1984 (SCPA). Advanced Micro Devices (AMD) was found by a jury to have produced chips that copied the SRAM cell portions of Brooktree's registered mask work, even though the non-SRAM portions of AMD's chips were independently designed. AMD contended that since it had not copied the entire chip, there could be no infringement, and that "substantial similarity" required duplication of the whole work.</w:t>
      </w:r>
    </w:p>
    <w:p w:rsidR="002A7AE8" w:rsidRPr="002A7AE8" w:rsidRDefault="002A7AE8" w:rsidP="002A7AE8">
      <w:pPr>
        <w:rPr>
          <w:rFonts w:cstheme="minorHAnsi"/>
          <w:sz w:val="28"/>
          <w:szCs w:val="28"/>
        </w:rPr>
      </w:pPr>
      <w:r w:rsidRPr="002A7AE8">
        <w:rPr>
          <w:rFonts w:cstheme="minorHAnsi"/>
          <w:sz w:val="28"/>
          <w:szCs w:val="28"/>
        </w:rPr>
        <w:t>Issues: Whether infringement of a semiconductor mask work requires copying of the entire chip or whether copying of a qualitatively important portion of the mask work is sufficient. Whether the "substantial similarity" test drawn from copyright law applies to semiconductor chip topography protection.</w:t>
      </w:r>
    </w:p>
    <w:p w:rsidR="002A7AE8" w:rsidRPr="002A7AE8" w:rsidRDefault="002A7AE8" w:rsidP="002A7AE8">
      <w:pPr>
        <w:rPr>
          <w:rFonts w:cstheme="minorHAnsi"/>
          <w:sz w:val="28"/>
          <w:szCs w:val="28"/>
        </w:rPr>
      </w:pPr>
      <w:r w:rsidRPr="002A7AE8">
        <w:rPr>
          <w:rFonts w:cstheme="minorHAnsi"/>
          <w:sz w:val="28"/>
          <w:szCs w:val="28"/>
        </w:rPr>
        <w:t>Held: The Federal Circuit Court of Appeals upheld the jury's verdict of infringement and affirmed the damages award. The court held that the SCPA does not require copying of the entire mask work to establish infringement; copying of a qualitatively important or material portion is sufficient to constitute "substantial similarity" under the statute. Drawing on copyright's "piecemeal copying" principle — that copying one important chapter of a book may infringe the copyright in the whole — the court found that AMD's copying of the SRAM cell, which was a critical and central part of Brooktree's chip design, amounted to infringement. The court further clarified that where the reverse engineering defence is raised with credible evidence, the standard tightens to "substantial identity" (slavish copying) rather than mere substantial similarity. The decision remains the most authoritative judicial statement on the scope of layout-design infringement and the substantial similarity test, and is directly relevant to interpreting the scope of Section 18 of the Indian SICLD Act.</w:t>
      </w:r>
    </w:p>
    <w:p w:rsidR="002A7AE8" w:rsidRPr="002A7AE8" w:rsidRDefault="002A7AE8" w:rsidP="002A7AE8">
      <w:pPr>
        <w:rPr>
          <w:rFonts w:cstheme="minorHAnsi"/>
          <w:sz w:val="28"/>
          <w:szCs w:val="28"/>
        </w:rPr>
      </w:pPr>
      <w:r w:rsidRPr="002A7AE8">
        <w:rPr>
          <w:rFonts w:cstheme="minorHAnsi"/>
          <w:sz w:val="28"/>
          <w:szCs w:val="28"/>
        </w:rPr>
        <w:t>Maxim Integrated Products Inc. v. Analog Devices Inc. (India, cited in academic commentary, 2010s)</w:t>
      </w:r>
    </w:p>
    <w:p w:rsidR="002A7AE8" w:rsidRPr="002A7AE8" w:rsidRDefault="002A7AE8" w:rsidP="002A7AE8">
      <w:pPr>
        <w:rPr>
          <w:rFonts w:cstheme="minorHAnsi"/>
          <w:sz w:val="28"/>
          <w:szCs w:val="28"/>
        </w:rPr>
      </w:pPr>
      <w:r w:rsidRPr="002A7AE8">
        <w:rPr>
          <w:rFonts w:cstheme="minorHAnsi"/>
          <w:sz w:val="28"/>
          <w:szCs w:val="28"/>
        </w:rPr>
        <w:t>Facts: Maxim Integrated Products Inc., a major global semiconductor company, initiated proceedings against Analog Devices Inc. in India, alleging infringement of its semiconductor IC layout-design rights. The case involved claims that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Analog Devices had reproduced or incorporated elements of Maxim's proprietary layout-designs in competing IC products sold in the Indian market.</w:t>
      </w:r>
    </w:p>
    <w:p w:rsidR="002A7AE8" w:rsidRPr="002A7AE8" w:rsidRDefault="002A7AE8" w:rsidP="002A7AE8">
      <w:pPr>
        <w:rPr>
          <w:rFonts w:cstheme="minorHAnsi"/>
          <w:sz w:val="28"/>
          <w:szCs w:val="28"/>
        </w:rPr>
      </w:pPr>
      <w:r w:rsidRPr="002A7AE8">
        <w:rPr>
          <w:rFonts w:cstheme="minorHAnsi"/>
          <w:sz w:val="28"/>
          <w:szCs w:val="28"/>
        </w:rPr>
        <w:t>Issues: Whether the SICLD Act provides an effective enforcement framework for semiconductor companies seeking relief against IC layout-design infringement in India. Whether jurisdictional complexity and technical adjudication challenges affect the practical availability of relief.</w:t>
      </w:r>
    </w:p>
    <w:p w:rsidR="002A7AE8" w:rsidRPr="002A7AE8" w:rsidRDefault="002A7AE8" w:rsidP="002A7AE8">
      <w:pPr>
        <w:rPr>
          <w:rFonts w:cstheme="minorHAnsi"/>
          <w:sz w:val="28"/>
          <w:szCs w:val="28"/>
        </w:rPr>
      </w:pPr>
      <w:r w:rsidRPr="002A7AE8">
        <w:rPr>
          <w:rFonts w:cstheme="minorHAnsi"/>
          <w:sz w:val="28"/>
          <w:szCs w:val="28"/>
        </w:rPr>
        <w:t>Held: A detailed published judgment on the merits under the SICLD Act in this matter is not widely available in public legal databases, reflecting the general underutilisation of the Act's enforcement infrastructure in Indian courts.</w:t>
      </w:r>
    </w:p>
    <w:p w:rsidR="002A7AE8" w:rsidRPr="002A7AE8" w:rsidRDefault="002A7AE8" w:rsidP="002A7AE8">
      <w:pPr>
        <w:rPr>
          <w:rFonts w:cstheme="minorHAnsi"/>
          <w:sz w:val="28"/>
          <w:szCs w:val="28"/>
        </w:rPr>
      </w:pPr>
      <w:r w:rsidRPr="002A7AE8">
        <w:rPr>
          <w:rFonts w:cstheme="minorHAnsi"/>
          <w:sz w:val="28"/>
          <w:szCs w:val="28"/>
        </w:rPr>
        <w:t>However, the filing of this case by a leading global semiconductor company is itself significant as a demonstration that the SICLD Act is being invoked by international rights holders for chip design protection in India. Academic and regulatory commentary records this matter as highlighting the need for stronger enforcement mechanisms, faster dispute resolution, and greater judicial familiarity with semiconductor technology. The case reinforces the importance of registration as a prerequisite to any enforcement action under Section 16.</w:t>
      </w:r>
    </w:p>
    <w:p w:rsidR="002A7AE8" w:rsidRPr="002A7AE8" w:rsidRDefault="002A7AE8" w:rsidP="002A7AE8">
      <w:pPr>
        <w:rPr>
          <w:rFonts w:cstheme="minorHAnsi"/>
          <w:sz w:val="28"/>
          <w:szCs w:val="28"/>
        </w:rPr>
      </w:pPr>
      <w:r w:rsidRPr="002A7AE8">
        <w:rPr>
          <w:rFonts w:cstheme="minorHAnsi"/>
          <w:sz w:val="28"/>
          <w:szCs w:val="28"/>
        </w:rPr>
        <w:t>9.</w:t>
      </w:r>
      <w:r w:rsidRPr="002A7AE8">
        <w:rPr>
          <w:rFonts w:cstheme="minorHAnsi"/>
          <w:sz w:val="28"/>
          <w:szCs w:val="28"/>
        </w:rPr>
        <w:tab/>
        <w:t>Conclusion</w:t>
      </w:r>
    </w:p>
    <w:p w:rsidR="002A7AE8" w:rsidRPr="002A7AE8" w:rsidRDefault="002A7AE8" w:rsidP="002A7AE8">
      <w:pPr>
        <w:rPr>
          <w:rFonts w:cstheme="minorHAnsi"/>
          <w:sz w:val="28"/>
          <w:szCs w:val="28"/>
        </w:rPr>
      </w:pPr>
      <w:r w:rsidRPr="002A7AE8">
        <w:rPr>
          <w:rFonts w:cstheme="minorHAnsi"/>
          <w:sz w:val="28"/>
          <w:szCs w:val="28"/>
        </w:rPr>
        <w:t>Layout-designs or topographies of integrated circuits occupy a distinctive position in the intellectual property landscape — too functional for copyright, typically not novel enough for patents, yet undeniably creative and commercially valuable. The Semiconductor Integrated Circuits Layout-Design Act, 2000 provides India with a dedicated sui generis regime that fulfils its TRIPS obligations while addressing the unique characteristics of chip design as a form of intellectual creation.</w:t>
      </w:r>
    </w:p>
    <w:p w:rsidR="002A7AE8" w:rsidRPr="002A7AE8" w:rsidRDefault="002A7AE8" w:rsidP="002A7AE8">
      <w:pPr>
        <w:rPr>
          <w:rFonts w:cstheme="minorHAnsi"/>
          <w:sz w:val="28"/>
          <w:szCs w:val="28"/>
        </w:rPr>
      </w:pPr>
      <w:r w:rsidRPr="002A7AE8">
        <w:rPr>
          <w:rFonts w:cstheme="minorHAnsi"/>
          <w:sz w:val="28"/>
          <w:szCs w:val="28"/>
        </w:rPr>
        <w:t>The Act's framework — anchored by the originality requirement in Section 7, exclusive rights under Section 17, the comprehensive infringement provisions in Section 18, the ten-year non-renewable term under Section 15, and both civil and criminal remedies — strikes a considered balance between protecting creators' investment and preserving the public interest through research exceptions, reverse engineering rights, and compulsory licensing. The assignability of layout-design rights under Section 21, in contrast to geographical indications, allows for commercial exploitation through technology transfer and licensing arrangements, which is especially important in a globalised semiconductor supply chain.</w:t>
      </w:r>
    </w:p>
    <w:p w:rsidR="002A7AE8" w:rsidRPr="002A7AE8" w:rsidRDefault="002A7AE8" w:rsidP="002A7AE8">
      <w:pPr>
        <w:rPr>
          <w:rFonts w:cstheme="minorHAnsi"/>
          <w:sz w:val="28"/>
          <w:szCs w:val="28"/>
        </w:rPr>
      </w:pPr>
      <w:r w:rsidRPr="002A7AE8">
        <w:rPr>
          <w:rFonts w:cstheme="minorHAnsi"/>
          <w:sz w:val="28"/>
          <w:szCs w:val="28"/>
        </w:rPr>
        <w:t>In practice, however, the Act's potential remains largely unrealised. Registration numbers are low relative to India's active semiconductor design sector, enforcement infrastructure is limited, and Indian courts have yet to develop a substantial body of domestic case law specifically interpreting the Act's provisions. As India accelerates its ambitions in semiconductor manufacturing and design through the India Semiconductor Mission, building a robust culture of layout-design registration, awareness, and enforcement will be essential to protecting the intellectual fruits of this growing industry and to making the SICLD Act the working instrument of protection it was designed to be.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Plant varieties and farmers' rights</w:t>
      </w:r>
    </w:p>
    <w:p w:rsidR="002A7AE8" w:rsidRPr="002A7AE8" w:rsidRDefault="002A7AE8" w:rsidP="002A7AE8">
      <w:pPr>
        <w:rPr>
          <w:rFonts w:cstheme="minorHAnsi"/>
          <w:sz w:val="28"/>
          <w:szCs w:val="28"/>
        </w:rPr>
      </w:pPr>
      <w:r w:rsidRPr="002A7AE8">
        <w:rPr>
          <w:rFonts w:cstheme="minorHAnsi"/>
          <w:sz w:val="28"/>
          <w:szCs w:val="28"/>
        </w:rPr>
        <w:t>Introduction</w:t>
      </w:r>
    </w:p>
    <w:p w:rsidR="002A7AE8" w:rsidRPr="002A7AE8" w:rsidRDefault="002A7AE8" w:rsidP="002A7AE8">
      <w:pPr>
        <w:rPr>
          <w:rFonts w:cstheme="minorHAnsi"/>
          <w:sz w:val="28"/>
          <w:szCs w:val="28"/>
        </w:rPr>
      </w:pPr>
      <w:r w:rsidRPr="002A7AE8">
        <w:rPr>
          <w:rFonts w:cstheme="minorHAnsi"/>
          <w:sz w:val="28"/>
          <w:szCs w:val="28"/>
        </w:rPr>
        <w:t>Agriculture plays a central role in the economic and social development of India. Farmers and plant breeders contribute significantly to the development, conservation, and improvement of plant genetic resources. With advancements in biotechnology and agriculture, it became necessary to protect the rights of plant breeders while also safeguarding the traditional rights of farmers.</w:t>
      </w:r>
    </w:p>
    <w:p w:rsidR="002A7AE8" w:rsidRPr="002A7AE8" w:rsidRDefault="002A7AE8" w:rsidP="002A7AE8">
      <w:pPr>
        <w:rPr>
          <w:rFonts w:cstheme="minorHAnsi"/>
          <w:sz w:val="28"/>
          <w:szCs w:val="28"/>
        </w:rPr>
      </w:pPr>
      <w:r w:rsidRPr="002A7AE8">
        <w:rPr>
          <w:rFonts w:cstheme="minorHAnsi"/>
          <w:sz w:val="28"/>
          <w:szCs w:val="28"/>
        </w:rPr>
        <w:t>At the international level, the TRIPS Agreement (Article 27.3(b)) requires member countries to provide protection for plant varieties either through patents, a sui generis system, or a combination of both. India adopted a unique sui generis system by enacting the Protection of Plant Varieties and Farmers' Rights Act, 2001 (PPVFR Act, 2001).</w:t>
      </w:r>
    </w:p>
    <w:p w:rsidR="002A7AE8" w:rsidRPr="002A7AE8" w:rsidRDefault="002A7AE8" w:rsidP="002A7AE8">
      <w:pPr>
        <w:rPr>
          <w:rFonts w:cstheme="minorHAnsi"/>
          <w:sz w:val="28"/>
          <w:szCs w:val="28"/>
        </w:rPr>
      </w:pPr>
      <w:r w:rsidRPr="002A7AE8">
        <w:rPr>
          <w:rFonts w:cstheme="minorHAnsi"/>
          <w:sz w:val="28"/>
          <w:szCs w:val="28"/>
        </w:rPr>
        <w:t>The Act aims to protect new plant varieties, recognise the contribution of farmers, encourage development of improved varieties, promote agricultural innovation, and protect traditional knowledge relating to plant genetic resources. The PPVFR Act balances the interests of plant breeders, researchers, and farmers.</w:t>
      </w:r>
    </w:p>
    <w:p w:rsidR="002A7AE8" w:rsidRPr="002A7AE8" w:rsidRDefault="002A7AE8" w:rsidP="002A7AE8">
      <w:pPr>
        <w:rPr>
          <w:rFonts w:cstheme="minorHAnsi"/>
          <w:sz w:val="28"/>
          <w:szCs w:val="28"/>
        </w:rPr>
      </w:pPr>
      <w:r w:rsidRPr="002A7AE8">
        <w:rPr>
          <w:rFonts w:cstheme="minorHAnsi"/>
          <w:sz w:val="28"/>
          <w:szCs w:val="28"/>
        </w:rPr>
        <w:t>Objectives of the protection of plant varieties and farmers' rights act, 2001</w:t>
      </w:r>
    </w:p>
    <w:p w:rsidR="002A7AE8" w:rsidRPr="002A7AE8" w:rsidRDefault="002A7AE8" w:rsidP="002A7AE8">
      <w:pPr>
        <w:rPr>
          <w:rFonts w:cstheme="minorHAnsi"/>
          <w:sz w:val="28"/>
          <w:szCs w:val="28"/>
        </w:rPr>
      </w:pPr>
      <w:r w:rsidRPr="002A7AE8">
        <w:rPr>
          <w:rFonts w:cstheme="minorHAnsi"/>
          <w:sz w:val="28"/>
          <w:szCs w:val="28"/>
        </w:rPr>
        <w:t>The main objectives of the Act are to provide legal protection to plant varieties; encourage the development of new varieties; recognise farmers as breeders and conservers; promote investment in seed research; and facilitate growth of the seed industry.</w:t>
      </w:r>
    </w:p>
    <w:p w:rsidR="002A7AE8" w:rsidRPr="002A7AE8" w:rsidRDefault="002A7AE8" w:rsidP="002A7AE8">
      <w:pPr>
        <w:rPr>
          <w:rFonts w:cstheme="minorHAnsi"/>
          <w:sz w:val="28"/>
          <w:szCs w:val="28"/>
        </w:rPr>
      </w:pPr>
      <w:r w:rsidRPr="002A7AE8">
        <w:rPr>
          <w:rFonts w:cstheme="minorHAnsi"/>
          <w:sz w:val="28"/>
          <w:szCs w:val="28"/>
        </w:rPr>
        <w:t>Meaning of variety</w:t>
      </w:r>
    </w:p>
    <w:p w:rsidR="002A7AE8" w:rsidRPr="002A7AE8" w:rsidRDefault="002A7AE8" w:rsidP="002A7AE8">
      <w:pPr>
        <w:rPr>
          <w:rFonts w:cstheme="minorHAnsi"/>
          <w:sz w:val="28"/>
          <w:szCs w:val="28"/>
        </w:rPr>
      </w:pPr>
      <w:r w:rsidRPr="002A7AE8">
        <w:rPr>
          <w:rFonts w:cstheme="minorHAnsi"/>
          <w:sz w:val="28"/>
          <w:szCs w:val="28"/>
        </w:rPr>
        <w:t>Section 2(za) — definition of variety</w:t>
      </w:r>
    </w:p>
    <w:p w:rsidR="002A7AE8" w:rsidRPr="002A7AE8" w:rsidRDefault="002A7AE8" w:rsidP="002A7AE8">
      <w:pPr>
        <w:rPr>
          <w:rFonts w:cstheme="minorHAnsi"/>
          <w:sz w:val="28"/>
          <w:szCs w:val="28"/>
        </w:rPr>
      </w:pPr>
      <w:r w:rsidRPr="002A7AE8">
        <w:rPr>
          <w:rFonts w:cstheme="minorHAnsi"/>
          <w:sz w:val="28"/>
          <w:szCs w:val="28"/>
        </w:rPr>
        <w:t>"Variety" means a plant grouping except micro-organism within a single botanical taxon of the lowest known rank, which can be—</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defined by the expression of the characteristics resulting from a given genotype of that plant grouping;</w:t>
      </w:r>
    </w:p>
    <w:p w:rsidR="002A7AE8" w:rsidRPr="002A7AE8" w:rsidRDefault="002A7AE8" w:rsidP="002A7AE8">
      <w:pPr>
        <w:rPr>
          <w:rFonts w:cstheme="minorHAnsi"/>
          <w:sz w:val="28"/>
          <w:szCs w:val="28"/>
        </w:rPr>
      </w:pPr>
      <w:r w:rsidRPr="002A7AE8">
        <w:rPr>
          <w:rFonts w:cstheme="minorHAnsi"/>
          <w:sz w:val="28"/>
          <w:szCs w:val="28"/>
        </w:rPr>
        <w:t>(ii)</w:t>
      </w:r>
      <w:r w:rsidRPr="002A7AE8">
        <w:rPr>
          <w:rFonts w:cstheme="minorHAnsi"/>
          <w:sz w:val="28"/>
          <w:szCs w:val="28"/>
        </w:rPr>
        <w:tab/>
        <w:t>distinguished from any other plant grouping by expression of at least one of the said characteristics; and</w:t>
      </w:r>
    </w:p>
    <w:p w:rsidR="002A7AE8" w:rsidRPr="002A7AE8" w:rsidRDefault="002A7AE8" w:rsidP="002A7AE8">
      <w:pPr>
        <w:rPr>
          <w:rFonts w:cstheme="minorHAnsi"/>
          <w:sz w:val="28"/>
          <w:szCs w:val="28"/>
        </w:rPr>
      </w:pPr>
      <w:r w:rsidRPr="002A7AE8">
        <w:rPr>
          <w:rFonts w:cstheme="minorHAnsi"/>
          <w:sz w:val="28"/>
          <w:szCs w:val="28"/>
        </w:rPr>
        <w:t>(iii)</w:t>
      </w:r>
      <w:r w:rsidRPr="002A7AE8">
        <w:rPr>
          <w:rFonts w:cstheme="minorHAnsi"/>
          <w:sz w:val="28"/>
          <w:szCs w:val="28"/>
        </w:rPr>
        <w:tab/>
        <w:t>considered as a unit with regard to its suitability for being propagated, which remains unchanged after such propagation,</w:t>
      </w:r>
    </w:p>
    <w:p w:rsidR="002A7AE8" w:rsidRPr="002A7AE8" w:rsidRDefault="002A7AE8" w:rsidP="002A7AE8">
      <w:pPr>
        <w:rPr>
          <w:rFonts w:cstheme="minorHAnsi"/>
          <w:sz w:val="28"/>
          <w:szCs w:val="28"/>
        </w:rPr>
      </w:pPr>
      <w:r w:rsidRPr="002A7AE8">
        <w:rPr>
          <w:rFonts w:cstheme="minorHAnsi"/>
          <w:sz w:val="28"/>
          <w:szCs w:val="28"/>
        </w:rPr>
        <w:t>and includes propagating material of such variety, extant variety, transgenic variety, farmers' variety and essentially derived variety.</w:t>
      </w:r>
    </w:p>
    <w:p w:rsidR="002A7AE8" w:rsidRPr="002A7AE8" w:rsidRDefault="002A7AE8" w:rsidP="002A7AE8">
      <w:pPr>
        <w:rPr>
          <w:rFonts w:cstheme="minorHAnsi"/>
          <w:sz w:val="28"/>
          <w:szCs w:val="28"/>
        </w:rPr>
      </w:pPr>
      <w:r w:rsidRPr="002A7AE8">
        <w:rPr>
          <w:rFonts w:cstheme="minorHAnsi"/>
          <w:sz w:val="28"/>
          <w:szCs w:val="28"/>
        </w:rPr>
        <w:t>Key terms explained: A 'botanical taxon of the lowest known rank' means the smallest recognised unit in plant classification, usually a species. 'Propagating material' refers to seeds, parts of plants, or any material capable of growing into a new plant. The definition is wide enough to include extant varieties (those already in existence), transgenic varieties, farmers' varieties, and essentially derived varieties, ensuring comprehensive coverage under the Act.</w:t>
      </w:r>
    </w:p>
    <w:p w:rsidR="002A7AE8" w:rsidRPr="002A7AE8" w:rsidRDefault="002A7AE8" w:rsidP="002A7AE8">
      <w:pPr>
        <w:rPr>
          <w:rFonts w:cstheme="minorHAnsi"/>
          <w:sz w:val="28"/>
          <w:szCs w:val="28"/>
        </w:rPr>
      </w:pPr>
      <w:r w:rsidRPr="002A7AE8">
        <w:rPr>
          <w:rFonts w:cstheme="minorHAnsi"/>
          <w:sz w:val="28"/>
          <w:szCs w:val="28"/>
        </w:rPr>
        <w:t>Meaning of farmer</w:t>
      </w:r>
    </w:p>
    <w:p w:rsidR="002A7AE8" w:rsidRPr="002A7AE8" w:rsidRDefault="002A7AE8" w:rsidP="002A7AE8">
      <w:pPr>
        <w:rPr>
          <w:rFonts w:cstheme="minorHAnsi"/>
          <w:sz w:val="28"/>
          <w:szCs w:val="28"/>
        </w:rPr>
      </w:pPr>
      <w:r w:rsidRPr="002A7AE8">
        <w:rPr>
          <w:rFonts w:cstheme="minorHAnsi"/>
          <w:sz w:val="28"/>
          <w:szCs w:val="28"/>
        </w:rPr>
        <w:t>Section 2(k) — definition of farmer</w:t>
      </w:r>
    </w:p>
    <w:p w:rsidR="002A7AE8" w:rsidRPr="002A7AE8" w:rsidRDefault="002A7AE8" w:rsidP="002A7AE8">
      <w:pPr>
        <w:rPr>
          <w:rFonts w:cstheme="minorHAnsi"/>
          <w:sz w:val="28"/>
          <w:szCs w:val="28"/>
        </w:rPr>
      </w:pPr>
      <w:r w:rsidRPr="002A7AE8">
        <w:rPr>
          <w:rFonts w:cstheme="minorHAnsi"/>
          <w:sz w:val="28"/>
          <w:szCs w:val="28"/>
        </w:rPr>
        <w:t>"Farmer" means any person who—</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cultivates crops by cultivating the land himself; or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(ii)</w:t>
      </w:r>
      <w:r w:rsidRPr="002A7AE8">
        <w:rPr>
          <w:rFonts w:cstheme="minorHAnsi"/>
          <w:sz w:val="28"/>
          <w:szCs w:val="28"/>
        </w:rPr>
        <w:tab/>
        <w:t>cultivates crops by directly supervising the cultivation of land through any other person; or</w:t>
      </w:r>
    </w:p>
    <w:p w:rsidR="002A7AE8" w:rsidRPr="002A7AE8" w:rsidRDefault="002A7AE8" w:rsidP="002A7AE8">
      <w:pPr>
        <w:rPr>
          <w:rFonts w:cstheme="minorHAnsi"/>
          <w:sz w:val="28"/>
          <w:szCs w:val="28"/>
        </w:rPr>
      </w:pPr>
      <w:r w:rsidRPr="002A7AE8">
        <w:rPr>
          <w:rFonts w:cstheme="minorHAnsi"/>
          <w:sz w:val="28"/>
          <w:szCs w:val="28"/>
        </w:rPr>
        <w:t>(iii)</w:t>
      </w:r>
      <w:r w:rsidRPr="002A7AE8">
        <w:rPr>
          <w:rFonts w:cstheme="minorHAnsi"/>
          <w:sz w:val="28"/>
          <w:szCs w:val="28"/>
        </w:rPr>
        <w:tab/>
        <w:t>conserves and preserves, severally or jointly, with any other person any wild species or traditional varieties or adds value to such wild species or traditional varieties through selection and identification of their useful properties.</w:t>
      </w:r>
    </w:p>
    <w:p w:rsidR="002A7AE8" w:rsidRPr="002A7AE8" w:rsidRDefault="002A7AE8" w:rsidP="002A7AE8">
      <w:pPr>
        <w:rPr>
          <w:rFonts w:cstheme="minorHAnsi"/>
          <w:sz w:val="28"/>
          <w:szCs w:val="28"/>
        </w:rPr>
      </w:pPr>
      <w:r w:rsidRPr="002A7AE8">
        <w:rPr>
          <w:rFonts w:cstheme="minorHAnsi"/>
          <w:sz w:val="28"/>
          <w:szCs w:val="28"/>
        </w:rPr>
        <w:t>The definition is deliberately broad. A farmer is not only someone who physically tills the land but also one who supervises cultivation or engages in the conservation and improvement of wild or traditional plant varieties. This inclusive definition acknowledges that farmers contribute to agricultural knowledge and biodiversity in multiple ways, and ensures that all such contributors receive legal protection under the Act.</w:t>
      </w:r>
    </w:p>
    <w:p w:rsidR="002A7AE8" w:rsidRPr="002A7AE8" w:rsidRDefault="002A7AE8" w:rsidP="002A7AE8">
      <w:pPr>
        <w:rPr>
          <w:rFonts w:cstheme="minorHAnsi"/>
          <w:sz w:val="28"/>
          <w:szCs w:val="28"/>
        </w:rPr>
      </w:pPr>
      <w:r w:rsidRPr="002A7AE8">
        <w:rPr>
          <w:rFonts w:cstheme="minorHAnsi"/>
          <w:sz w:val="28"/>
          <w:szCs w:val="28"/>
        </w:rPr>
        <w:t>Registration of plant varieties</w:t>
      </w:r>
    </w:p>
    <w:p w:rsidR="002A7AE8" w:rsidRPr="002A7AE8" w:rsidRDefault="002A7AE8" w:rsidP="002A7AE8">
      <w:pPr>
        <w:rPr>
          <w:rFonts w:cstheme="minorHAnsi"/>
          <w:sz w:val="28"/>
          <w:szCs w:val="28"/>
        </w:rPr>
      </w:pPr>
      <w:r w:rsidRPr="002A7AE8">
        <w:rPr>
          <w:rFonts w:cstheme="minorHAnsi"/>
          <w:sz w:val="28"/>
          <w:szCs w:val="28"/>
        </w:rPr>
        <w:t>Section 14 — application for registration</w:t>
      </w:r>
    </w:p>
    <w:p w:rsidR="002A7AE8" w:rsidRPr="002A7AE8" w:rsidRDefault="002A7AE8" w:rsidP="002A7AE8">
      <w:pPr>
        <w:rPr>
          <w:rFonts w:cstheme="minorHAnsi"/>
          <w:sz w:val="28"/>
          <w:szCs w:val="28"/>
        </w:rPr>
      </w:pPr>
      <w:r w:rsidRPr="002A7AE8">
        <w:rPr>
          <w:rFonts w:cstheme="minorHAnsi"/>
          <w:sz w:val="28"/>
          <w:szCs w:val="28"/>
        </w:rPr>
        <w:t>Any person specified in section 16 may make an application to the Registrar for registration of any variety—</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of such genera and species as specified under sub-section (2) of section 29; or</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which is an extant variety; or</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which is a farmers' variety.</w:t>
      </w:r>
    </w:p>
    <w:p w:rsidR="002A7AE8" w:rsidRPr="002A7AE8" w:rsidRDefault="002A7AE8" w:rsidP="002A7AE8">
      <w:pPr>
        <w:rPr>
          <w:rFonts w:cstheme="minorHAnsi"/>
          <w:sz w:val="28"/>
          <w:szCs w:val="28"/>
        </w:rPr>
      </w:pPr>
      <w:r w:rsidRPr="002A7AE8">
        <w:rPr>
          <w:rFonts w:cstheme="minorHAnsi"/>
          <w:sz w:val="28"/>
          <w:szCs w:val="28"/>
        </w:rPr>
        <w:t>Section 14 sets out the three categories of varieties for which registration may be sought: new varieties, extant varieties (those already in existence), and farmers' varieties. The provision creates an open and accessible registration system, recognising that not only newly developed varieties but also historically cultivated and traditional varieties deserve legal protection and formal recognition.</w:t>
      </w:r>
    </w:p>
    <w:p w:rsidR="002A7AE8" w:rsidRPr="002A7AE8" w:rsidRDefault="002A7AE8" w:rsidP="002A7AE8">
      <w:pPr>
        <w:rPr>
          <w:rFonts w:cstheme="minorHAnsi"/>
          <w:sz w:val="28"/>
          <w:szCs w:val="28"/>
        </w:rPr>
      </w:pPr>
      <w:r w:rsidRPr="002A7AE8">
        <w:rPr>
          <w:rFonts w:cstheme="minorHAnsi"/>
          <w:sz w:val="28"/>
          <w:szCs w:val="28"/>
        </w:rPr>
        <w:t>Persons entitled to apply</w:t>
      </w:r>
    </w:p>
    <w:p w:rsidR="002A7AE8" w:rsidRPr="002A7AE8" w:rsidRDefault="002A7AE8" w:rsidP="002A7AE8">
      <w:pPr>
        <w:rPr>
          <w:rFonts w:cstheme="minorHAnsi"/>
          <w:sz w:val="28"/>
          <w:szCs w:val="28"/>
        </w:rPr>
      </w:pPr>
      <w:r w:rsidRPr="002A7AE8">
        <w:rPr>
          <w:rFonts w:cstheme="minorHAnsi"/>
          <w:sz w:val="28"/>
          <w:szCs w:val="28"/>
        </w:rPr>
        <w:t>Section 16 — persons who may make application</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An application for registration under section 14 shall be made by—</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any person claiming to be the breeder of the variety; or</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any successor of the breeder of the variety; or</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any person being the assignee of the breeder of the variety in respect of the right to make such application; or</w:t>
      </w: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any farmer or group of farmers or community of farmers claiming to be the breeder of the variety; or</w:t>
      </w:r>
    </w:p>
    <w:p w:rsidR="002A7AE8" w:rsidRPr="002A7AE8" w:rsidRDefault="002A7AE8" w:rsidP="002A7AE8">
      <w:pPr>
        <w:rPr>
          <w:rFonts w:cstheme="minorHAnsi"/>
          <w:sz w:val="28"/>
          <w:szCs w:val="28"/>
        </w:rPr>
      </w:pPr>
      <w:r w:rsidRPr="002A7AE8">
        <w:rPr>
          <w:rFonts w:cstheme="minorHAnsi"/>
          <w:sz w:val="28"/>
          <w:szCs w:val="28"/>
        </w:rPr>
        <w:t>(e)</w:t>
      </w:r>
      <w:r w:rsidRPr="002A7AE8">
        <w:rPr>
          <w:rFonts w:cstheme="minorHAnsi"/>
          <w:sz w:val="28"/>
          <w:szCs w:val="28"/>
        </w:rPr>
        <w:tab/>
        <w:t>any person authorised in the prescribed manner by a person specified under clauses (a) to (d) to make application on his behalf; or</w:t>
      </w:r>
    </w:p>
    <w:p w:rsidR="002A7AE8" w:rsidRPr="002A7AE8" w:rsidRDefault="002A7AE8" w:rsidP="002A7AE8">
      <w:pPr>
        <w:rPr>
          <w:rFonts w:cstheme="minorHAnsi"/>
          <w:sz w:val="28"/>
          <w:szCs w:val="28"/>
        </w:rPr>
      </w:pPr>
      <w:r w:rsidRPr="002A7AE8">
        <w:rPr>
          <w:rFonts w:cstheme="minorHAnsi"/>
          <w:sz w:val="28"/>
          <w:szCs w:val="28"/>
        </w:rPr>
        <w:t>(f)</w:t>
      </w:r>
      <w:r w:rsidRPr="002A7AE8">
        <w:rPr>
          <w:rFonts w:cstheme="minorHAnsi"/>
          <w:sz w:val="28"/>
          <w:szCs w:val="28"/>
        </w:rPr>
        <w:tab/>
        <w:t>any university or publicly funded agricultural institution claiming to be the breeder of the variety.</w:t>
      </w:r>
    </w:p>
    <w:p w:rsidR="002A7AE8" w:rsidRPr="002A7AE8" w:rsidRDefault="002A7AE8" w:rsidP="002A7AE8">
      <w:pPr>
        <w:rPr>
          <w:rFonts w:cstheme="minorHAnsi"/>
          <w:sz w:val="28"/>
          <w:szCs w:val="28"/>
        </w:rPr>
      </w:pPr>
      <w:r w:rsidRPr="002A7AE8">
        <w:rPr>
          <w:rFonts w:cstheme="minorHAnsi"/>
          <w:sz w:val="28"/>
          <w:szCs w:val="28"/>
        </w:rPr>
        <w:t>Section 16 takes a broad view of who may apply for registration. A breeder, successor, assignee, farmer, group of farmers, authorised agent, university, or publicly funded agricultural institution are all eligible. This reflects the Act's intent to accommodate diverse contributors to plant variety development, from individual farmers preserving heritage seeds to large agricultural research institutions.</w:t>
      </w:r>
    </w:p>
    <w:p w:rsidR="002A7AE8" w:rsidRPr="002A7AE8" w:rsidRDefault="002A7AE8" w:rsidP="002A7AE8">
      <w:pPr>
        <w:rPr>
          <w:rFonts w:cstheme="minorHAnsi"/>
          <w:sz w:val="28"/>
          <w:szCs w:val="28"/>
        </w:rPr>
      </w:pPr>
      <w:r w:rsidRPr="002A7AE8">
        <w:rPr>
          <w:rFonts w:cstheme="minorHAnsi"/>
          <w:sz w:val="28"/>
          <w:szCs w:val="28"/>
        </w:rPr>
        <w:t>Conditions for registration</w:t>
      </w:r>
    </w:p>
    <w:p w:rsidR="002A7AE8" w:rsidRPr="002A7AE8" w:rsidRDefault="002A7AE8" w:rsidP="002A7AE8">
      <w:pPr>
        <w:rPr>
          <w:rFonts w:cstheme="minorHAnsi"/>
          <w:sz w:val="28"/>
          <w:szCs w:val="28"/>
        </w:rPr>
      </w:pPr>
      <w:r w:rsidRPr="002A7AE8">
        <w:rPr>
          <w:rFonts w:cstheme="minorHAnsi"/>
          <w:sz w:val="28"/>
          <w:szCs w:val="28"/>
        </w:rPr>
        <w:t>Section 15 — registrable varieties and the dus criteria</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A new variety shall be registered under this Act if it conforms to the criteria of novelty, distinctiveness, uniformity and stability.</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Notwithstanding anything contained in sub-section (1), an extant variety shall be registered under this Act within a specified period if it conforms to such criteria of distinctiveness, uniformity and stability as shall be specified under the regulations.</w:t>
      </w:r>
    </w:p>
    <w:p w:rsidR="002A7AE8" w:rsidRPr="002A7AE8" w:rsidRDefault="002A7AE8" w:rsidP="002A7AE8">
      <w:pPr>
        <w:rPr>
          <w:rFonts w:cstheme="minorHAnsi"/>
          <w:sz w:val="28"/>
          <w:szCs w:val="28"/>
        </w:rPr>
      </w:pPr>
      <w:r w:rsidRPr="002A7AE8">
        <w:rPr>
          <w:rFonts w:cstheme="minorHAnsi"/>
          <w:sz w:val="28"/>
          <w:szCs w:val="28"/>
        </w:rPr>
        <w:t>(3)</w:t>
      </w:r>
      <w:r w:rsidRPr="002A7AE8">
        <w:rPr>
          <w:rFonts w:cstheme="minorHAnsi"/>
          <w:sz w:val="28"/>
          <w:szCs w:val="28"/>
        </w:rPr>
        <w:tab/>
        <w:t>For the purposes of sub-sections (1) and (2), a new variety shall be deemed to be—</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novel, if, at the date of filing of the application for registration for protection, the propagating or harvested material of such variety has not been sold or otherwise disposed of by or with the consent of its breeder or his successor for the purposes of exploitation of such variety—</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in India, earlier than one year; or</w:t>
      </w:r>
    </w:p>
    <w:p w:rsidR="002A7AE8" w:rsidRPr="002A7AE8" w:rsidRDefault="002A7AE8" w:rsidP="002A7AE8">
      <w:pPr>
        <w:rPr>
          <w:rFonts w:cstheme="minorHAnsi"/>
          <w:sz w:val="28"/>
          <w:szCs w:val="28"/>
        </w:rPr>
      </w:pPr>
      <w:r w:rsidRPr="002A7AE8">
        <w:rPr>
          <w:rFonts w:cstheme="minorHAnsi"/>
          <w:sz w:val="28"/>
          <w:szCs w:val="28"/>
        </w:rPr>
        <w:t>(ii)</w:t>
      </w:r>
      <w:r w:rsidRPr="002A7AE8">
        <w:rPr>
          <w:rFonts w:cstheme="minorHAnsi"/>
          <w:sz w:val="28"/>
          <w:szCs w:val="28"/>
        </w:rPr>
        <w:tab/>
        <w:t>outside India, in the case of trees or vines earlier than six years, or in any other case, earlier than four years, before the date of filing such application;</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distinct, if it is clearly distinguishable by at least one essential characteristic from any other variety whose existence is a matter of common knowledge in any country at the time of filing of the application;</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uniform, if subject to the variation that may be expected from the particular features of its propagation it is sufficiently uniform in its essential characteristics;</w:t>
      </w:r>
    </w:p>
    <w:p w:rsidR="002A7AE8" w:rsidRPr="002A7AE8" w:rsidRDefault="002A7AE8" w:rsidP="002A7AE8">
      <w:pPr>
        <w:rPr>
          <w:rFonts w:cstheme="minorHAnsi"/>
          <w:sz w:val="28"/>
          <w:szCs w:val="28"/>
        </w:rPr>
      </w:pPr>
      <w:r w:rsidRPr="002A7AE8">
        <w:rPr>
          <w:rFonts w:cstheme="minorHAnsi"/>
          <w:sz w:val="28"/>
          <w:szCs w:val="28"/>
        </w:rPr>
        <w:t>(d)</w:t>
      </w:r>
      <w:r w:rsidRPr="002A7AE8">
        <w:rPr>
          <w:rFonts w:cstheme="minorHAnsi"/>
          <w:sz w:val="28"/>
          <w:szCs w:val="28"/>
        </w:rPr>
        <w:tab/>
        <w:t>stable, if its essential characteristics remain unchanged after repeated propagation or, in the case of a particular cycle of propagation, at the end of each such cycle.</w:t>
      </w:r>
    </w:p>
    <w:p w:rsidR="002A7AE8" w:rsidRPr="002A7AE8" w:rsidRDefault="002A7AE8" w:rsidP="002A7AE8">
      <w:pPr>
        <w:rPr>
          <w:rFonts w:cstheme="minorHAnsi"/>
          <w:sz w:val="28"/>
          <w:szCs w:val="28"/>
        </w:rPr>
      </w:pPr>
      <w:r w:rsidRPr="002A7AE8">
        <w:rPr>
          <w:rFonts w:cstheme="minorHAnsi"/>
          <w:sz w:val="28"/>
          <w:szCs w:val="28"/>
        </w:rPr>
        <w:t>Section 15 prescribes the DUS test — distinctiveness, uniformity, and stability</w:t>
      </w:r>
    </w:p>
    <w:p w:rsidR="002A7AE8" w:rsidRPr="002A7AE8" w:rsidRDefault="002A7AE8" w:rsidP="002A7AE8">
      <w:pPr>
        <w:rPr>
          <w:rFonts w:cstheme="minorHAnsi"/>
          <w:sz w:val="28"/>
          <w:szCs w:val="28"/>
        </w:rPr>
      </w:pPr>
      <w:r w:rsidRPr="002A7AE8">
        <w:rPr>
          <w:rFonts w:cstheme="minorHAnsi"/>
          <w:sz w:val="28"/>
          <w:szCs w:val="28"/>
        </w:rPr>
        <w:t>— along with novelty for new varieties. Novelty ensures a variety has not been commercially exploited before the prescribed cut-off dates (one year in India, four to six years abroad depending on the crop). Distinctness requires at least one clearly identifiable difference from existing varieties. Uniformity demands consistent expression of characteristics across plants of the same variety.</w:t>
      </w:r>
    </w:p>
    <w:p w:rsidR="002A7AE8" w:rsidRPr="002A7AE8" w:rsidRDefault="002A7AE8" w:rsidP="002A7AE8">
      <w:pPr>
        <w:rPr>
          <w:rFonts w:cstheme="minorHAnsi"/>
          <w:sz w:val="28"/>
          <w:szCs w:val="28"/>
        </w:rPr>
      </w:pPr>
      <w:r w:rsidRPr="002A7AE8">
        <w:rPr>
          <w:rFonts w:cstheme="minorHAnsi"/>
          <w:sz w:val="28"/>
          <w:szCs w:val="28"/>
        </w:rPr>
        <w:t>Stability ensures the variety retains its defining traits through repeated propagation. Together, these criteria maintain the integrity and reliability of the registration system.</w:t>
      </w:r>
    </w:p>
    <w:p w:rsidR="002A7AE8" w:rsidRPr="002A7AE8" w:rsidRDefault="002A7AE8" w:rsidP="002A7AE8">
      <w:pPr>
        <w:rPr>
          <w:rFonts w:cstheme="minorHAnsi"/>
          <w:sz w:val="28"/>
          <w:szCs w:val="28"/>
        </w:rPr>
      </w:pPr>
      <w:r w:rsidRPr="002A7AE8">
        <w:rPr>
          <w:rFonts w:cstheme="minorHAnsi"/>
          <w:sz w:val="28"/>
          <w:szCs w:val="28"/>
        </w:rPr>
        <w:t>Rights of plant breeders</w:t>
      </w:r>
    </w:p>
    <w:p w:rsidR="002A7AE8" w:rsidRPr="002A7AE8" w:rsidRDefault="002A7AE8" w:rsidP="002A7AE8">
      <w:pPr>
        <w:rPr>
          <w:rFonts w:cstheme="minorHAnsi"/>
          <w:sz w:val="28"/>
          <w:szCs w:val="28"/>
        </w:rPr>
      </w:pPr>
      <w:r w:rsidRPr="002A7AE8">
        <w:rPr>
          <w:rFonts w:cstheme="minorHAnsi"/>
          <w:sz w:val="28"/>
          <w:szCs w:val="28"/>
        </w:rPr>
        <w:t>Section 28 — rights conferred by registration</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Subject to the other provisions of this Act, a certificate of registration for a variety issued under this Act shall confer an exclusive right on the breeder or his successor, his agent or licensee, to produce, sell, market, distribute, import or export the variety:</w:t>
      </w:r>
    </w:p>
    <w:p w:rsidR="002A7AE8" w:rsidRPr="002A7AE8" w:rsidRDefault="002A7AE8" w:rsidP="002A7AE8">
      <w:pPr>
        <w:rPr>
          <w:rFonts w:cstheme="minorHAnsi"/>
          <w:sz w:val="28"/>
          <w:szCs w:val="28"/>
        </w:rPr>
      </w:pPr>
      <w:r w:rsidRPr="002A7AE8">
        <w:rPr>
          <w:rFonts w:cstheme="minorHAnsi"/>
          <w:sz w:val="28"/>
          <w:szCs w:val="28"/>
        </w:rPr>
        <w:t>Provided that in the case of an extant variety, unless a breeder or his successor establishes his right, the Central Government, and in cases where such extant variety is notified for a State or for any area thereof under section 5 of the Seeds Act, 1966, the State Government, shall be deemed to be the owner of such right.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A breeder may authorise any person to produce, sell, market or otherwise deal with the variety registered under this Act subject to such limitations and conditions as may be specified by regulations.</w:t>
      </w:r>
    </w:p>
    <w:p w:rsidR="002A7AE8" w:rsidRPr="002A7AE8" w:rsidRDefault="002A7AE8" w:rsidP="002A7AE8">
      <w:pPr>
        <w:rPr>
          <w:rFonts w:cstheme="minorHAnsi"/>
          <w:sz w:val="28"/>
          <w:szCs w:val="28"/>
        </w:rPr>
      </w:pPr>
      <w:r w:rsidRPr="002A7AE8">
        <w:rPr>
          <w:rFonts w:cstheme="minorHAnsi"/>
          <w:sz w:val="28"/>
          <w:szCs w:val="28"/>
        </w:rPr>
        <w:t>Registration under the Act grants the breeder exclusive rights to produce, sell, market, distribute, import, and export the registered variety. These rights are similar in scope to intellectual property rights in other domains and are designed to incentivise private and public investment in plant research.</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Breeders may also license their rights to third parties on agreed terms, allowing commercial exploitation without surrendering ownership.</w:t>
      </w:r>
    </w:p>
    <w:p w:rsidR="002A7AE8" w:rsidRPr="002A7AE8" w:rsidRDefault="002A7AE8" w:rsidP="002A7AE8">
      <w:pPr>
        <w:rPr>
          <w:rFonts w:cstheme="minorHAnsi"/>
          <w:sz w:val="28"/>
          <w:szCs w:val="28"/>
        </w:rPr>
      </w:pPr>
      <w:r w:rsidRPr="002A7AE8">
        <w:rPr>
          <w:rFonts w:cstheme="minorHAnsi"/>
          <w:sz w:val="28"/>
          <w:szCs w:val="28"/>
        </w:rPr>
        <w:t>Farmers' rights</w:t>
      </w:r>
    </w:p>
    <w:p w:rsidR="002A7AE8" w:rsidRPr="002A7AE8" w:rsidRDefault="002A7AE8" w:rsidP="002A7AE8">
      <w:pPr>
        <w:rPr>
          <w:rFonts w:cstheme="minorHAnsi"/>
          <w:sz w:val="28"/>
          <w:szCs w:val="28"/>
        </w:rPr>
      </w:pPr>
      <w:r w:rsidRPr="002A7AE8">
        <w:rPr>
          <w:rFonts w:cstheme="minorHAnsi"/>
          <w:sz w:val="28"/>
          <w:szCs w:val="28"/>
        </w:rPr>
        <w:t>Section 39 — farmers' rights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Notwithstanding anything contained in this Act,—</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a farmer who has bred or developed a new variety shall be entitled for registration and other protection in like manner as a breeder of a variety under this Act;</w:t>
      </w:r>
    </w:p>
    <w:p w:rsidR="002A7AE8" w:rsidRPr="002A7AE8" w:rsidRDefault="002A7AE8" w:rsidP="002A7AE8">
      <w:pPr>
        <w:rPr>
          <w:rFonts w:cstheme="minorHAnsi"/>
          <w:sz w:val="28"/>
          <w:szCs w:val="28"/>
        </w:rPr>
      </w:pPr>
      <w:r w:rsidRPr="002A7AE8">
        <w:rPr>
          <w:rFonts w:cstheme="minorHAnsi"/>
          <w:sz w:val="28"/>
          <w:szCs w:val="28"/>
        </w:rPr>
        <w:t>(ii)</w:t>
      </w:r>
      <w:r w:rsidRPr="002A7AE8">
        <w:rPr>
          <w:rFonts w:cstheme="minorHAnsi"/>
          <w:sz w:val="28"/>
          <w:szCs w:val="28"/>
        </w:rPr>
        <w:tab/>
        <w:t>the farmers' variety shall be entitled for registration if the application contains declaration as specified in clause (h) of sub-section (1) of section 18;</w:t>
      </w:r>
    </w:p>
    <w:p w:rsidR="002A7AE8" w:rsidRPr="002A7AE8" w:rsidRDefault="002A7AE8" w:rsidP="002A7AE8">
      <w:pPr>
        <w:rPr>
          <w:rFonts w:cstheme="minorHAnsi"/>
          <w:sz w:val="28"/>
          <w:szCs w:val="28"/>
        </w:rPr>
      </w:pPr>
      <w:r w:rsidRPr="002A7AE8">
        <w:rPr>
          <w:rFonts w:cstheme="minorHAnsi"/>
          <w:sz w:val="28"/>
          <w:szCs w:val="28"/>
        </w:rPr>
        <w:t>(iii)</w:t>
      </w:r>
      <w:r w:rsidRPr="002A7AE8">
        <w:rPr>
          <w:rFonts w:cstheme="minorHAnsi"/>
          <w:sz w:val="28"/>
          <w:szCs w:val="28"/>
        </w:rPr>
        <w:tab/>
        <w:t>a farmer who is engaged in the conservation of genetic resources of land races and wild relatives of economic plants and their improvement through selection and preservation shall be entitled in the prescribed manner for recognition and reward from the Gene Fund;</w:t>
      </w:r>
    </w:p>
    <w:p w:rsidR="002A7AE8" w:rsidRPr="002A7AE8" w:rsidRDefault="002A7AE8" w:rsidP="002A7AE8">
      <w:pPr>
        <w:rPr>
          <w:rFonts w:cstheme="minorHAnsi"/>
          <w:sz w:val="28"/>
          <w:szCs w:val="28"/>
        </w:rPr>
      </w:pPr>
      <w:r w:rsidRPr="002A7AE8">
        <w:rPr>
          <w:rFonts w:cstheme="minorHAnsi"/>
          <w:sz w:val="28"/>
          <w:szCs w:val="28"/>
        </w:rPr>
        <w:t>(iv)</w:t>
      </w:r>
      <w:r w:rsidRPr="002A7AE8">
        <w:rPr>
          <w:rFonts w:cstheme="minorHAnsi"/>
          <w:sz w:val="28"/>
          <w:szCs w:val="28"/>
        </w:rPr>
        <w:tab/>
        <w:t>a farmer shall be deemed to be entitled to save, use, sow, resow, exchange, share or sell his farm produce including seed of a variety protected under this Act in the same manner as he was entitled before the coming into force of this Act:</w:t>
      </w:r>
    </w:p>
    <w:p w:rsidR="002A7AE8" w:rsidRPr="002A7AE8" w:rsidRDefault="002A7AE8" w:rsidP="002A7AE8">
      <w:pPr>
        <w:rPr>
          <w:rFonts w:cstheme="minorHAnsi"/>
          <w:sz w:val="28"/>
          <w:szCs w:val="28"/>
        </w:rPr>
      </w:pPr>
      <w:r w:rsidRPr="002A7AE8">
        <w:rPr>
          <w:rFonts w:cstheme="minorHAnsi"/>
          <w:sz w:val="28"/>
          <w:szCs w:val="28"/>
        </w:rPr>
        <w:t>Provided that the farmer shall not be entitled to sell branded seed of a variety protected under this Act.</w:t>
      </w:r>
    </w:p>
    <w:p w:rsidR="002A7AE8" w:rsidRPr="002A7AE8" w:rsidRDefault="002A7AE8" w:rsidP="002A7AE8">
      <w:pPr>
        <w:rPr>
          <w:rFonts w:cstheme="minorHAnsi"/>
          <w:sz w:val="28"/>
          <w:szCs w:val="28"/>
        </w:rPr>
      </w:pPr>
      <w:r w:rsidRPr="002A7AE8">
        <w:rPr>
          <w:rFonts w:cstheme="minorHAnsi"/>
          <w:sz w:val="28"/>
          <w:szCs w:val="28"/>
        </w:rPr>
        <w:t>Section 39 is one of the most distinctive features of the Indian Act when compared to international frameworks. It grants farmers the right to save, sow, resow, exchange, and share seeds of protected varieties, preserving the age-old agricultural practice of seed-saving. A farmer who develops a new variety is treated on par with a commercial breeder. Farmers conserving genetic resources are also entitled to recognition and rewards from the National Gene Fund. The only restriction is that farmers cannot sell branded seeds of a protected variety — a limitation that maintains commercial rights for registered breeders while protecting free agricultural use.</w:t>
      </w:r>
    </w:p>
    <w:p w:rsidR="002A7AE8" w:rsidRPr="002A7AE8" w:rsidRDefault="002A7AE8" w:rsidP="002A7AE8">
      <w:pPr>
        <w:rPr>
          <w:rFonts w:cstheme="minorHAnsi"/>
          <w:sz w:val="28"/>
          <w:szCs w:val="28"/>
        </w:rPr>
      </w:pPr>
      <w:r w:rsidRPr="002A7AE8">
        <w:rPr>
          <w:rFonts w:cstheme="minorHAnsi"/>
          <w:sz w:val="28"/>
          <w:szCs w:val="28"/>
        </w:rPr>
        <w:t>Researchers' rights</w:t>
      </w:r>
    </w:p>
    <w:p w:rsidR="002A7AE8" w:rsidRPr="002A7AE8" w:rsidRDefault="002A7AE8" w:rsidP="002A7AE8">
      <w:pPr>
        <w:rPr>
          <w:rFonts w:cstheme="minorHAnsi"/>
          <w:sz w:val="28"/>
          <w:szCs w:val="28"/>
        </w:rPr>
      </w:pPr>
      <w:r w:rsidRPr="002A7AE8">
        <w:rPr>
          <w:rFonts w:cstheme="minorHAnsi"/>
          <w:sz w:val="28"/>
          <w:szCs w:val="28"/>
        </w:rPr>
        <w:t>Section 30 — researcher's rights</w:t>
      </w:r>
    </w:p>
    <w:p w:rsidR="002A7AE8" w:rsidRPr="002A7AE8" w:rsidRDefault="002A7AE8" w:rsidP="002A7AE8">
      <w:pPr>
        <w:rPr>
          <w:rFonts w:cstheme="minorHAnsi"/>
          <w:sz w:val="28"/>
          <w:szCs w:val="28"/>
        </w:rPr>
      </w:pPr>
      <w:r w:rsidRPr="002A7AE8">
        <w:rPr>
          <w:rFonts w:cstheme="minorHAnsi"/>
          <w:sz w:val="28"/>
          <w:szCs w:val="28"/>
        </w:rPr>
        <w:t>Nothing contained in this Act shall prevent—</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the use of any variety registered under this Act by any person using such variety for conducting experiment or research; or</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the use of a variety by any person as an initial source of variety for the purpose of creating other varieties:</w:t>
      </w:r>
    </w:p>
    <w:p w:rsidR="002A7AE8" w:rsidRPr="002A7AE8" w:rsidRDefault="002A7AE8" w:rsidP="002A7AE8">
      <w:pPr>
        <w:rPr>
          <w:rFonts w:cstheme="minorHAnsi"/>
          <w:sz w:val="28"/>
          <w:szCs w:val="28"/>
        </w:rPr>
      </w:pPr>
      <w:r w:rsidRPr="002A7AE8">
        <w:rPr>
          <w:rFonts w:cstheme="minorHAnsi"/>
          <w:sz w:val="28"/>
          <w:szCs w:val="28"/>
        </w:rPr>
        <w:t>Provided that the authorisation of the breeder of a registered variety is required where the repeated use of such variety as a parental line is necessary for commercial production of such other newly developed variety.</w:t>
      </w:r>
    </w:p>
    <w:p w:rsidR="002A7AE8" w:rsidRPr="002A7AE8" w:rsidRDefault="002A7AE8" w:rsidP="002A7AE8">
      <w:pPr>
        <w:rPr>
          <w:rFonts w:cstheme="minorHAnsi"/>
          <w:sz w:val="28"/>
          <w:szCs w:val="28"/>
        </w:rPr>
      </w:pPr>
      <w:r w:rsidRPr="002A7AE8">
        <w:rPr>
          <w:rFonts w:cstheme="minorHAnsi"/>
          <w:sz w:val="28"/>
          <w:szCs w:val="28"/>
        </w:rPr>
        <w:t>Section 30 carves out a research exemption, allowing any person to use a registered variety for experimentation, research, or the creation of new varieties without the breeder's prior permission. This provision is vital for ensuring that registration does not stifle further agricultural innovation. The only exception is where the registered variety must be repeatedly used as a parental line in commercial production, in which case the breeder's authorisation is required. The research exemption reflects the Act's broader goal of promoting agricultural science while balancing commercial interests.</w:t>
      </w:r>
    </w:p>
    <w:p w:rsidR="002A7AE8" w:rsidRPr="002A7AE8" w:rsidRDefault="002A7AE8" w:rsidP="002A7AE8">
      <w:pPr>
        <w:rPr>
          <w:rFonts w:cstheme="minorHAnsi"/>
          <w:sz w:val="28"/>
          <w:szCs w:val="28"/>
        </w:rPr>
      </w:pPr>
      <w:r w:rsidRPr="002A7AE8">
        <w:rPr>
          <w:rFonts w:cstheme="minorHAnsi"/>
          <w:sz w:val="28"/>
          <w:szCs w:val="28"/>
        </w:rPr>
        <w:t>Compulsory licence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47 — power of authority to make order for compulsory licence</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At any time, after the expiry of three years from the date of issue of a certificate of registration of a variety, any person interested may make an application to the Authority alleging that the reasonable requirements of the public for seed or other propagating material of the variety have not been satisfied or that the seed or other propagating material of the variety is not available to the public at a reasonable price and pray for the grant of a compulsory licence to undertake production, distribution and sale of the seed or other propagating material of that variety.</w:t>
      </w:r>
    </w:p>
    <w:p w:rsidR="002A7AE8" w:rsidRPr="002A7AE8" w:rsidRDefault="002A7AE8" w:rsidP="002A7AE8">
      <w:pPr>
        <w:rPr>
          <w:rFonts w:cstheme="minorHAnsi"/>
          <w:sz w:val="28"/>
          <w:szCs w:val="28"/>
        </w:rPr>
      </w:pPr>
      <w:r w:rsidRPr="002A7AE8">
        <w:rPr>
          <w:rFonts w:cstheme="minorHAnsi"/>
          <w:sz w:val="28"/>
          <w:szCs w:val="28"/>
        </w:rPr>
        <w:t>Section 47 provides an important check on the exclusive rights of a breeder. After three years from registration, if the public's reasonable requirements for seeds are not being met or seeds are unavailable at a reasonable price, any interested person may apply for a compulsory licence. The Authority, after consultation with the Central Government and giving the breeder an opportunity to be heard, may direct the breeder to grant a licence on appropriate terms. This provision ensures that agricultural access and food security are not compromised by the commercial monopoly of a registered variety.</w:t>
      </w:r>
    </w:p>
    <w:p w:rsidR="002A7AE8" w:rsidRPr="002A7AE8" w:rsidRDefault="002A7AE8" w:rsidP="002A7AE8">
      <w:pPr>
        <w:rPr>
          <w:rFonts w:cstheme="minorHAnsi"/>
          <w:sz w:val="28"/>
          <w:szCs w:val="28"/>
        </w:rPr>
      </w:pPr>
      <w:r w:rsidRPr="002A7AE8">
        <w:rPr>
          <w:rFonts w:cstheme="minorHAnsi"/>
          <w:sz w:val="28"/>
          <w:szCs w:val="28"/>
        </w:rPr>
        <w:t>Duration of protection</w:t>
      </w:r>
    </w:p>
    <w:p w:rsidR="002A7AE8" w:rsidRPr="002A7AE8" w:rsidRDefault="002A7AE8" w:rsidP="002A7AE8">
      <w:pPr>
        <w:rPr>
          <w:rFonts w:cstheme="minorHAnsi"/>
          <w:sz w:val="28"/>
          <w:szCs w:val="28"/>
        </w:rPr>
      </w:pPr>
      <w:r w:rsidRPr="002A7AE8">
        <w:rPr>
          <w:rFonts w:cstheme="minorHAnsi"/>
          <w:sz w:val="28"/>
          <w:szCs w:val="28"/>
        </w:rPr>
        <w:t>Section 24(6) — period of validity of certificate</w:t>
      </w:r>
    </w:p>
    <w:p w:rsidR="002A7AE8" w:rsidRPr="002A7AE8" w:rsidRDefault="002A7AE8" w:rsidP="002A7AE8">
      <w:pPr>
        <w:rPr>
          <w:rFonts w:cstheme="minorHAnsi"/>
          <w:sz w:val="28"/>
          <w:szCs w:val="28"/>
        </w:rPr>
      </w:pPr>
      <w:r w:rsidRPr="002A7AE8">
        <w:rPr>
          <w:rFonts w:cstheme="minorHAnsi"/>
          <w:sz w:val="28"/>
          <w:szCs w:val="28"/>
        </w:rPr>
        <w:t>The certificate of registration issued under this section or sub-section (8) of section 23 shall be valid for nine years in the case of trees and vines and six years in the case of other crops and may be reviewed and renewed for the remaining period on payment of such fees as may be fixed by the rules made in this behalf subject to the condition that the total period of validity shall not exceed,—</w:t>
      </w:r>
    </w:p>
    <w:p w:rsidR="002A7AE8" w:rsidRPr="002A7AE8" w:rsidRDefault="002A7AE8" w:rsidP="002A7AE8">
      <w:pPr>
        <w:rPr>
          <w:rFonts w:cstheme="minorHAnsi"/>
          <w:sz w:val="28"/>
          <w:szCs w:val="28"/>
        </w:rPr>
      </w:pPr>
      <w:r w:rsidRPr="002A7AE8">
        <w:rPr>
          <w:rFonts w:cstheme="minorHAnsi"/>
          <w:sz w:val="28"/>
          <w:szCs w:val="28"/>
        </w:rPr>
        <w:t>(i)</w:t>
      </w:r>
      <w:r w:rsidRPr="002A7AE8">
        <w:rPr>
          <w:rFonts w:cstheme="minorHAnsi"/>
          <w:sz w:val="28"/>
          <w:szCs w:val="28"/>
        </w:rPr>
        <w:tab/>
        <w:t>in the case of trees and vines, eighteen years from the date of registration of the variety;</w:t>
      </w:r>
    </w:p>
    <w:p w:rsidR="002A7AE8" w:rsidRPr="002A7AE8" w:rsidRDefault="002A7AE8" w:rsidP="002A7AE8">
      <w:pPr>
        <w:rPr>
          <w:rFonts w:cstheme="minorHAnsi"/>
          <w:sz w:val="28"/>
          <w:szCs w:val="28"/>
        </w:rPr>
      </w:pPr>
      <w:r w:rsidRPr="002A7AE8">
        <w:rPr>
          <w:rFonts w:cstheme="minorHAnsi"/>
          <w:sz w:val="28"/>
          <w:szCs w:val="28"/>
        </w:rPr>
        <w:t>(ii)</w:t>
      </w:r>
      <w:r w:rsidRPr="002A7AE8">
        <w:rPr>
          <w:rFonts w:cstheme="minorHAnsi"/>
          <w:sz w:val="28"/>
          <w:szCs w:val="28"/>
        </w:rPr>
        <w:tab/>
        <w:t>in the case of extant variety, fifteen years from the date of the notification of that variety by the Central Government under section 5 of the Seeds Act, 1966; and</w:t>
      </w:r>
    </w:p>
    <w:p w:rsidR="002A7AE8" w:rsidRPr="002A7AE8" w:rsidRDefault="002A7AE8" w:rsidP="002A7AE8">
      <w:pPr>
        <w:rPr>
          <w:rFonts w:cstheme="minorHAnsi"/>
          <w:sz w:val="28"/>
          <w:szCs w:val="28"/>
        </w:rPr>
      </w:pPr>
      <w:r w:rsidRPr="002A7AE8">
        <w:rPr>
          <w:rFonts w:cstheme="minorHAnsi"/>
          <w:sz w:val="28"/>
          <w:szCs w:val="28"/>
        </w:rPr>
        <w:t>(iii)</w:t>
      </w:r>
      <w:r w:rsidRPr="002A7AE8">
        <w:rPr>
          <w:rFonts w:cstheme="minorHAnsi"/>
          <w:sz w:val="28"/>
          <w:szCs w:val="28"/>
        </w:rPr>
        <w:tab/>
        <w:t>in other cases, fifteen years from the date of registration of the variety.</w:t>
      </w:r>
    </w:p>
    <w:p w:rsidR="002A7AE8" w:rsidRPr="002A7AE8" w:rsidRDefault="002A7AE8" w:rsidP="002A7AE8">
      <w:pPr>
        <w:rPr>
          <w:rFonts w:cstheme="minorHAnsi"/>
          <w:sz w:val="28"/>
          <w:szCs w:val="28"/>
        </w:rPr>
      </w:pPr>
      <w:r w:rsidRPr="002A7AE8">
        <w:rPr>
          <w:rFonts w:cstheme="minorHAnsi"/>
          <w:sz w:val="28"/>
          <w:szCs w:val="28"/>
        </w:rPr>
        <w:t>The following table compares the duration of protection across different plant categories: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Category</w:t>
      </w:r>
      <w:r w:rsidRPr="002A7AE8">
        <w:rPr>
          <w:rFonts w:cstheme="minorHAnsi"/>
          <w:sz w:val="28"/>
          <w:szCs w:val="28"/>
        </w:rPr>
        <w:tab/>
        <w:t>Initial certificate validity</w:t>
      </w:r>
      <w:r w:rsidRPr="002A7AE8">
        <w:rPr>
          <w:rFonts w:cstheme="minorHAnsi"/>
          <w:sz w:val="28"/>
          <w:szCs w:val="28"/>
        </w:rPr>
        <w:tab/>
        <w:t>Maximum protection period</w:t>
      </w:r>
    </w:p>
    <w:p w:rsidR="002A7AE8" w:rsidRPr="002A7AE8" w:rsidRDefault="002A7AE8" w:rsidP="002A7AE8">
      <w:pPr>
        <w:rPr>
          <w:rFonts w:cstheme="minorHAnsi"/>
          <w:sz w:val="28"/>
          <w:szCs w:val="28"/>
        </w:rPr>
      </w:pPr>
      <w:r w:rsidRPr="002A7AE8">
        <w:rPr>
          <w:rFonts w:cstheme="minorHAnsi"/>
          <w:sz w:val="28"/>
          <w:szCs w:val="28"/>
        </w:rPr>
        <w:t>Trees and vines</w:t>
      </w:r>
      <w:r w:rsidRPr="002A7AE8">
        <w:rPr>
          <w:rFonts w:cstheme="minorHAnsi"/>
          <w:sz w:val="28"/>
          <w:szCs w:val="28"/>
        </w:rPr>
        <w:tab/>
        <w:t>9 years</w:t>
      </w:r>
      <w:r w:rsidRPr="002A7AE8">
        <w:rPr>
          <w:rFonts w:cstheme="minorHAnsi"/>
          <w:sz w:val="28"/>
          <w:szCs w:val="28"/>
        </w:rPr>
        <w:tab/>
        <w:t>18 years from date of registration</w:t>
      </w:r>
    </w:p>
    <w:p w:rsidR="002A7AE8" w:rsidRPr="002A7AE8" w:rsidRDefault="002A7AE8" w:rsidP="002A7AE8">
      <w:pPr>
        <w:rPr>
          <w:rFonts w:cstheme="minorHAnsi"/>
          <w:sz w:val="28"/>
          <w:szCs w:val="28"/>
        </w:rPr>
      </w:pPr>
      <w:r w:rsidRPr="002A7AE8">
        <w:rPr>
          <w:rFonts w:cstheme="minorHAnsi"/>
          <w:sz w:val="28"/>
          <w:szCs w:val="28"/>
        </w:rPr>
        <w:t>Other crops</w:t>
      </w:r>
      <w:r w:rsidRPr="002A7AE8">
        <w:rPr>
          <w:rFonts w:cstheme="minorHAnsi"/>
          <w:sz w:val="28"/>
          <w:szCs w:val="28"/>
        </w:rPr>
        <w:tab/>
        <w:t>6 years</w:t>
      </w:r>
      <w:r w:rsidRPr="002A7AE8">
        <w:rPr>
          <w:rFonts w:cstheme="minorHAnsi"/>
          <w:sz w:val="28"/>
          <w:szCs w:val="28"/>
        </w:rPr>
        <w:tab/>
        <w:t>15 years from date of registration</w:t>
      </w:r>
    </w:p>
    <w:p w:rsidR="002A7AE8" w:rsidRPr="002A7AE8" w:rsidRDefault="002A7AE8" w:rsidP="002A7AE8">
      <w:pPr>
        <w:rPr>
          <w:rFonts w:cstheme="minorHAnsi"/>
          <w:sz w:val="28"/>
          <w:szCs w:val="28"/>
        </w:rPr>
      </w:pPr>
      <w:r w:rsidRPr="002A7AE8">
        <w:rPr>
          <w:rFonts w:cstheme="minorHAnsi"/>
          <w:sz w:val="28"/>
          <w:szCs w:val="28"/>
        </w:rPr>
        <w:t>Extant varieties</w:t>
      </w:r>
      <w:r w:rsidRPr="002A7AE8">
        <w:rPr>
          <w:rFonts w:cstheme="minorHAnsi"/>
          <w:sz w:val="28"/>
          <w:szCs w:val="28"/>
        </w:rPr>
        <w:tab/>
        <w:t>6 years</w:t>
      </w:r>
      <w:r w:rsidRPr="002A7AE8">
        <w:rPr>
          <w:rFonts w:cstheme="minorHAnsi"/>
          <w:sz w:val="28"/>
          <w:szCs w:val="28"/>
        </w:rPr>
        <w:tab/>
        <w:t>15 years from date of Central Government notification under Seeds Act, 1966</w:t>
      </w:r>
    </w:p>
    <w:p w:rsidR="002A7AE8" w:rsidRPr="002A7AE8" w:rsidRDefault="002A7AE8" w:rsidP="002A7AE8">
      <w:pPr>
        <w:rPr>
          <w:rFonts w:cstheme="minorHAnsi"/>
          <w:sz w:val="28"/>
          <w:szCs w:val="28"/>
        </w:rPr>
      </w:pPr>
      <w:r w:rsidRPr="002A7AE8">
        <w:rPr>
          <w:rFonts w:cstheme="minorHAnsi"/>
          <w:sz w:val="28"/>
          <w:szCs w:val="28"/>
        </w:rPr>
        <w:t>The shorter initial certificate period reflects the time needed to verify and monitor the variety, while the maximum periods recognise the varying economic life cycles of different agricultural plants. Trees and vines, having longer growth periods, naturally receive longer protection.</w:t>
      </w:r>
    </w:p>
    <w:p w:rsidR="002A7AE8" w:rsidRPr="002A7AE8" w:rsidRDefault="002A7AE8" w:rsidP="002A7AE8">
      <w:pPr>
        <w:rPr>
          <w:rFonts w:cstheme="minorHAnsi"/>
          <w:sz w:val="28"/>
          <w:szCs w:val="28"/>
        </w:rPr>
      </w:pPr>
      <w:r w:rsidRPr="002A7AE8">
        <w:rPr>
          <w:rFonts w:cstheme="minorHAnsi"/>
          <w:sz w:val="28"/>
          <w:szCs w:val="28"/>
        </w:rPr>
        <w:t>Infringement of plant variety rights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Section 64 — infringement</w:t>
      </w:r>
    </w:p>
    <w:p w:rsidR="002A7AE8" w:rsidRPr="002A7AE8" w:rsidRDefault="002A7AE8" w:rsidP="002A7AE8">
      <w:pPr>
        <w:rPr>
          <w:rFonts w:cstheme="minorHAnsi"/>
          <w:sz w:val="28"/>
          <w:szCs w:val="28"/>
        </w:rPr>
      </w:pPr>
      <w:r w:rsidRPr="002A7AE8">
        <w:rPr>
          <w:rFonts w:cstheme="minorHAnsi"/>
          <w:sz w:val="28"/>
          <w:szCs w:val="28"/>
        </w:rPr>
        <w:t>Subject to the provisions of this Act, a right established under this Act is infringed by a person—</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who, not being the breeder of a variety registered under this Act or a registered agent or a registered licensee of that variety, sells, exports, imports or produces such variety without the permission of its breeder or within the scope of a registered licence or registered agency without permission of the registered licensee or registered agent, as the case may be;</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who uses, sells, exports, imports or produces any other variety giving such variety, the denomination identical with or deceptively similar to the denomination of a variety registered under this Act in such manner as to cause confusion in the mind of general people in identifying such variety so registered.</w:t>
      </w:r>
    </w:p>
    <w:p w:rsidR="002A7AE8" w:rsidRPr="002A7AE8" w:rsidRDefault="002A7AE8" w:rsidP="002A7AE8">
      <w:pPr>
        <w:rPr>
          <w:rFonts w:cstheme="minorHAnsi"/>
          <w:sz w:val="28"/>
          <w:szCs w:val="28"/>
        </w:rPr>
      </w:pPr>
      <w:r w:rsidRPr="002A7AE8">
        <w:rPr>
          <w:rFonts w:cstheme="minorHAnsi"/>
          <w:sz w:val="28"/>
          <w:szCs w:val="28"/>
        </w:rPr>
        <w:t>Infringement occurs when an unauthorised person produces, sells, exports, imports, or uses a registered variety without the permission of the breeder or licensed agent. The use of a denomination identical or deceptively similar to that of a registered variety is also treated as infringement, protecting the breeder's commercial identity and preventing consumer confusion in the marketplace.</w:t>
      </w:r>
    </w:p>
    <w:p w:rsidR="002A7AE8" w:rsidRPr="002A7AE8" w:rsidRDefault="002A7AE8" w:rsidP="002A7AE8">
      <w:pPr>
        <w:rPr>
          <w:rFonts w:cstheme="minorHAnsi"/>
          <w:sz w:val="28"/>
          <w:szCs w:val="28"/>
        </w:rPr>
      </w:pPr>
      <w:r w:rsidRPr="002A7AE8">
        <w:rPr>
          <w:rFonts w:cstheme="minorHAnsi"/>
          <w:sz w:val="28"/>
          <w:szCs w:val="28"/>
        </w:rPr>
        <w:t>Section 65 — suit for infringement</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No suit—</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for the infringement of a variety registered under this Act; or</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relating to any right in a variety registered under this Act,</w:t>
      </w:r>
    </w:p>
    <w:p w:rsidR="002A7AE8" w:rsidRPr="002A7AE8" w:rsidRDefault="002A7AE8" w:rsidP="002A7AE8">
      <w:pPr>
        <w:rPr>
          <w:rFonts w:cstheme="minorHAnsi"/>
          <w:sz w:val="28"/>
          <w:szCs w:val="28"/>
        </w:rPr>
      </w:pPr>
      <w:r w:rsidRPr="002A7AE8">
        <w:rPr>
          <w:rFonts w:cstheme="minorHAnsi"/>
          <w:sz w:val="28"/>
          <w:szCs w:val="28"/>
        </w:rPr>
        <w:t>shall be instituted in any court inferior to a District Court having jurisdiction to try the suit.</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For the purposes of clauses (a) and (b) of sub-section (1), "District Court having jurisdiction" shall mean the District Court within the local limit of whose jurisdiction the cause of action arises.</w:t>
      </w:r>
    </w:p>
    <w:p w:rsidR="002A7AE8" w:rsidRPr="002A7AE8" w:rsidRDefault="002A7AE8" w:rsidP="002A7AE8">
      <w:pPr>
        <w:rPr>
          <w:rFonts w:cstheme="minorHAnsi"/>
          <w:sz w:val="28"/>
          <w:szCs w:val="28"/>
        </w:rPr>
      </w:pPr>
      <w:r w:rsidRPr="002A7AE8">
        <w:rPr>
          <w:rFonts w:cstheme="minorHAnsi"/>
          <w:sz w:val="28"/>
          <w:szCs w:val="28"/>
        </w:rPr>
        <w:t>Suits for infringement must be filed in a District Court with territorial jurisdiction over the cause of action. This ensures that proceedings take place in a forum having a local connection to the dispute, making access to justice more practical for parties involved.</w:t>
      </w:r>
    </w:p>
    <w:p w:rsidR="002A7AE8" w:rsidRPr="002A7AE8" w:rsidRDefault="002A7AE8" w:rsidP="002A7AE8">
      <w:pPr>
        <w:rPr>
          <w:rFonts w:cstheme="minorHAnsi"/>
          <w:sz w:val="28"/>
          <w:szCs w:val="28"/>
        </w:rPr>
      </w:pPr>
      <w:r w:rsidRPr="002A7AE8">
        <w:rPr>
          <w:rFonts w:cstheme="minorHAnsi"/>
          <w:sz w:val="28"/>
          <w:szCs w:val="28"/>
        </w:rPr>
        <w:t>Section 66 — relief in suits for infringement</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The relief which a court may grant in any suit for infringement referred to in section 65 includes an injunction and at the option of the plaintiff, either damages or a share of the profits.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The order of injunction under sub-section (1) may include an ex parte injunction or any interlocutory order for any of the following matters, namely:—</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discovery of documents;</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preserving of infringing variety or documents or other evidence which are related to the subject-matter of the suit;</w:t>
      </w:r>
    </w:p>
    <w:p w:rsidR="002A7AE8" w:rsidRPr="002A7AE8" w:rsidRDefault="002A7AE8" w:rsidP="002A7AE8">
      <w:pPr>
        <w:rPr>
          <w:rFonts w:cstheme="minorHAnsi"/>
          <w:sz w:val="28"/>
          <w:szCs w:val="28"/>
        </w:rPr>
      </w:pPr>
      <w:r w:rsidRPr="002A7AE8">
        <w:rPr>
          <w:rFonts w:cstheme="minorHAnsi"/>
          <w:sz w:val="28"/>
          <w:szCs w:val="28"/>
        </w:rPr>
        <w:t>(c)</w:t>
      </w:r>
      <w:r w:rsidRPr="002A7AE8">
        <w:rPr>
          <w:rFonts w:cstheme="minorHAnsi"/>
          <w:sz w:val="28"/>
          <w:szCs w:val="28"/>
        </w:rPr>
        <w:tab/>
        <w:t>attachment of such property of the defendant which the court deems necessary to recover damages, costs or other pecuniary remedies which may be finally awarded to the plaintiff.</w:t>
      </w:r>
    </w:p>
    <w:p w:rsidR="002A7AE8" w:rsidRPr="002A7AE8" w:rsidRDefault="002A7AE8" w:rsidP="002A7AE8">
      <w:pPr>
        <w:rPr>
          <w:rFonts w:cstheme="minorHAnsi"/>
          <w:sz w:val="28"/>
          <w:szCs w:val="28"/>
        </w:rPr>
      </w:pPr>
      <w:r w:rsidRPr="002A7AE8">
        <w:rPr>
          <w:rFonts w:cstheme="minorHAnsi"/>
          <w:sz w:val="28"/>
          <w:szCs w:val="28"/>
        </w:rPr>
        <w:t>A court hearing an infringement suit may grant injunctions to prevent ongoing infringement, award damages to compensate for loss suffered, or grant a share of the profits made by the infringer. Interlocutory orders such as document discovery, preservation of evidence, and attachment of assets are also</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available. These wide-ranging remedies ensure effective enforcement of breeder rights.</w:t>
      </w:r>
    </w:p>
    <w:p w:rsidR="002A7AE8" w:rsidRPr="002A7AE8" w:rsidRDefault="002A7AE8" w:rsidP="002A7AE8">
      <w:pPr>
        <w:rPr>
          <w:rFonts w:cstheme="minorHAnsi"/>
          <w:sz w:val="28"/>
          <w:szCs w:val="28"/>
        </w:rPr>
      </w:pPr>
      <w:r w:rsidRPr="002A7AE8">
        <w:rPr>
          <w:rFonts w:cstheme="minorHAnsi"/>
          <w:sz w:val="28"/>
          <w:szCs w:val="28"/>
        </w:rPr>
        <w:t>Benefit sharing</w:t>
      </w:r>
    </w:p>
    <w:p w:rsidR="002A7AE8" w:rsidRPr="002A7AE8" w:rsidRDefault="002A7AE8" w:rsidP="002A7AE8">
      <w:pPr>
        <w:rPr>
          <w:rFonts w:cstheme="minorHAnsi"/>
          <w:sz w:val="28"/>
          <w:szCs w:val="28"/>
        </w:rPr>
      </w:pPr>
      <w:r w:rsidRPr="002A7AE8">
        <w:rPr>
          <w:rFonts w:cstheme="minorHAnsi"/>
          <w:sz w:val="28"/>
          <w:szCs w:val="28"/>
        </w:rPr>
        <w:t>Section 26 — determination of benefit sharing by authority</w:t>
      </w:r>
    </w:p>
    <w:p w:rsidR="002A7AE8" w:rsidRPr="002A7AE8" w:rsidRDefault="002A7AE8" w:rsidP="002A7AE8">
      <w:pPr>
        <w:rPr>
          <w:rFonts w:cstheme="minorHAnsi"/>
          <w:sz w:val="28"/>
          <w:szCs w:val="28"/>
        </w:rPr>
      </w:pPr>
      <w:r w:rsidRPr="002A7AE8">
        <w:rPr>
          <w:rFonts w:cstheme="minorHAnsi"/>
          <w:sz w:val="28"/>
          <w:szCs w:val="28"/>
        </w:rPr>
        <w:t>(1) On receipt of copy of the certificate of registration under sub-section (8) of section 23 or sub-section (2) of section 24, the Authority shall publish such contents of the certificate and invite claims of benefit sharing to the variety registered under such certificate in the manner as may be prescribed.</w:t>
      </w:r>
    </w:p>
    <w:p w:rsidR="002A7AE8" w:rsidRPr="002A7AE8" w:rsidRDefault="002A7AE8" w:rsidP="002A7AE8">
      <w:pPr>
        <w:rPr>
          <w:rFonts w:cstheme="minorHAnsi"/>
          <w:sz w:val="28"/>
          <w:szCs w:val="28"/>
        </w:rPr>
      </w:pPr>
      <w:r w:rsidRPr="002A7AE8">
        <w:rPr>
          <w:rFonts w:cstheme="minorHAnsi"/>
          <w:sz w:val="28"/>
          <w:szCs w:val="28"/>
        </w:rPr>
        <w:t>(2) On invitation of the claims under sub-section (1), any person or group of persons or firm or governmental or non-governmental organisation shall submit its claim of benefit sharing to such variety in the prescribed form within such period, and accompanied with such fees, as may be prescribed.</w:t>
      </w:r>
    </w:p>
    <w:p w:rsidR="002A7AE8" w:rsidRPr="002A7AE8" w:rsidRDefault="002A7AE8" w:rsidP="002A7AE8">
      <w:pPr>
        <w:rPr>
          <w:rFonts w:cstheme="minorHAnsi"/>
          <w:sz w:val="28"/>
          <w:szCs w:val="28"/>
        </w:rPr>
      </w:pPr>
      <w:r w:rsidRPr="002A7AE8">
        <w:rPr>
          <w:rFonts w:cstheme="minorHAnsi"/>
          <w:sz w:val="28"/>
          <w:szCs w:val="28"/>
        </w:rPr>
        <w:t>(5) While disposing of the claim under sub-section (4), the Authority shall explicitly indicate in its order the amount of the benefit sharing, if any, for which the claimant shall be entitled and shall take into consideration the following matters, namely:—</w:t>
      </w:r>
    </w:p>
    <w:p w:rsidR="002A7AE8" w:rsidRPr="002A7AE8" w:rsidRDefault="002A7AE8" w:rsidP="002A7AE8">
      <w:pPr>
        <w:rPr>
          <w:rFonts w:cstheme="minorHAnsi"/>
          <w:sz w:val="28"/>
          <w:szCs w:val="28"/>
        </w:rPr>
      </w:pPr>
      <w:r w:rsidRPr="002A7AE8">
        <w:rPr>
          <w:rFonts w:cstheme="minorHAnsi"/>
          <w:sz w:val="28"/>
          <w:szCs w:val="28"/>
        </w:rPr>
        <w:t>(a)</w:t>
      </w:r>
      <w:r w:rsidRPr="002A7AE8">
        <w:rPr>
          <w:rFonts w:cstheme="minorHAnsi"/>
          <w:sz w:val="28"/>
          <w:szCs w:val="28"/>
        </w:rPr>
        <w:tab/>
        <w:t>the extent and nature of the use of genetic material of the claimant in the development of the variety relating to which the benefit sharing has been claimed;</w:t>
      </w:r>
    </w:p>
    <w:p w:rsidR="002A7AE8" w:rsidRPr="002A7AE8" w:rsidRDefault="002A7AE8" w:rsidP="002A7AE8">
      <w:pPr>
        <w:rPr>
          <w:rFonts w:cstheme="minorHAnsi"/>
          <w:sz w:val="28"/>
          <w:szCs w:val="28"/>
        </w:rPr>
      </w:pPr>
      <w:r w:rsidRPr="002A7AE8">
        <w:rPr>
          <w:rFonts w:cstheme="minorHAnsi"/>
          <w:sz w:val="28"/>
          <w:szCs w:val="28"/>
        </w:rPr>
        <w:t>(b)</w:t>
      </w:r>
      <w:r w:rsidRPr="002A7AE8">
        <w:rPr>
          <w:rFonts w:cstheme="minorHAnsi"/>
          <w:sz w:val="28"/>
          <w:szCs w:val="28"/>
        </w:rPr>
        <w:tab/>
        <w:t>the commercial utility and demand in the market of the variety relating to which the benefit sharing has been claimed.</w:t>
      </w:r>
    </w:p>
    <w:p w:rsidR="002A7AE8" w:rsidRPr="002A7AE8" w:rsidRDefault="002A7AE8" w:rsidP="002A7AE8">
      <w:pPr>
        <w:rPr>
          <w:rFonts w:cstheme="minorHAnsi"/>
          <w:sz w:val="28"/>
          <w:szCs w:val="28"/>
        </w:rPr>
      </w:pPr>
      <w:r w:rsidRPr="002A7AE8">
        <w:rPr>
          <w:rFonts w:cstheme="minorHAnsi"/>
          <w:sz w:val="28"/>
          <w:szCs w:val="28"/>
        </w:rPr>
        <w:t>Benefit sharing recognises that registered varieties often draw on the genetic heritage preserved by farmers, tribal communities, and rural populations over generations. Once a variety is registered, those who contributed genetic material may submit claims for a share of the commercial benefits. The Authority evaluates claims based on the extent of genetic contribution and the commercial demand for the variety. The amounts determined are deposited in the National Gene Fund, which is used to support conservation and sustainable use of genetic resources across the country.</w:t>
      </w:r>
    </w:p>
    <w:p w:rsidR="002A7AE8" w:rsidRPr="002A7AE8" w:rsidRDefault="002A7AE8" w:rsidP="002A7AE8">
      <w:pPr>
        <w:rPr>
          <w:rFonts w:cstheme="minorHAnsi"/>
          <w:sz w:val="28"/>
          <w:szCs w:val="28"/>
        </w:rPr>
      </w:pPr>
      <w:r w:rsidRPr="002A7AE8">
        <w:rPr>
          <w:rFonts w:cstheme="minorHAnsi"/>
          <w:sz w:val="28"/>
          <w:szCs w:val="28"/>
        </w:rPr>
        <w:t>Relevant case laws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nuziveedu seeds ltd. v. monsanto technology llc</w:t>
      </w:r>
    </w:p>
    <w:p w:rsidR="002A7AE8" w:rsidRPr="002A7AE8" w:rsidRDefault="002A7AE8" w:rsidP="002A7AE8">
      <w:pPr>
        <w:rPr>
          <w:rFonts w:cstheme="minorHAnsi"/>
          <w:sz w:val="28"/>
          <w:szCs w:val="28"/>
        </w:rPr>
      </w:pPr>
      <w:r w:rsidRPr="002A7AE8">
        <w:rPr>
          <w:rFonts w:cstheme="minorHAnsi"/>
          <w:sz w:val="28"/>
          <w:szCs w:val="28"/>
        </w:rPr>
        <w:t>Citation: (2019) 3 SCC 381</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Monsanto developed the Bt cotton technology, which introduces genetic resistance to bollworms into cotton plants. It licensed this technology to several Indian seed companies, including Nuziveedu Seeds Ltd., through sub-licensing agreements. Disputes arose regarding the payment of royalty, the validity of the patent, and the applicable legal framework. Nuziveedu contended that plant varieties are governed by the PPVFR Act and cannot be claimed as patented inventions under the Patents Act.</w:t>
      </w: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The core questions before the court were: whether genetically modified plant varieties are protected under patent law or the PPVFR Act; whether the sub-licensing agreements remained binding; and how the rights of breeders and farmers are to be balanced in the context of biotechnology-based agricultural innovations.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Supreme Court set aside the orders of the Division Bench and restored the matter for trial before the Single Judge, directing a detailed examination of the competing rights. The Court recognised that issues arising from the intersection of patent law and the PPVFR Act require careful scrutiny. It affirmed the relevance of the PPVFR framework in protecting agricultural innovations and noted the need to balance commercial interests with the policy objectives underlying farmers' and breeders' rights.</w:t>
      </w:r>
    </w:p>
    <w:p w:rsidR="002A7AE8" w:rsidRPr="002A7AE8" w:rsidRDefault="002A7AE8" w:rsidP="002A7AE8">
      <w:pPr>
        <w:rPr>
          <w:rFonts w:cstheme="minorHAnsi"/>
          <w:sz w:val="28"/>
          <w:szCs w:val="28"/>
        </w:rPr>
      </w:pPr>
      <w:r w:rsidRPr="002A7AE8">
        <w:rPr>
          <w:rFonts w:cstheme="minorHAnsi"/>
          <w:sz w:val="28"/>
          <w:szCs w:val="28"/>
        </w:rPr>
        <w:t>Sections involved: Section 28 (breeder's rights) and Section 39 (farmers' rights).</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pepsico india holdings pvt. ltd. v. farmers Citation: PPVFR Authority Decision, 2021 Facts</w:t>
      </w:r>
    </w:p>
    <w:p w:rsidR="002A7AE8" w:rsidRPr="002A7AE8" w:rsidRDefault="002A7AE8" w:rsidP="002A7AE8">
      <w:pPr>
        <w:rPr>
          <w:rFonts w:cstheme="minorHAnsi"/>
          <w:sz w:val="28"/>
          <w:szCs w:val="28"/>
        </w:rPr>
      </w:pPr>
      <w:r w:rsidRPr="002A7AE8">
        <w:rPr>
          <w:rFonts w:cstheme="minorHAnsi"/>
          <w:sz w:val="28"/>
          <w:szCs w:val="28"/>
        </w:rPr>
        <w:t>PepsiCo India Holdings Pvt. Ltd. registered the potato variety FL 2027, primarily developed for manufacturing uniform-shaped potato chips used in its products. The company filed infringement actions against farmers in Gujarat for cultivating the variety without authorisation, claiming breach of its registered breeder's rights.</w:t>
      </w: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The key issues were whether farmers could cultivate and use a commercially registered plant variety; whether the breeder's rights under Section 28 override the farmers' rights granted under Section 39; and whether the registration of FL 2027 was valid in the circumstances.</w:t>
      </w: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Following significant public and legal pressure, PepsiCo India withdrew its infringement suits against the farmers. The PPVFR Authority subsequently revoked PepsiCo's registration of the FL 2027 variety. The Authority reaffirmed that farmers hold a statutory right under Section 39(1)(iv) to save, use, sow, resow, exchange, and share seeds of protected varieties and cannot be subjected to infringement proceedings for exercising this traditional agricultural right.</w:t>
      </w:r>
    </w:p>
    <w:p w:rsidR="002A7AE8" w:rsidRPr="002A7AE8" w:rsidRDefault="002A7AE8" w:rsidP="002A7AE8">
      <w:pPr>
        <w:rPr>
          <w:rFonts w:cstheme="minorHAnsi"/>
          <w:sz w:val="28"/>
          <w:szCs w:val="28"/>
        </w:rPr>
      </w:pPr>
      <w:r w:rsidRPr="002A7AE8">
        <w:rPr>
          <w:rFonts w:cstheme="minorHAnsi"/>
          <w:sz w:val="28"/>
          <w:szCs w:val="28"/>
        </w:rPr>
        <w:t>This case drew national attention to the tension between corporate agricultural intellectual property and the rights of small-scale farmers, and reinforced that the PPVFR Act places meaningful limits on breeder rights in order to protect the farming community.</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The Protection of Plant Varieties and Farmers' Rights Act, 2001 establishes a legal framework that is unique in its recognition of farmers not merely as agricultural producers, but as innovators and custodians of biodiversity. Unlike many international regimes that focus almost exclusively on commercial breeders, the Act places equal importance on preserving traditional farming practices and rewarding the genetic contributions of rural and tribal communities.</w:t>
      </w:r>
    </w:p>
    <w:p w:rsidR="002A7AE8" w:rsidRPr="002A7AE8" w:rsidRDefault="002A7AE8" w:rsidP="002A7AE8">
      <w:pPr>
        <w:rPr>
          <w:rFonts w:cstheme="minorHAnsi"/>
          <w:sz w:val="28"/>
          <w:szCs w:val="28"/>
        </w:rPr>
      </w:pPr>
      <w:r w:rsidRPr="002A7AE8">
        <w:rPr>
          <w:rFonts w:cstheme="minorHAnsi"/>
          <w:sz w:val="28"/>
          <w:szCs w:val="28"/>
        </w:rPr>
        <w:t>The DUS criteria ensure a rigorous standard for registration, while provisions on compulsory licensing and benefit sharing prevent the Act from becoming a</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tool of monopoly. The research exemption under Section 30 ensures that registration does not foreclose further scientific inquiry. The farmers' rights under Section 39 represent a conscious legislative choice to keep traditional seed-saving practices intact in the face of growing commercialisation of agriculture.</w:t>
      </w:r>
    </w:p>
    <w:p w:rsidR="002A7AE8" w:rsidRPr="002A7AE8" w:rsidRDefault="002A7AE8" w:rsidP="002A7AE8">
      <w:pPr>
        <w:rPr>
          <w:rFonts w:cstheme="minorHAnsi"/>
          <w:sz w:val="28"/>
          <w:szCs w:val="28"/>
        </w:rPr>
      </w:pPr>
      <w:r w:rsidRPr="002A7AE8">
        <w:rPr>
          <w:rFonts w:cstheme="minorHAnsi"/>
          <w:sz w:val="28"/>
          <w:szCs w:val="28"/>
        </w:rPr>
        <w:t>Judicial developments in Nuziveedu Seeds v. Monsanto and PepsiCo India Holdings v. Farmers have tested the boundaries of these provisions and demonstrated that the Act must be interpreted in a manner that honours its dual mandate — incentivising innovation while protecting the livelihoods and rights of those who form the backbone of Indian agriculture. Taken as a whole, the PPVFR Act represents a thoughtful and progressive approach to agricultural intellectual property in a country where farming is both a commercial activity and a cultural heritage.</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Confidential information and trade secrets Meaning and nature</w:t>
      </w:r>
    </w:p>
    <w:p w:rsidR="002A7AE8" w:rsidRPr="002A7AE8" w:rsidRDefault="002A7AE8" w:rsidP="002A7AE8">
      <w:pPr>
        <w:rPr>
          <w:rFonts w:cstheme="minorHAnsi"/>
          <w:sz w:val="28"/>
          <w:szCs w:val="28"/>
        </w:rPr>
      </w:pPr>
      <w:r w:rsidRPr="002A7AE8">
        <w:rPr>
          <w:rFonts w:cstheme="minorHAnsi"/>
          <w:sz w:val="28"/>
          <w:szCs w:val="28"/>
        </w:rPr>
        <w:t>A trade secret is commercially valuable information that a business or individual keeps confidential because its secrecy provides a competitive advantage. Unlike patents, which require public disclosure in exchange for a time-limited monopoly, trade secrets derive their entire economic value from remaining undisclosed. A trade secret may consist of any information — technical, commercial, financial, or otherwise — that satisfies the requisite criteria for legal protection.</w:t>
      </w:r>
    </w:p>
    <w:p w:rsidR="002A7AE8" w:rsidRPr="002A7AE8" w:rsidRDefault="002A7AE8" w:rsidP="002A7AE8">
      <w:pPr>
        <w:rPr>
          <w:rFonts w:cstheme="minorHAnsi"/>
          <w:sz w:val="28"/>
          <w:szCs w:val="28"/>
        </w:rPr>
      </w:pPr>
      <w:r w:rsidRPr="002A7AE8">
        <w:rPr>
          <w:rFonts w:cstheme="minorHAnsi"/>
          <w:sz w:val="28"/>
          <w:szCs w:val="28"/>
        </w:rPr>
        <w:t>The law of confidential information is broader than the law of trade secrets and extends to any information communicated in circumstances that import an obligation of confidence, even where the information may not have independent commercial value. The two concepts are closely related and often treated together in legal analysis, though trade secrets have a more specifically commercial character.</w:t>
      </w:r>
    </w:p>
    <w:p w:rsidR="002A7AE8" w:rsidRPr="002A7AE8" w:rsidRDefault="002A7AE8" w:rsidP="002A7AE8">
      <w:pPr>
        <w:rPr>
          <w:rFonts w:cstheme="minorHAnsi"/>
          <w:sz w:val="28"/>
          <w:szCs w:val="28"/>
        </w:rPr>
      </w:pPr>
      <w:r w:rsidRPr="002A7AE8">
        <w:rPr>
          <w:rFonts w:cstheme="minorHAnsi"/>
          <w:sz w:val="28"/>
          <w:szCs w:val="28"/>
        </w:rPr>
        <w:t>Characteristics of protectable information</w:t>
      </w:r>
    </w:p>
    <w:p w:rsidR="002A7AE8" w:rsidRPr="002A7AE8" w:rsidRDefault="002A7AE8" w:rsidP="002A7AE8">
      <w:pPr>
        <w:rPr>
          <w:rFonts w:cstheme="minorHAnsi"/>
          <w:sz w:val="28"/>
          <w:szCs w:val="28"/>
        </w:rPr>
      </w:pPr>
      <w:r w:rsidRPr="002A7AE8">
        <w:rPr>
          <w:rFonts w:cstheme="minorHAnsi"/>
          <w:sz w:val="28"/>
          <w:szCs w:val="28"/>
        </w:rPr>
        <w:t>For information to qualify for protection as a trade secret or confidential information, three requirements must generally be satisfied.</w:t>
      </w:r>
    </w:p>
    <w:p w:rsidR="002A7AE8" w:rsidRPr="002A7AE8" w:rsidRDefault="002A7AE8" w:rsidP="002A7AE8">
      <w:pPr>
        <w:rPr>
          <w:rFonts w:cstheme="minorHAnsi"/>
          <w:sz w:val="28"/>
          <w:szCs w:val="28"/>
        </w:rPr>
      </w:pPr>
      <w:r w:rsidRPr="002A7AE8">
        <w:rPr>
          <w:rFonts w:cstheme="minorHAnsi"/>
          <w:sz w:val="28"/>
          <w:szCs w:val="28"/>
        </w:rPr>
        <w:t>First, secrecy: the information must not be generally known to or readily ascertainable by persons within the relevant industry. Information in the public domain cannot be protected as a trade secret.</w:t>
      </w:r>
    </w:p>
    <w:p w:rsidR="002A7AE8" w:rsidRPr="002A7AE8" w:rsidRDefault="002A7AE8" w:rsidP="002A7AE8">
      <w:pPr>
        <w:rPr>
          <w:rFonts w:cstheme="minorHAnsi"/>
          <w:sz w:val="28"/>
          <w:szCs w:val="28"/>
        </w:rPr>
      </w:pPr>
      <w:r w:rsidRPr="002A7AE8">
        <w:rPr>
          <w:rFonts w:cstheme="minorHAnsi"/>
          <w:sz w:val="28"/>
          <w:szCs w:val="28"/>
        </w:rPr>
        <w:t>Second, commercial value: the information must have economic value, actual or potential, because of its secrecy. This value may arise from any competitive advantage the information confers on its holder.</w:t>
      </w:r>
    </w:p>
    <w:p w:rsidR="002A7AE8" w:rsidRPr="002A7AE8" w:rsidRDefault="002A7AE8" w:rsidP="002A7AE8">
      <w:pPr>
        <w:rPr>
          <w:rFonts w:cstheme="minorHAnsi"/>
          <w:sz w:val="28"/>
          <w:szCs w:val="28"/>
        </w:rPr>
      </w:pPr>
      <w:r w:rsidRPr="002A7AE8">
        <w:rPr>
          <w:rFonts w:cstheme="minorHAnsi"/>
          <w:sz w:val="28"/>
          <w:szCs w:val="28"/>
        </w:rPr>
        <w:t>Third, reasonable steps to maintain secrecy: the holder must have taken reasonable measures to keep the information secret. These may include physical security measures, contractual obligations such as non-disclosure agreements and confidentiality clauses in employment contracts, restricted access controls, and other appropriate safeguards.</w:t>
      </w:r>
    </w:p>
    <w:p w:rsidR="002A7AE8" w:rsidRPr="002A7AE8" w:rsidRDefault="002A7AE8" w:rsidP="002A7AE8">
      <w:pPr>
        <w:rPr>
          <w:rFonts w:cstheme="minorHAnsi"/>
          <w:sz w:val="28"/>
          <w:szCs w:val="28"/>
        </w:rPr>
      </w:pPr>
      <w:r w:rsidRPr="002A7AE8">
        <w:rPr>
          <w:rFonts w:cstheme="minorHAnsi"/>
          <w:sz w:val="28"/>
          <w:szCs w:val="28"/>
        </w:rPr>
        <w:t>Examples of trade secrets</w:t>
      </w:r>
    </w:p>
    <w:p w:rsidR="002A7AE8" w:rsidRPr="002A7AE8" w:rsidRDefault="002A7AE8" w:rsidP="002A7AE8">
      <w:pPr>
        <w:rPr>
          <w:rFonts w:cstheme="minorHAnsi"/>
          <w:sz w:val="28"/>
          <w:szCs w:val="28"/>
        </w:rPr>
      </w:pPr>
      <w:r w:rsidRPr="002A7AE8">
        <w:rPr>
          <w:rFonts w:cstheme="minorHAnsi"/>
          <w:sz w:val="28"/>
          <w:szCs w:val="28"/>
        </w:rPr>
        <w:t>Trade secrets cover a wide range of commercially sensitive information. Proprietary chemical formulas and manufacturing processes — the Coca-Cola formula is perhaps the best-known global example — represent classical trade secrets. Other examples include customer lists, databases, and pricing strategies; software source codes and algorithms; business plans, marketing strategies, and financial projections; research and development data not yet made public; and technical drawings and engineering specifications.</w:t>
      </w:r>
    </w:p>
    <w:p w:rsidR="002A7AE8" w:rsidRPr="002A7AE8" w:rsidRDefault="002A7AE8" w:rsidP="002A7AE8">
      <w:pPr>
        <w:rPr>
          <w:rFonts w:cstheme="minorHAnsi"/>
          <w:sz w:val="28"/>
          <w:szCs w:val="28"/>
        </w:rPr>
      </w:pPr>
      <w:r w:rsidRPr="002A7AE8">
        <w:rPr>
          <w:rFonts w:cstheme="minorHAnsi"/>
          <w:sz w:val="28"/>
          <w:szCs w:val="28"/>
        </w:rPr>
        <w:t>International framework — trips article 39 Article 39 — trips agreement</w:t>
      </w:r>
    </w:p>
    <w:p w:rsidR="002A7AE8" w:rsidRPr="002A7AE8" w:rsidRDefault="002A7AE8" w:rsidP="002A7AE8">
      <w:pPr>
        <w:rPr>
          <w:rFonts w:cstheme="minorHAnsi"/>
          <w:sz w:val="28"/>
          <w:szCs w:val="28"/>
        </w:rPr>
      </w:pPr>
      <w:r w:rsidRPr="002A7AE8">
        <w:rPr>
          <w:rFonts w:cstheme="minorHAnsi"/>
          <w:sz w:val="28"/>
          <w:szCs w:val="28"/>
        </w:rPr>
        <w:t>Article 39(1): In the course of ensuring effective protection against unfair competition as provided in Article 10bis of the Paris Convention (1967), Members shall protect undisclosed information in accordance with paragraph 2 and data submitted to governments or governmental agencies in accordance with paragraph 3.</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Article 39(2): Natural and legal persons shall have the possibility of preventing information lawfully within their control from being disclosed to, acquired by, or used by others without their consent in a manner contrary to honest commercial practices so long as such information: (a) is secret in the sense that it is not, as a body or in the precise configuration and assembly of its components, generally known among or readily accessible to persons within the circles that normally deal with the kind of information in question; (b) has commercial value because it is secret; and (c) has been subject to reasonable steps under the circumstances, by the person lawfully in control of the information, to keep it secret.</w:t>
      </w:r>
    </w:p>
    <w:p w:rsidR="002A7AE8" w:rsidRPr="002A7AE8" w:rsidRDefault="002A7AE8" w:rsidP="002A7AE8">
      <w:pPr>
        <w:rPr>
          <w:rFonts w:cstheme="minorHAnsi"/>
          <w:sz w:val="28"/>
          <w:szCs w:val="28"/>
        </w:rPr>
      </w:pPr>
      <w:r w:rsidRPr="002A7AE8">
        <w:rPr>
          <w:rFonts w:cstheme="minorHAnsi"/>
          <w:sz w:val="28"/>
          <w:szCs w:val="28"/>
        </w:rPr>
        <w:t>Article 39(3): Members, when requiring, as a condition of approving the marketing of pharmaceutical or of agricultural chemical products which utilise new chemical entities, the submission of undisclosed test or other data, the origination of which involves a considerable effort, shall protect such data against unfair commercial use. In addition, Members shall protect such data against disclosure, except where necessary to protect the public, or unless steps are taken to ensure that the data are protected against unfair commercial use.</w:t>
      </w:r>
    </w:p>
    <w:p w:rsidR="002A7AE8" w:rsidRPr="002A7AE8" w:rsidRDefault="002A7AE8" w:rsidP="002A7AE8">
      <w:pPr>
        <w:rPr>
          <w:rFonts w:cstheme="minorHAnsi"/>
          <w:sz w:val="28"/>
          <w:szCs w:val="28"/>
        </w:rPr>
      </w:pPr>
      <w:r w:rsidRPr="002A7AE8">
        <w:rPr>
          <w:rFonts w:cstheme="minorHAnsi"/>
          <w:sz w:val="28"/>
          <w:szCs w:val="28"/>
        </w:rPr>
        <w:t>Key terms: 'Honest commercial practices' refers to conduct that does not involve breach of contract, breach of confidence, inducement to breach, or industrial espionage. 'Commercial value because it is secret' means that the competitive advantage arises directly from the undisclosed nature of the information, not from any inherent quality independent of secrecy. Article 39(3) specifically addresses undisclosed regulatory test data — protecting it against unfair commercial use by rival applicants who seek to rely on originator data without expending equivalent effort.</w:t>
      </w:r>
    </w:p>
    <w:p w:rsidR="002A7AE8" w:rsidRPr="002A7AE8" w:rsidRDefault="002A7AE8" w:rsidP="002A7AE8">
      <w:pPr>
        <w:rPr>
          <w:rFonts w:cstheme="minorHAnsi"/>
          <w:sz w:val="28"/>
          <w:szCs w:val="28"/>
        </w:rPr>
      </w:pPr>
      <w:r w:rsidRPr="002A7AE8">
        <w:rPr>
          <w:rFonts w:cstheme="minorHAnsi"/>
          <w:sz w:val="28"/>
          <w:szCs w:val="28"/>
        </w:rPr>
        <w:t>Article 39 of the TRIPS Agreement establishes the minimum international standard for trade secret protection and obliges all WTO member states to provide effective legal remedies against misappropriation. The provision does not prescribe any particular form of protection — it leaves member states free to protect undisclosed information through contract law, equity, tort law, or specific statutory regimes, provided the protection is effective in practice. The separate treatment of regulatory test data in Article 39(3) reflects the particular concern that originator pharmaceutical and agrochemical companies could lose their investment if regulatory data were immediately accessible to generic competitors.</w:t>
      </w:r>
    </w:p>
    <w:p w:rsidR="002A7AE8" w:rsidRPr="002A7AE8" w:rsidRDefault="002A7AE8" w:rsidP="002A7AE8">
      <w:pPr>
        <w:rPr>
          <w:rFonts w:cstheme="minorHAnsi"/>
          <w:sz w:val="28"/>
          <w:szCs w:val="28"/>
        </w:rPr>
      </w:pPr>
      <w:r w:rsidRPr="002A7AE8">
        <w:rPr>
          <w:rFonts w:cstheme="minorHAnsi"/>
          <w:sz w:val="28"/>
          <w:szCs w:val="28"/>
        </w:rPr>
        <w:t>Position in indian law</w:t>
      </w:r>
    </w:p>
    <w:p w:rsidR="002A7AE8" w:rsidRPr="002A7AE8" w:rsidRDefault="002A7AE8" w:rsidP="002A7AE8">
      <w:pPr>
        <w:rPr>
          <w:rFonts w:cstheme="minorHAnsi"/>
          <w:sz w:val="28"/>
          <w:szCs w:val="28"/>
        </w:rPr>
      </w:pPr>
      <w:r w:rsidRPr="002A7AE8">
        <w:rPr>
          <w:rFonts w:cstheme="minorHAnsi"/>
          <w:sz w:val="28"/>
          <w:szCs w:val="28"/>
        </w:rPr>
        <w:t>India does not have a dedicated Trade Secrets Act or any specific statutory legislation governing the protection of confidential information. Protection arises through a combination of frameworks.</w:t>
      </w:r>
    </w:p>
    <w:p w:rsidR="002A7AE8" w:rsidRPr="002A7AE8" w:rsidRDefault="002A7AE8" w:rsidP="002A7AE8">
      <w:pPr>
        <w:rPr>
          <w:rFonts w:cstheme="minorHAnsi"/>
          <w:sz w:val="28"/>
          <w:szCs w:val="28"/>
        </w:rPr>
      </w:pPr>
      <w:r w:rsidRPr="002A7AE8">
        <w:rPr>
          <w:rFonts w:cstheme="minorHAnsi"/>
          <w:sz w:val="28"/>
          <w:szCs w:val="28"/>
        </w:rPr>
        <w:t>The law of contract provides protection through express confidentiality clauses, non-disclosure agreements, and implied contractual obligations of confidence, particularly in employment relationships. The law of equity imposes an obligation of confidence wherever information is communicated in circumstances that a reasonable person would understand to carry an expectation of confidentiality. Common law principles have led Indian courts to consistently recognise a cause of action for breach of confidence, whether arising from an express contractual term or from the equitable doctrine.</w:t>
      </w:r>
    </w:p>
    <w:p w:rsidR="002A7AE8" w:rsidRPr="002A7AE8" w:rsidRDefault="002A7AE8" w:rsidP="002A7AE8">
      <w:pPr>
        <w:rPr>
          <w:rFonts w:cstheme="minorHAnsi"/>
          <w:sz w:val="28"/>
          <w:szCs w:val="28"/>
        </w:rPr>
      </w:pPr>
      <w:r w:rsidRPr="002A7AE8">
        <w:rPr>
          <w:rFonts w:cstheme="minorHAnsi"/>
          <w:sz w:val="28"/>
          <w:szCs w:val="28"/>
        </w:rPr>
        <w:t>Tortious principles also apply — the wrongful acquisition or disclosure of trade secrets may give rise to liability under the law of tort.</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absence of dedicated statutory protection is widely recognised as a gap in India's intellectual property framework. Discussions regarding the enactment of a comprehensive trade secrets statute have taken place, though no such legislation has been enacted. In practice, Indian courts have applied equitable and contractual principles to grant relief in trade secret disputes, drawing on English common law authorities and the evolving domestic jurisprudence.</w:t>
      </w:r>
    </w:p>
    <w:p w:rsidR="002A7AE8" w:rsidRPr="002A7AE8" w:rsidRDefault="002A7AE8" w:rsidP="002A7AE8">
      <w:pPr>
        <w:rPr>
          <w:rFonts w:cstheme="minorHAnsi"/>
          <w:sz w:val="28"/>
          <w:szCs w:val="28"/>
        </w:rPr>
      </w:pPr>
      <w:r w:rsidRPr="002A7AE8">
        <w:rPr>
          <w:rFonts w:cstheme="minorHAnsi"/>
          <w:sz w:val="28"/>
          <w:szCs w:val="28"/>
        </w:rPr>
        <w:t>Remedies available in india</w:t>
      </w:r>
    </w:p>
    <w:p w:rsidR="002A7AE8" w:rsidRPr="002A7AE8" w:rsidRDefault="002A7AE8" w:rsidP="002A7AE8">
      <w:pPr>
        <w:rPr>
          <w:rFonts w:cstheme="minorHAnsi"/>
          <w:sz w:val="28"/>
          <w:szCs w:val="28"/>
        </w:rPr>
      </w:pPr>
      <w:r w:rsidRPr="002A7AE8">
        <w:rPr>
          <w:rFonts w:cstheme="minorHAnsi"/>
          <w:sz w:val="28"/>
          <w:szCs w:val="28"/>
        </w:rPr>
        <w:t>Courts in India may grant a range of remedies in trade secret disputes. An injunction — both interlocutory, to prevent imminent or ongoing disclosure, and permanent, to restrain future use or disclosure — is the most commonly sought remedy. Damages may be awarded as compensation for losses suffered as a result of wrongful disclosure or use of confidential information. Where the wrongdoer has profited from the misappropriation, the court may direct an account of profits, requiring the defendant to pay over the gains made from the unlawful exploitation. Additionally, the court may order delivery up or destruction of materials containing or embodying the confidential information.</w:t>
      </w:r>
    </w:p>
    <w:p w:rsidR="002A7AE8" w:rsidRPr="002A7AE8" w:rsidRDefault="002A7AE8" w:rsidP="002A7AE8">
      <w:pPr>
        <w:rPr>
          <w:rFonts w:cstheme="minorHAnsi"/>
          <w:sz w:val="28"/>
          <w:szCs w:val="28"/>
        </w:rPr>
      </w:pPr>
      <w:r w:rsidRPr="002A7AE8">
        <w:rPr>
          <w:rFonts w:cstheme="minorHAnsi"/>
          <w:sz w:val="28"/>
          <w:szCs w:val="28"/>
        </w:rPr>
        <w:t>Advantages and limitations of trade secret protection</w:t>
      </w:r>
    </w:p>
    <w:p w:rsidR="002A7AE8" w:rsidRPr="002A7AE8" w:rsidRDefault="002A7AE8" w:rsidP="002A7AE8">
      <w:pPr>
        <w:rPr>
          <w:rFonts w:cstheme="minorHAnsi"/>
          <w:sz w:val="28"/>
          <w:szCs w:val="28"/>
        </w:rPr>
      </w:pPr>
      <w:r w:rsidRPr="002A7AE8">
        <w:rPr>
          <w:rFonts w:cstheme="minorHAnsi"/>
          <w:sz w:val="28"/>
          <w:szCs w:val="28"/>
        </w:rPr>
        <w:t>The following table compares trade secret protection with patent protection across key parameters:</w:t>
      </w:r>
    </w:p>
    <w:p w:rsidR="002A7AE8" w:rsidRPr="002A7AE8" w:rsidRDefault="002A7AE8" w:rsidP="002A7AE8">
      <w:pPr>
        <w:rPr>
          <w:rFonts w:cstheme="minorHAnsi"/>
          <w:sz w:val="28"/>
          <w:szCs w:val="28"/>
        </w:rPr>
      </w:pPr>
    </w:p>
    <w:p w:rsidR="002A7AE8" w:rsidRPr="002A7AE8" w:rsidRDefault="002A7AE8" w:rsidP="002A7AE8">
      <w:pPr>
        <w:rPr>
          <w:rFonts w:cstheme="minorHAnsi"/>
          <w:sz w:val="28"/>
          <w:szCs w:val="28"/>
        </w:rPr>
      </w:pPr>
      <w:r w:rsidRPr="002A7AE8">
        <w:rPr>
          <w:rFonts w:cstheme="minorHAnsi"/>
          <w:sz w:val="28"/>
          <w:szCs w:val="28"/>
        </w:rPr>
        <w:t>Aspect</w:t>
      </w:r>
      <w:r w:rsidRPr="002A7AE8">
        <w:rPr>
          <w:rFonts w:cstheme="minorHAnsi"/>
          <w:sz w:val="28"/>
          <w:szCs w:val="28"/>
        </w:rPr>
        <w:tab/>
        <w:t>Trade secret</w:t>
      </w:r>
      <w:r w:rsidRPr="002A7AE8">
        <w:rPr>
          <w:rFonts w:cstheme="minorHAnsi"/>
          <w:sz w:val="28"/>
          <w:szCs w:val="28"/>
        </w:rPr>
        <w:tab/>
        <w:t>Patent</w:t>
      </w:r>
    </w:p>
    <w:p w:rsidR="002A7AE8" w:rsidRPr="002A7AE8" w:rsidRDefault="002A7AE8" w:rsidP="002A7AE8">
      <w:pPr>
        <w:rPr>
          <w:rFonts w:cstheme="minorHAnsi"/>
          <w:sz w:val="28"/>
          <w:szCs w:val="28"/>
        </w:rPr>
      </w:pPr>
      <w:r w:rsidRPr="002A7AE8">
        <w:rPr>
          <w:rFonts w:cstheme="minorHAnsi"/>
          <w:sz w:val="28"/>
          <w:szCs w:val="28"/>
        </w:rPr>
        <w:t>Duration</w:t>
      </w:r>
      <w:r w:rsidRPr="002A7AE8">
        <w:rPr>
          <w:rFonts w:cstheme="minorHAnsi"/>
          <w:sz w:val="28"/>
          <w:szCs w:val="28"/>
        </w:rPr>
        <w:tab/>
        <w:t>Unlimited — lasts as long as secrecy is maintained</w:t>
      </w:r>
      <w:r w:rsidRPr="002A7AE8">
        <w:rPr>
          <w:rFonts w:cstheme="minorHAnsi"/>
          <w:sz w:val="28"/>
          <w:szCs w:val="28"/>
        </w:rPr>
        <w:tab/>
        <w:t>Fixed — 20 years from filing date</w:t>
      </w:r>
    </w:p>
    <w:p w:rsidR="002A7AE8" w:rsidRPr="002A7AE8" w:rsidRDefault="002A7AE8" w:rsidP="002A7AE8">
      <w:pPr>
        <w:rPr>
          <w:rFonts w:cstheme="minorHAnsi"/>
          <w:sz w:val="28"/>
          <w:szCs w:val="28"/>
        </w:rPr>
      </w:pPr>
      <w:r w:rsidRPr="002A7AE8">
        <w:rPr>
          <w:rFonts w:cstheme="minorHAnsi"/>
          <w:sz w:val="28"/>
          <w:szCs w:val="28"/>
        </w:rPr>
        <w:t>Registration</w:t>
      </w:r>
      <w:r w:rsidRPr="002A7AE8">
        <w:rPr>
          <w:rFonts w:cstheme="minorHAnsi"/>
          <w:sz w:val="28"/>
          <w:szCs w:val="28"/>
        </w:rPr>
        <w:tab/>
        <w:t>Not required</w:t>
      </w:r>
      <w:r w:rsidRPr="002A7AE8">
        <w:rPr>
          <w:rFonts w:cstheme="minorHAnsi"/>
          <w:sz w:val="28"/>
          <w:szCs w:val="28"/>
        </w:rPr>
        <w:tab/>
        <w:t>Mandatory; subject to examination</w:t>
      </w:r>
    </w:p>
    <w:p w:rsidR="002A7AE8" w:rsidRPr="002A7AE8" w:rsidRDefault="002A7AE8" w:rsidP="002A7AE8">
      <w:pPr>
        <w:rPr>
          <w:rFonts w:cstheme="minorHAnsi"/>
          <w:sz w:val="28"/>
          <w:szCs w:val="28"/>
        </w:rPr>
      </w:pPr>
      <w:r w:rsidRPr="002A7AE8">
        <w:rPr>
          <w:rFonts w:cstheme="minorHAnsi"/>
          <w:sz w:val="28"/>
          <w:szCs w:val="28"/>
        </w:rPr>
        <w:t>Disclosure</w:t>
      </w:r>
      <w:r w:rsidRPr="002A7AE8">
        <w:rPr>
          <w:rFonts w:cstheme="minorHAnsi"/>
          <w:sz w:val="28"/>
          <w:szCs w:val="28"/>
        </w:rPr>
        <w:tab/>
        <w:t>No disclosure required or permitted</w:t>
      </w:r>
      <w:r w:rsidRPr="002A7AE8">
        <w:rPr>
          <w:rFonts w:cstheme="minorHAnsi"/>
          <w:sz w:val="28"/>
          <w:szCs w:val="28"/>
        </w:rPr>
        <w:tab/>
        <w:t>Full public disclosure required</w:t>
      </w:r>
    </w:p>
    <w:p w:rsidR="002A7AE8" w:rsidRPr="002A7AE8" w:rsidRDefault="002A7AE8" w:rsidP="002A7AE8">
      <w:pPr>
        <w:rPr>
          <w:rFonts w:cstheme="minorHAnsi"/>
          <w:sz w:val="28"/>
          <w:szCs w:val="28"/>
        </w:rPr>
      </w:pPr>
      <w:r w:rsidRPr="002A7AE8">
        <w:rPr>
          <w:rFonts w:cstheme="minorHAnsi"/>
          <w:sz w:val="28"/>
          <w:szCs w:val="28"/>
        </w:rPr>
        <w:t>Protection against independent development</w:t>
      </w:r>
      <w:r w:rsidRPr="002A7AE8">
        <w:rPr>
          <w:rFonts w:cstheme="minorHAnsi"/>
          <w:sz w:val="28"/>
          <w:szCs w:val="28"/>
        </w:rPr>
        <w:tab/>
        <w:t>No — independent discovery is permitted</w:t>
      </w:r>
      <w:r w:rsidRPr="002A7AE8">
        <w:rPr>
          <w:rFonts w:cstheme="minorHAnsi"/>
          <w:sz w:val="28"/>
          <w:szCs w:val="28"/>
        </w:rPr>
        <w:tab/>
        <w:t>Yes — exclusive right regardless of independent creation</w:t>
      </w:r>
    </w:p>
    <w:p w:rsidR="002A7AE8" w:rsidRPr="002A7AE8" w:rsidRDefault="002A7AE8" w:rsidP="002A7AE8">
      <w:pPr>
        <w:rPr>
          <w:rFonts w:cstheme="minorHAnsi"/>
          <w:sz w:val="28"/>
          <w:szCs w:val="28"/>
        </w:rPr>
      </w:pPr>
      <w:r w:rsidRPr="002A7AE8">
        <w:rPr>
          <w:rFonts w:cstheme="minorHAnsi"/>
          <w:sz w:val="28"/>
          <w:szCs w:val="28"/>
        </w:rPr>
        <w:t>Protection against reverse engineering</w:t>
      </w:r>
      <w:r w:rsidRPr="002A7AE8">
        <w:rPr>
          <w:rFonts w:cstheme="minorHAnsi"/>
          <w:sz w:val="28"/>
          <w:szCs w:val="28"/>
        </w:rPr>
        <w:tab/>
        <w:t>No — legitimate reverse engineering is permitted</w:t>
      </w:r>
      <w:r w:rsidRPr="002A7AE8">
        <w:rPr>
          <w:rFonts w:cstheme="minorHAnsi"/>
          <w:sz w:val="28"/>
          <w:szCs w:val="28"/>
        </w:rPr>
        <w:tab/>
        <w:t>Yes — use prohibited during patent term</w:t>
      </w:r>
    </w:p>
    <w:p w:rsidR="002A7AE8" w:rsidRPr="002A7AE8" w:rsidRDefault="002A7AE8" w:rsidP="002A7AE8">
      <w:pPr>
        <w:rPr>
          <w:rFonts w:cstheme="minorHAnsi"/>
          <w:sz w:val="28"/>
          <w:szCs w:val="28"/>
        </w:rPr>
      </w:pPr>
      <w:r w:rsidRPr="002A7AE8">
        <w:rPr>
          <w:rFonts w:cstheme="minorHAnsi"/>
          <w:sz w:val="28"/>
          <w:szCs w:val="28"/>
        </w:rPr>
        <w:t>Scope</w:t>
      </w:r>
      <w:r w:rsidRPr="002A7AE8">
        <w:rPr>
          <w:rFonts w:cstheme="minorHAnsi"/>
          <w:sz w:val="28"/>
          <w:szCs w:val="28"/>
        </w:rPr>
        <w:tab/>
        <w:t>Wide — covers non-patentable information such as customer lists and strategies</w:t>
      </w:r>
      <w:r w:rsidRPr="002A7AE8">
        <w:rPr>
          <w:rFonts w:cstheme="minorHAnsi"/>
          <w:sz w:val="28"/>
          <w:szCs w:val="28"/>
        </w:rPr>
        <w:tab/>
        <w:t>Narrower — only novel, inventive, and industrially applicable subject matter</w:t>
      </w:r>
    </w:p>
    <w:p w:rsidR="002A7AE8" w:rsidRPr="002A7AE8" w:rsidRDefault="002A7AE8" w:rsidP="002A7AE8">
      <w:pPr>
        <w:rPr>
          <w:rFonts w:cstheme="minorHAnsi"/>
          <w:sz w:val="28"/>
          <w:szCs w:val="28"/>
        </w:rPr>
      </w:pPr>
      <w:r w:rsidRPr="002A7AE8">
        <w:rPr>
          <w:rFonts w:cstheme="minorHAnsi"/>
          <w:sz w:val="28"/>
          <w:szCs w:val="28"/>
        </w:rPr>
        <w:t>Loss of protection</w:t>
      </w:r>
      <w:r w:rsidRPr="002A7AE8">
        <w:rPr>
          <w:rFonts w:cstheme="minorHAnsi"/>
          <w:sz w:val="28"/>
          <w:szCs w:val="28"/>
        </w:rPr>
        <w:tab/>
        <w:t>Permanent if information enters public domain</w:t>
      </w:r>
      <w:r w:rsidRPr="002A7AE8">
        <w:rPr>
          <w:rFonts w:cstheme="minorHAnsi"/>
          <w:sz w:val="28"/>
          <w:szCs w:val="28"/>
        </w:rPr>
        <w:tab/>
        <w:t>Expires after 20 years; not lost by disclosure</w:t>
      </w:r>
    </w:p>
    <w:p w:rsidR="002A7AE8" w:rsidRPr="002A7AE8" w:rsidRDefault="002A7AE8" w:rsidP="002A7AE8">
      <w:pPr>
        <w:rPr>
          <w:rFonts w:cstheme="minorHAnsi"/>
          <w:sz w:val="28"/>
          <w:szCs w:val="28"/>
        </w:rPr>
      </w:pPr>
      <w:r w:rsidRPr="002A7AE8">
        <w:rPr>
          <w:rFonts w:cstheme="minorHAnsi"/>
          <w:sz w:val="28"/>
          <w:szCs w:val="28"/>
        </w:rPr>
        <w:t>Trade secret protection offers potentially unlimited duration — it persists for as long as the information remains secret — and requires no registration, fees, or formal procedures. It is available immediately upon creation of the information and extends to subject matter that may not qualify for patent protection, such as customer lists and business strategies. However, it offers no defence against independent development or legitimate reverse engineering by competitors. Enforcement is difficult across jurisdictions given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the absence of a registration system, and the protection is permanently and irreversibly lost the moment the information enters the public domain.</w:t>
      </w:r>
    </w:p>
    <w:p w:rsidR="002A7AE8" w:rsidRPr="002A7AE8" w:rsidRDefault="002A7AE8" w:rsidP="002A7AE8">
      <w:pPr>
        <w:rPr>
          <w:rFonts w:cstheme="minorHAnsi"/>
          <w:sz w:val="28"/>
          <w:szCs w:val="28"/>
        </w:rPr>
      </w:pPr>
      <w:r w:rsidRPr="002A7AE8">
        <w:rPr>
          <w:rFonts w:cstheme="minorHAnsi"/>
          <w:sz w:val="28"/>
          <w:szCs w:val="28"/>
        </w:rPr>
        <w:t>Organisations relying on trade secrets must therefore invest continuously in security measures and contractual safeguards.</w:t>
      </w:r>
    </w:p>
    <w:p w:rsidR="002A7AE8" w:rsidRPr="002A7AE8" w:rsidRDefault="002A7AE8" w:rsidP="002A7AE8">
      <w:pPr>
        <w:rPr>
          <w:rFonts w:cstheme="minorHAnsi"/>
          <w:sz w:val="28"/>
          <w:szCs w:val="28"/>
        </w:rPr>
      </w:pPr>
      <w:r w:rsidRPr="002A7AE8">
        <w:rPr>
          <w:rFonts w:cstheme="minorHAnsi"/>
          <w:sz w:val="28"/>
          <w:szCs w:val="28"/>
        </w:rPr>
        <w:t>Relevant case laws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diljeet titus, advocate v. alfred a. adebare and others</w:t>
      </w:r>
    </w:p>
    <w:p w:rsidR="002A7AE8" w:rsidRPr="002A7AE8" w:rsidRDefault="002A7AE8" w:rsidP="002A7AE8">
      <w:pPr>
        <w:rPr>
          <w:rFonts w:cstheme="minorHAnsi"/>
          <w:sz w:val="28"/>
          <w:szCs w:val="28"/>
        </w:rPr>
      </w:pPr>
      <w:r w:rsidRPr="002A7AE8">
        <w:rPr>
          <w:rFonts w:cstheme="minorHAnsi"/>
          <w:sz w:val="28"/>
          <w:szCs w:val="28"/>
        </w:rPr>
        <w:t>Citation: 130 (2006) DLT 330</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The plaintiff, a senior advocate, filed a suit against former associates who had left his law firm and allegedly taken confidential client databases, matter files, and correspondence. The defendants were said to have used the information to set up a competing practice and solicit the plaintiff's clients.</w:t>
      </w: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Whether confidential client information and internal records of a law firm constituted protectable confidential information. Whether the departure of employees and alleged removal of such information amounted to a breach of confidence enforceable by the courts.</w:t>
      </w: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Delhi High Court granted an injunction restraining the defendants from using the confidential information taken from the plaintiff's firm. The Court affirmed that client lists, internal databases, and professional communications maintained by a law firm constitute confidential information, even in the absence of an express non-disclosure agreement. The obligation of confidence arises from the nature of the information and the circumstances in which it was received.</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american express bank ltd. v. ms. priya puri</w:t>
      </w:r>
    </w:p>
    <w:p w:rsidR="002A7AE8" w:rsidRPr="002A7AE8" w:rsidRDefault="002A7AE8" w:rsidP="002A7AE8">
      <w:pPr>
        <w:rPr>
          <w:rFonts w:cstheme="minorHAnsi"/>
          <w:sz w:val="28"/>
          <w:szCs w:val="28"/>
        </w:rPr>
      </w:pPr>
      <w:r w:rsidRPr="002A7AE8">
        <w:rPr>
          <w:rFonts w:cstheme="minorHAnsi"/>
          <w:sz w:val="28"/>
          <w:szCs w:val="28"/>
        </w:rPr>
        <w:t>Citation: 2006 (3) LLJ 540 (Del HC)</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An employee of American Express Bank left her position and joined a competitor bank. The employer alleged that she had taken confidential customer data, including account details and contact information, and was using it to solicit customers for the competitor.</w:t>
      </w: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Whether customer data compiled and maintained by an employer constitutes a trade secret protectable against a departing employee. Whether an injunction could be granted to prevent the use of such information in the absence of an express confidentiality clause.</w:t>
      </w: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Delhi High Court held that customer databases and account-related information compiled by an employer do constitute confidential information. The Court granted an interlocutory injunction restraining the defendant from</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using the information, finding that the obligation of confidence arises by implication in an employment relationship even without an express contractual clause. The judgment reinforced the principle that employees owe a duty of confidence with respect to their employer's trade secrets both during and after the employment relationship.</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Confidential information and trade secrets occupy an important, if legally under-developed, space in India's intellectual property landscape. The absence of a dedicated statutory framework means that protection depends on a patchwork of contractual, equitable, and tortious remedies, leaving rights holders without the certainty and predictability that a dedicated statute would provide. At the international level, Article 39 of the TRIPS Agreement sets the minimum standard, obliging all WTO members to provide effective protection against misappropriation.</w:t>
      </w:r>
    </w:p>
    <w:p w:rsidR="002A7AE8" w:rsidRPr="002A7AE8" w:rsidRDefault="002A7AE8" w:rsidP="002A7AE8">
      <w:pPr>
        <w:rPr>
          <w:rFonts w:cstheme="minorHAnsi"/>
          <w:sz w:val="28"/>
          <w:szCs w:val="28"/>
        </w:rPr>
      </w:pPr>
      <w:r w:rsidRPr="002A7AE8">
        <w:rPr>
          <w:rFonts w:cstheme="minorHAnsi"/>
          <w:sz w:val="28"/>
          <w:szCs w:val="28"/>
        </w:rPr>
        <w:t>The principal advantage of trade secret protection — its potentially unlimited duration and freedom from registration formality — must be weighed against its fundamental vulnerability: protection is irreversibly extinguished once the information enters the public domain and offers no recourse against independent discovery or legitimate reverse engineering. For this reason, trade secret protection is best suited to information that is inherently difficult to reverse engineer, such as complex manufacturing processes, or to information that does not meet the patentability threshold. Indian courts have demonstrated a consistent willingness to grant relief in breach of confidence cases, and judicial development of this area continues to fill the gap left by the absence of legislation. The enactment of a comprehensive trade secrets statute would, however, significantly strengthen India's position both domestically and in its international trade and investment relationships.</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Traditional knowledge Meaning and characteristics</w:t>
      </w:r>
    </w:p>
    <w:p w:rsidR="002A7AE8" w:rsidRPr="002A7AE8" w:rsidRDefault="002A7AE8" w:rsidP="002A7AE8">
      <w:pPr>
        <w:rPr>
          <w:rFonts w:cstheme="minorHAnsi"/>
          <w:sz w:val="28"/>
          <w:szCs w:val="28"/>
        </w:rPr>
      </w:pPr>
      <w:r w:rsidRPr="002A7AE8">
        <w:rPr>
          <w:rFonts w:cstheme="minorHAnsi"/>
          <w:sz w:val="28"/>
          <w:szCs w:val="28"/>
        </w:rPr>
        <w:t>Traditional Knowledge (TK) refers to the body of knowledge, innovations, practices, and cultural expressions developed, maintained, and transmitted within and between indigenous, local, and traditional communities over generations. It encompasses a wide spectrum of fields, including traditional medicine and healing practices, agricultural techniques, ecological knowledge, biodiversity-related practices, and cultural expressions. Traditional knowledge is inherently community-based — it is collectively owned, maintained, and transmitted by a community rather than by any single identifiable creator.</w:t>
      </w:r>
    </w:p>
    <w:p w:rsidR="002A7AE8" w:rsidRPr="002A7AE8" w:rsidRDefault="002A7AE8" w:rsidP="002A7AE8">
      <w:pPr>
        <w:rPr>
          <w:rFonts w:cstheme="minorHAnsi"/>
          <w:sz w:val="28"/>
          <w:szCs w:val="28"/>
        </w:rPr>
      </w:pPr>
      <w:r w:rsidRPr="002A7AE8">
        <w:rPr>
          <w:rFonts w:cstheme="minorHAnsi"/>
          <w:sz w:val="28"/>
          <w:szCs w:val="28"/>
        </w:rPr>
        <w:t>Several defining characteristics distinguish traditional knowledge from other forms of intellectual property. It is generated, preserved, and transmitted collectively across generations, rather than being the product of a single inventor. It is deeply embedded in the cultural identity, spiritual practices, and social structures of the community from which it originates. It is often transmitted orally or through practice rather than in written form, making it both difficult to document and vulnerable to loss. It is dynamic and evolving, being continuously adapted by communities in response to changing environmental, social, and economic conditions. It may represent the accumulated wisdom of many generations, developed over very long periods.</w:t>
      </w:r>
    </w:p>
    <w:p w:rsidR="002A7AE8" w:rsidRPr="002A7AE8" w:rsidRDefault="002A7AE8" w:rsidP="002A7AE8">
      <w:pPr>
        <w:rPr>
          <w:rFonts w:cstheme="minorHAnsi"/>
          <w:sz w:val="28"/>
          <w:szCs w:val="28"/>
        </w:rPr>
      </w:pPr>
      <w:r w:rsidRPr="002A7AE8">
        <w:rPr>
          <w:rFonts w:cstheme="minorHAnsi"/>
          <w:sz w:val="28"/>
          <w:szCs w:val="28"/>
        </w:rPr>
        <w:t>Examples of traditional knowledge in india</w:t>
      </w:r>
    </w:p>
    <w:p w:rsidR="002A7AE8" w:rsidRPr="002A7AE8" w:rsidRDefault="002A7AE8" w:rsidP="002A7AE8">
      <w:pPr>
        <w:rPr>
          <w:rFonts w:cstheme="minorHAnsi"/>
          <w:sz w:val="28"/>
          <w:szCs w:val="28"/>
        </w:rPr>
      </w:pPr>
      <w:r w:rsidRPr="002A7AE8">
        <w:rPr>
          <w:rFonts w:cstheme="minorHAnsi"/>
          <w:sz w:val="28"/>
          <w:szCs w:val="28"/>
        </w:rPr>
        <w:t>India possesses an exceptionally rich body of traditional knowledge accumulated over millennia. Ayurvedic and Unani medicine represent systems of traditional Indian medicine employing specific formulations, herbs, and therapeutic approaches developed over thousands of years. Yoga and its various practices and disciplines constitute a distinct body of traditional knowledge. Herbal remedies used by tribal and rural communities, traditional agricultural knowledge including seed selection and cultivation techniques, traditional ecological knowledge relating to biodiversity and sustainable use of natural resources, and traditional arts and crafts are further examples of the breadth and depth of India's traditional knowledge heritage.</w:t>
      </w:r>
    </w:p>
    <w:p w:rsidR="002A7AE8" w:rsidRPr="002A7AE8" w:rsidRDefault="002A7AE8" w:rsidP="002A7AE8">
      <w:pPr>
        <w:rPr>
          <w:rFonts w:cstheme="minorHAnsi"/>
          <w:sz w:val="28"/>
          <w:szCs w:val="28"/>
        </w:rPr>
      </w:pPr>
      <w:r w:rsidRPr="002A7AE8">
        <w:rPr>
          <w:rFonts w:cstheme="minorHAnsi"/>
          <w:sz w:val="28"/>
          <w:szCs w:val="28"/>
        </w:rPr>
        <w:t>Need for protection — the problem of biopiracy</w:t>
      </w:r>
    </w:p>
    <w:p w:rsidR="002A7AE8" w:rsidRPr="002A7AE8" w:rsidRDefault="002A7AE8" w:rsidP="002A7AE8">
      <w:pPr>
        <w:rPr>
          <w:rFonts w:cstheme="minorHAnsi"/>
          <w:sz w:val="28"/>
          <w:szCs w:val="28"/>
        </w:rPr>
      </w:pPr>
      <w:r w:rsidRPr="002A7AE8">
        <w:rPr>
          <w:rFonts w:cstheme="minorHAnsi"/>
          <w:sz w:val="28"/>
          <w:szCs w:val="28"/>
        </w:rPr>
        <w:t>The principal threat to traditional knowledge is biopiracy — the unauthorised appropriation of biological resources and associated traditional knowledge of indigenous and local communities, typically by commercial entities, without obtaining the free, prior, and informed consent of the community and without ensuring equitable sharing of the benefits derived from such use. Biopiracy frequently takes the form of obtaining patents in foreign jurisdictions for inventions based on traditional knowledge, without acknowledging the prior art constituted by that knowledge and without compensating the originating communities.</w:t>
      </w:r>
    </w:p>
    <w:p w:rsidR="002A7AE8" w:rsidRPr="002A7AE8" w:rsidRDefault="002A7AE8" w:rsidP="002A7AE8">
      <w:pPr>
        <w:rPr>
          <w:rFonts w:cstheme="minorHAnsi"/>
          <w:sz w:val="28"/>
          <w:szCs w:val="28"/>
        </w:rPr>
      </w:pPr>
      <w:r w:rsidRPr="002A7AE8">
        <w:rPr>
          <w:rFonts w:cstheme="minorHAnsi"/>
          <w:sz w:val="28"/>
          <w:szCs w:val="28"/>
        </w:rPr>
        <w:t>Traditional knowledge is particularly vulnerable to this form of misappropriation because it frequently exists in oral or undocumented form, making it difficult to establish as prior art in patent examination proceedings in foreign jurisdictions. Patent examiners unfamiliar with the traditional knowledge of a particular community may grant patents for inventions that are, in fact, based entirely on existing traditional practices and therefore lack the requisite novelty or inventive step. The neem, turmeric, and basmati controversies are well-known examples in which patents were sought or</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granted in foreign jurisdictions based on knowledge and practices long established in India.</w:t>
      </w:r>
    </w:p>
    <w:p w:rsidR="002A7AE8" w:rsidRPr="002A7AE8" w:rsidRDefault="002A7AE8" w:rsidP="002A7AE8">
      <w:pPr>
        <w:rPr>
          <w:rFonts w:cstheme="minorHAnsi"/>
          <w:sz w:val="28"/>
          <w:szCs w:val="28"/>
        </w:rPr>
      </w:pPr>
      <w:r w:rsidRPr="002A7AE8">
        <w:rPr>
          <w:rFonts w:cstheme="minorHAnsi"/>
          <w:sz w:val="28"/>
          <w:szCs w:val="28"/>
        </w:rPr>
        <w:t>Indian initiatives for protection of traditional knowledge Traditional knowledge digital library (tkdl)</w:t>
      </w:r>
    </w:p>
    <w:p w:rsidR="002A7AE8" w:rsidRPr="002A7AE8" w:rsidRDefault="002A7AE8" w:rsidP="002A7AE8">
      <w:pPr>
        <w:rPr>
          <w:rFonts w:cstheme="minorHAnsi"/>
          <w:sz w:val="28"/>
          <w:szCs w:val="28"/>
        </w:rPr>
      </w:pPr>
      <w:r w:rsidRPr="002A7AE8">
        <w:rPr>
          <w:rFonts w:cstheme="minorHAnsi"/>
          <w:sz w:val="28"/>
          <w:szCs w:val="28"/>
        </w:rPr>
        <w:t>One of India's most significant initiatives is the Traditional Knowledge Digital Library (TKDL), established as a collaborative project of the Council of Scientific and Industrial Research (CSIR) and the Ministry of AYUSH. The TKDL is a comprehensive, structured database documenting traditional Indian medicinal knowledge — particularly from Ayurveda, Unani, Siddha, and Yoga systems — in a digitally searchable format across multiple languages. The database has been made available to international patent offices, including the European Patent Office (EPO), the United States Patent and Trademark Office (USPTO), and the Japan Patent Office (JPO), enabling patent examiners to identify and cite documented traditional knowledge as prior art against applications based on such knowledge.</w:t>
      </w:r>
    </w:p>
    <w:p w:rsidR="002A7AE8" w:rsidRPr="002A7AE8" w:rsidRDefault="002A7AE8" w:rsidP="002A7AE8">
      <w:pPr>
        <w:rPr>
          <w:rFonts w:cstheme="minorHAnsi"/>
          <w:sz w:val="28"/>
          <w:szCs w:val="28"/>
        </w:rPr>
      </w:pPr>
      <w:r w:rsidRPr="002A7AE8">
        <w:rPr>
          <w:rFonts w:cstheme="minorHAnsi"/>
          <w:sz w:val="28"/>
          <w:szCs w:val="28"/>
        </w:rPr>
        <w:t>The TKDL has proved effective in preventing biopiracy patents. Several patent applications based on traditional Indian knowledge have been rejected or withdrawn as a direct result of examiner searches of the database. The TKDL initiative has been recognised internationally as a replicable model for the protection of traditional knowledge through prior art documentation.</w:t>
      </w:r>
    </w:p>
    <w:p w:rsidR="002A7AE8" w:rsidRPr="002A7AE8" w:rsidRDefault="002A7AE8" w:rsidP="002A7AE8">
      <w:pPr>
        <w:rPr>
          <w:rFonts w:cstheme="minorHAnsi"/>
          <w:sz w:val="28"/>
          <w:szCs w:val="28"/>
        </w:rPr>
      </w:pPr>
      <w:r w:rsidRPr="002A7AE8">
        <w:rPr>
          <w:rFonts w:cstheme="minorHAnsi"/>
          <w:sz w:val="28"/>
          <w:szCs w:val="28"/>
        </w:rPr>
        <w:t>The biological diversity act, 2002</w:t>
      </w:r>
    </w:p>
    <w:p w:rsidR="002A7AE8" w:rsidRPr="002A7AE8" w:rsidRDefault="002A7AE8" w:rsidP="002A7AE8">
      <w:pPr>
        <w:rPr>
          <w:rFonts w:cstheme="minorHAnsi"/>
          <w:sz w:val="28"/>
          <w:szCs w:val="28"/>
        </w:rPr>
      </w:pPr>
      <w:r w:rsidRPr="002A7AE8">
        <w:rPr>
          <w:rFonts w:cstheme="minorHAnsi"/>
          <w:sz w:val="28"/>
          <w:szCs w:val="28"/>
        </w:rPr>
        <w:t>The Biological Diversity Act, 2002 gives effect to India's obligations under the United Nations Convention on Biological Diversity (CBD) and regulates access to India's biological resources and associated traditional knowledge. The Act establishes the National Biodiversity Authority (NBA) and requires persons seeking access to biological resources for research, commercial utilisation, or bio-survey purposes to obtain prior approval from the NBA or State Biodiversity Boards. The Act mandates equitable sharing of benefits arising from the use of biological resources and traditional knowledge with originating communities.</w:t>
      </w:r>
    </w:p>
    <w:p w:rsidR="002A7AE8" w:rsidRPr="002A7AE8" w:rsidRDefault="002A7AE8" w:rsidP="002A7AE8">
      <w:pPr>
        <w:rPr>
          <w:rFonts w:cstheme="minorHAnsi"/>
          <w:sz w:val="28"/>
          <w:szCs w:val="28"/>
        </w:rPr>
      </w:pPr>
      <w:r w:rsidRPr="002A7AE8">
        <w:rPr>
          <w:rFonts w:cstheme="minorHAnsi"/>
          <w:sz w:val="28"/>
          <w:szCs w:val="28"/>
        </w:rPr>
        <w:t>Section 3(p) of the patents act, 1970 — statutory text</w:t>
      </w:r>
    </w:p>
    <w:p w:rsidR="002A7AE8" w:rsidRPr="002A7AE8" w:rsidRDefault="002A7AE8" w:rsidP="002A7AE8">
      <w:pPr>
        <w:rPr>
          <w:rFonts w:cstheme="minorHAnsi"/>
          <w:sz w:val="28"/>
          <w:szCs w:val="28"/>
        </w:rPr>
      </w:pPr>
      <w:r w:rsidRPr="002A7AE8">
        <w:rPr>
          <w:rFonts w:cstheme="minorHAnsi"/>
          <w:sz w:val="28"/>
          <w:szCs w:val="28"/>
        </w:rPr>
        <w:t>Section 3(p) of the Patents Act, 1970 reads as follows:</w:t>
      </w:r>
    </w:p>
    <w:p w:rsidR="002A7AE8" w:rsidRPr="002A7AE8" w:rsidRDefault="002A7AE8" w:rsidP="002A7AE8">
      <w:pPr>
        <w:rPr>
          <w:rFonts w:cstheme="minorHAnsi"/>
          <w:sz w:val="28"/>
          <w:szCs w:val="28"/>
        </w:rPr>
      </w:pPr>
      <w:r w:rsidRPr="002A7AE8">
        <w:rPr>
          <w:rFonts w:cstheme="minorHAnsi"/>
          <w:sz w:val="28"/>
          <w:szCs w:val="28"/>
        </w:rPr>
        <w:t>"The following are not inventions within the meaning of this Act — (p) an invention which, in effect, is traditional knowledge or which is an aggregation or duplication of known properties of traditionally known component or components."</w:t>
      </w:r>
    </w:p>
    <w:p w:rsidR="002A7AE8" w:rsidRPr="002A7AE8" w:rsidRDefault="002A7AE8" w:rsidP="002A7AE8">
      <w:pPr>
        <w:rPr>
          <w:rFonts w:cstheme="minorHAnsi"/>
          <w:sz w:val="28"/>
          <w:szCs w:val="28"/>
        </w:rPr>
      </w:pPr>
      <w:r w:rsidRPr="002A7AE8">
        <w:rPr>
          <w:rFonts w:cstheme="minorHAnsi"/>
          <w:sz w:val="28"/>
          <w:szCs w:val="28"/>
        </w:rPr>
        <w:t>Key terms: 'Traditional knowledge' in this provision refers to knowledge that has been generated and maintained within communities over generations, whether or not formally documented. 'Aggregation or duplication of known properties' means that merely combining or replicating characteristics of elements already known to traditional communities does not constitute a patentable invention, even if the combination itself has not been formally recorded. The provision operates as an absolute bar — it does not depend on whether the examiner is aware of the traditional knowledge, but categorically excludes the subject matter from patentability.</w:t>
      </w:r>
    </w:p>
    <w:p w:rsidR="002A7AE8" w:rsidRPr="002A7AE8" w:rsidRDefault="002A7AE8" w:rsidP="002A7AE8">
      <w:pPr>
        <w:rPr>
          <w:rFonts w:cstheme="minorHAnsi"/>
          <w:sz w:val="28"/>
          <w:szCs w:val="28"/>
        </w:rPr>
      </w:pPr>
      <w:r w:rsidRPr="002A7AE8">
        <w:rPr>
          <w:rFonts w:cstheme="minorHAnsi"/>
          <w:sz w:val="28"/>
          <w:szCs w:val="28"/>
        </w:rPr>
        <w:t>Section 3(p) directly prevents the grant of patents over traditional knowledge in India. It supplements the TKDL strategy of defeating such patents abroad by</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ensuring that they cannot be obtained domestically in the first place. The provision reflects a deliberate legislative policy that traditional knowledge belongs to the communities that developed it and should not be capable of being appropriated through the patent system by commercial actors who did not contribute to its creation.</w:t>
      </w:r>
    </w:p>
    <w:p w:rsidR="002A7AE8" w:rsidRPr="002A7AE8" w:rsidRDefault="002A7AE8" w:rsidP="002A7AE8">
      <w:pPr>
        <w:rPr>
          <w:rFonts w:cstheme="minorHAnsi"/>
          <w:sz w:val="28"/>
          <w:szCs w:val="28"/>
        </w:rPr>
      </w:pPr>
      <w:r w:rsidRPr="002A7AE8">
        <w:rPr>
          <w:rFonts w:cstheme="minorHAnsi"/>
          <w:sz w:val="28"/>
          <w:szCs w:val="28"/>
        </w:rPr>
        <w:t>International framework for traditional knowledge protection</w:t>
      </w:r>
    </w:p>
    <w:p w:rsidR="002A7AE8" w:rsidRPr="002A7AE8" w:rsidRDefault="002A7AE8" w:rsidP="002A7AE8">
      <w:pPr>
        <w:rPr>
          <w:rFonts w:cstheme="minorHAnsi"/>
          <w:sz w:val="28"/>
          <w:szCs w:val="28"/>
        </w:rPr>
      </w:pPr>
      <w:r w:rsidRPr="002A7AE8">
        <w:rPr>
          <w:rFonts w:cstheme="minorHAnsi"/>
          <w:sz w:val="28"/>
          <w:szCs w:val="28"/>
        </w:rPr>
        <w:t>At the international level, the protection of traditional knowledge remains an evolving area. The TRIPS Agreement does not contain specific provisions for traditional knowledge, although Article 27(3)(b) permits member states to exclude plants and animals from patentability and to provide sui generis protection for plant varieties, which has indirect relevance to traditional agricultural knowledge.</w:t>
      </w:r>
    </w:p>
    <w:p w:rsidR="002A7AE8" w:rsidRPr="002A7AE8" w:rsidRDefault="002A7AE8" w:rsidP="002A7AE8">
      <w:pPr>
        <w:rPr>
          <w:rFonts w:cstheme="minorHAnsi"/>
          <w:sz w:val="28"/>
          <w:szCs w:val="28"/>
        </w:rPr>
      </w:pPr>
      <w:r w:rsidRPr="002A7AE8">
        <w:rPr>
          <w:rFonts w:cstheme="minorHAnsi"/>
          <w:sz w:val="28"/>
          <w:szCs w:val="28"/>
        </w:rPr>
        <w:t>The Convention on Biological Diversity (CBD) establishes the framework principle of fair and equitable benefit sharing from the use of genetic resources and associated traditional knowledge. The Nagoya Protocol on Access to Genetic Resources and the Fair and Equitable Sharing of Benefits Arising from their Utilisation (2010) provides a detailed operational framework for implementing the CBD's access and benefit-sharing provisions, requiring parties to take measures to ensure that access to traditional knowledge is subject to the prior informed consent of the relevant indigenous and local communities and that benefits are shared equitably.</w:t>
      </w:r>
    </w:p>
    <w:p w:rsidR="002A7AE8" w:rsidRPr="002A7AE8" w:rsidRDefault="002A7AE8" w:rsidP="002A7AE8">
      <w:pPr>
        <w:rPr>
          <w:rFonts w:cstheme="minorHAnsi"/>
          <w:sz w:val="28"/>
          <w:szCs w:val="28"/>
        </w:rPr>
      </w:pPr>
      <w:r w:rsidRPr="002A7AE8">
        <w:rPr>
          <w:rFonts w:cstheme="minorHAnsi"/>
          <w:sz w:val="28"/>
          <w:szCs w:val="28"/>
        </w:rPr>
        <w:t>WIPO's Intergovernmental Committee on Intellectual Property and Genetic Resources, Traditional Knowledge and Folklore (IGC) has been engaged in extended negotiations for an international legal instrument specifically protecting traditional knowledge, genetic resources, and traditional cultural expressions. These negotiations reflect the growing consensus that existing intellectual property frameworks are inadequate to protect community-based, orally transmitted knowledge from commercial misappropriation.</w:t>
      </w:r>
    </w:p>
    <w:p w:rsidR="002A7AE8" w:rsidRPr="002A7AE8" w:rsidRDefault="002A7AE8" w:rsidP="002A7AE8">
      <w:pPr>
        <w:rPr>
          <w:rFonts w:cstheme="minorHAnsi"/>
          <w:sz w:val="28"/>
          <w:szCs w:val="28"/>
        </w:rPr>
      </w:pPr>
      <w:r w:rsidRPr="002A7AE8">
        <w:rPr>
          <w:rFonts w:cstheme="minorHAnsi"/>
          <w:sz w:val="28"/>
          <w:szCs w:val="28"/>
        </w:rPr>
        <w:t>Challenges in protection of traditional knowledge</w:t>
      </w:r>
    </w:p>
    <w:p w:rsidR="002A7AE8" w:rsidRPr="002A7AE8" w:rsidRDefault="002A7AE8" w:rsidP="002A7AE8">
      <w:pPr>
        <w:rPr>
          <w:rFonts w:cstheme="minorHAnsi"/>
          <w:sz w:val="28"/>
          <w:szCs w:val="28"/>
        </w:rPr>
      </w:pPr>
      <w:r w:rsidRPr="002A7AE8">
        <w:rPr>
          <w:rFonts w:cstheme="minorHAnsi"/>
          <w:sz w:val="28"/>
          <w:szCs w:val="28"/>
        </w:rPr>
        <w:t>Several structural and practical challenges impede effective protection. The absence of a single comprehensive international treaty specifically protecting traditional knowledge creates significant gaps in cross-border enforcement. The collective and community-based ownership of traditional knowledge does not align easily with conventional intellectual property frameworks, which are premised on individual authorship or inventorship. Much traditional knowledge exists in oral or informal form, making documentation and proof of prior art difficult in foreign patent proceedings.</w:t>
      </w:r>
    </w:p>
    <w:p w:rsidR="002A7AE8" w:rsidRPr="002A7AE8" w:rsidRDefault="002A7AE8" w:rsidP="002A7AE8">
      <w:pPr>
        <w:rPr>
          <w:rFonts w:cstheme="minorHAnsi"/>
          <w:sz w:val="28"/>
          <w:szCs w:val="28"/>
        </w:rPr>
      </w:pPr>
      <w:r w:rsidRPr="002A7AE8">
        <w:rPr>
          <w:rFonts w:cstheme="minorHAnsi"/>
          <w:sz w:val="28"/>
          <w:szCs w:val="28"/>
        </w:rPr>
        <w:t>Determining the community or communities entitled to assert ownership rights and receive benefit-sharing payments is often complex, particularly where knowledge is shared across multiple communities or has spread geographically over time. The retrospective nature of benefit-sharing claims — seeking compensation for past exploitation of traditional knowledge — raises significant practical and legal difficulties, including problems of evidence, limitation periods, and identifying the appropriate beneficiaries.</w:t>
      </w:r>
    </w:p>
    <w:p w:rsidR="002A7AE8" w:rsidRPr="002A7AE8" w:rsidRDefault="002A7AE8" w:rsidP="002A7AE8">
      <w:pPr>
        <w:rPr>
          <w:rFonts w:cstheme="minorHAnsi"/>
          <w:sz w:val="28"/>
          <w:szCs w:val="28"/>
        </w:rPr>
      </w:pPr>
      <w:r w:rsidRPr="002A7AE8">
        <w:rPr>
          <w:rFonts w:cstheme="minorHAnsi"/>
          <w:sz w:val="28"/>
          <w:szCs w:val="28"/>
        </w:rPr>
        <w:t>Summary of protection mechanisms</w:t>
      </w:r>
    </w:p>
    <w:p w:rsidR="002A7AE8" w:rsidRPr="002A7AE8" w:rsidRDefault="002A7AE8" w:rsidP="002A7AE8">
      <w:pPr>
        <w:rPr>
          <w:rFonts w:cstheme="minorHAnsi"/>
          <w:sz w:val="28"/>
          <w:szCs w:val="28"/>
        </w:rPr>
      </w:pPr>
      <w:r w:rsidRPr="002A7AE8">
        <w:rPr>
          <w:rFonts w:cstheme="minorHAnsi"/>
          <w:sz w:val="28"/>
          <w:szCs w:val="28"/>
        </w:rPr>
        <w:t>The following table summarises the principal mechanisms currently available for the protection of traditional knowledge, both in India and at the international level:</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Mechanism</w:t>
      </w:r>
      <w:r w:rsidRPr="002A7AE8">
        <w:rPr>
          <w:rFonts w:cstheme="minorHAnsi"/>
          <w:sz w:val="28"/>
          <w:szCs w:val="28"/>
        </w:rPr>
        <w:tab/>
        <w:t>Instrument / provision</w:t>
      </w:r>
      <w:r w:rsidRPr="002A7AE8">
        <w:rPr>
          <w:rFonts w:cstheme="minorHAnsi"/>
          <w:sz w:val="28"/>
          <w:szCs w:val="28"/>
        </w:rPr>
        <w:tab/>
        <w:t>Scope and purpose</w:t>
      </w:r>
    </w:p>
    <w:p w:rsidR="002A7AE8" w:rsidRPr="002A7AE8" w:rsidRDefault="002A7AE8" w:rsidP="002A7AE8">
      <w:pPr>
        <w:rPr>
          <w:rFonts w:cstheme="minorHAnsi"/>
          <w:sz w:val="28"/>
          <w:szCs w:val="28"/>
        </w:rPr>
      </w:pPr>
      <w:r w:rsidRPr="002A7AE8">
        <w:rPr>
          <w:rFonts w:cstheme="minorHAnsi"/>
          <w:sz w:val="28"/>
          <w:szCs w:val="28"/>
        </w:rPr>
        <w:t>Defensive protection (prior art documentation)</w:t>
      </w:r>
      <w:r w:rsidRPr="002A7AE8">
        <w:rPr>
          <w:rFonts w:cstheme="minorHAnsi"/>
          <w:sz w:val="28"/>
          <w:szCs w:val="28"/>
        </w:rPr>
        <w:tab/>
        <w:t>Traditional Knowledge Digital Library (TKDL)</w:t>
      </w:r>
      <w:r w:rsidRPr="002A7AE8">
        <w:rPr>
          <w:rFonts w:cstheme="minorHAnsi"/>
          <w:sz w:val="28"/>
          <w:szCs w:val="28"/>
        </w:rPr>
        <w:tab/>
        <w:t>Prevents grant of patents based on traditional knowledge by making it searchable as prior art at international patent offices</w:t>
      </w:r>
    </w:p>
    <w:p w:rsidR="002A7AE8" w:rsidRPr="002A7AE8" w:rsidRDefault="002A7AE8" w:rsidP="002A7AE8">
      <w:pPr>
        <w:rPr>
          <w:rFonts w:cstheme="minorHAnsi"/>
          <w:sz w:val="28"/>
          <w:szCs w:val="28"/>
        </w:rPr>
      </w:pPr>
      <w:r w:rsidRPr="002A7AE8">
        <w:rPr>
          <w:rFonts w:cstheme="minorHAnsi"/>
          <w:sz w:val="28"/>
          <w:szCs w:val="28"/>
        </w:rPr>
        <w:t>Domestic patent exclusion</w:t>
      </w:r>
      <w:r w:rsidRPr="002A7AE8">
        <w:rPr>
          <w:rFonts w:cstheme="minorHAnsi"/>
          <w:sz w:val="28"/>
          <w:szCs w:val="28"/>
        </w:rPr>
        <w:tab/>
        <w:t>Section 3(p), Patents Act, 1970</w:t>
      </w:r>
      <w:r w:rsidRPr="002A7AE8">
        <w:rPr>
          <w:rFonts w:cstheme="minorHAnsi"/>
          <w:sz w:val="28"/>
          <w:szCs w:val="28"/>
        </w:rPr>
        <w:tab/>
        <w:t>Expressly excludes traditional knowledge and aggregations of known traditional properties from patentability in India</w:t>
      </w:r>
    </w:p>
    <w:p w:rsidR="002A7AE8" w:rsidRPr="002A7AE8" w:rsidRDefault="002A7AE8" w:rsidP="002A7AE8">
      <w:pPr>
        <w:rPr>
          <w:rFonts w:cstheme="minorHAnsi"/>
          <w:sz w:val="28"/>
          <w:szCs w:val="28"/>
        </w:rPr>
      </w:pPr>
      <w:r w:rsidRPr="002A7AE8">
        <w:rPr>
          <w:rFonts w:cstheme="minorHAnsi"/>
          <w:sz w:val="28"/>
          <w:szCs w:val="28"/>
        </w:rPr>
        <w:t>Access and benefit sharing</w:t>
      </w:r>
      <w:r w:rsidRPr="002A7AE8">
        <w:rPr>
          <w:rFonts w:cstheme="minorHAnsi"/>
          <w:sz w:val="28"/>
          <w:szCs w:val="28"/>
        </w:rPr>
        <w:tab/>
        <w:t>Biological Diversity Act, 2002; Nagoya Protocol</w:t>
      </w:r>
      <w:r w:rsidRPr="002A7AE8">
        <w:rPr>
          <w:rFonts w:cstheme="minorHAnsi"/>
          <w:sz w:val="28"/>
          <w:szCs w:val="28"/>
        </w:rPr>
        <w:tab/>
        <w:t>Regulates access to biological resources and associated traditional knowledge; mandates equitable benefit sharing with originating communities</w:t>
      </w:r>
    </w:p>
    <w:p w:rsidR="002A7AE8" w:rsidRPr="002A7AE8" w:rsidRDefault="002A7AE8" w:rsidP="002A7AE8">
      <w:pPr>
        <w:rPr>
          <w:rFonts w:cstheme="minorHAnsi"/>
          <w:sz w:val="28"/>
          <w:szCs w:val="28"/>
        </w:rPr>
      </w:pPr>
      <w:r w:rsidRPr="002A7AE8">
        <w:rPr>
          <w:rFonts w:cstheme="minorHAnsi"/>
          <w:sz w:val="28"/>
          <w:szCs w:val="28"/>
        </w:rPr>
        <w:t>International negotiation</w:t>
      </w:r>
      <w:r w:rsidRPr="002A7AE8">
        <w:rPr>
          <w:rFonts w:cstheme="minorHAnsi"/>
          <w:sz w:val="28"/>
          <w:szCs w:val="28"/>
        </w:rPr>
        <w:tab/>
        <w:t>WIPO IGC; CBD; Nagoya</w:t>
      </w:r>
    </w:p>
    <w:p w:rsidR="002A7AE8" w:rsidRPr="002A7AE8" w:rsidRDefault="002A7AE8" w:rsidP="002A7AE8">
      <w:pPr>
        <w:rPr>
          <w:rFonts w:cstheme="minorHAnsi"/>
          <w:sz w:val="28"/>
          <w:szCs w:val="28"/>
        </w:rPr>
      </w:pPr>
      <w:r w:rsidRPr="002A7AE8">
        <w:rPr>
          <w:rFonts w:cstheme="minorHAnsi"/>
          <w:sz w:val="28"/>
          <w:szCs w:val="28"/>
        </w:rPr>
        <w:t>Protocol</w:t>
      </w:r>
      <w:r w:rsidRPr="002A7AE8">
        <w:rPr>
          <w:rFonts w:cstheme="minorHAnsi"/>
          <w:sz w:val="28"/>
          <w:szCs w:val="28"/>
        </w:rPr>
        <w:tab/>
        <w:t>Ongoing negotiations for a binding international instrument; CBD and Nagoya Protocol establish framework principles</w:t>
      </w:r>
    </w:p>
    <w:p w:rsidR="002A7AE8" w:rsidRPr="002A7AE8" w:rsidRDefault="002A7AE8" w:rsidP="002A7AE8">
      <w:pPr>
        <w:rPr>
          <w:rFonts w:cstheme="minorHAnsi"/>
          <w:sz w:val="28"/>
          <w:szCs w:val="28"/>
        </w:rPr>
      </w:pPr>
      <w:r w:rsidRPr="002A7AE8">
        <w:rPr>
          <w:rFonts w:cstheme="minorHAnsi"/>
          <w:sz w:val="28"/>
          <w:szCs w:val="28"/>
        </w:rPr>
        <w:t>Sui generis protection</w:t>
      </w:r>
      <w:r w:rsidRPr="002A7AE8">
        <w:rPr>
          <w:rFonts w:cstheme="minorHAnsi"/>
          <w:sz w:val="28"/>
          <w:szCs w:val="28"/>
        </w:rPr>
        <w:tab/>
        <w:t>Proposed but not yet enacted in India</w:t>
      </w:r>
      <w:r w:rsidRPr="002A7AE8">
        <w:rPr>
          <w:rFonts w:cstheme="minorHAnsi"/>
          <w:sz w:val="28"/>
          <w:szCs w:val="28"/>
        </w:rPr>
        <w:tab/>
        <w:t>A purpose-built legal regime for community-based rights over traditional knowledge, not yet available in Indian law</w:t>
      </w:r>
    </w:p>
    <w:p w:rsidR="002A7AE8" w:rsidRPr="002A7AE8" w:rsidRDefault="002A7AE8" w:rsidP="002A7AE8">
      <w:pPr>
        <w:rPr>
          <w:rFonts w:cstheme="minorHAnsi"/>
          <w:sz w:val="28"/>
          <w:szCs w:val="28"/>
        </w:rPr>
      </w:pPr>
      <w:r w:rsidRPr="002A7AE8">
        <w:rPr>
          <w:rFonts w:cstheme="minorHAnsi"/>
          <w:sz w:val="28"/>
          <w:szCs w:val="28"/>
        </w:rPr>
        <w:t>Relevant case laws</w:t>
      </w:r>
    </w:p>
    <w:p w:rsidR="002A7AE8" w:rsidRPr="002A7AE8" w:rsidRDefault="002A7AE8" w:rsidP="002A7AE8">
      <w:pPr>
        <w:rPr>
          <w:rFonts w:cstheme="minorHAnsi"/>
          <w:sz w:val="28"/>
          <w:szCs w:val="28"/>
        </w:rPr>
      </w:pPr>
      <w:r w:rsidRPr="002A7AE8">
        <w:rPr>
          <w:rFonts w:cstheme="minorHAnsi"/>
          <w:sz w:val="28"/>
          <w:szCs w:val="28"/>
        </w:rPr>
        <w:t>1.</w:t>
      </w:r>
      <w:r w:rsidRPr="002A7AE8">
        <w:rPr>
          <w:rFonts w:cstheme="minorHAnsi"/>
          <w:sz w:val="28"/>
          <w:szCs w:val="28"/>
        </w:rPr>
        <w:tab/>
        <w:t>turmeric patent case (csir v. uspto)</w:t>
      </w:r>
    </w:p>
    <w:p w:rsidR="002A7AE8" w:rsidRPr="002A7AE8" w:rsidRDefault="002A7AE8" w:rsidP="002A7AE8">
      <w:pPr>
        <w:rPr>
          <w:rFonts w:cstheme="minorHAnsi"/>
          <w:sz w:val="28"/>
          <w:szCs w:val="28"/>
        </w:rPr>
      </w:pPr>
      <w:r w:rsidRPr="002A7AE8">
        <w:rPr>
          <w:rFonts w:cstheme="minorHAnsi"/>
          <w:sz w:val="28"/>
          <w:szCs w:val="28"/>
        </w:rPr>
        <w:t>Citation: US Patent No. 5,401,504 — revoked 1997</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In 1995, the United States Patent and Trademark Office granted a patent to the University of Mississippi Medical Center for the use of turmeric in wound healing. Turmeric (haldi) has been used in India for centuries as a traditional remedy for wounds, inflammation, and skin conditions. The Council of Scientific and Industrial Research (CSIR) of India challenged the patent on the ground that the claimed use was not novel, constituting prior art rooted in traditional Indian knowledge.</w:t>
      </w: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Whether the use of turmeric for wound healing, which had been part of traditional Indian knowledge for generations, satisfied the novelty requirement for patentability. Whether traditional knowledge transmitted orally and through practice could constitute prior art sufficient to invalidate a patent granted in a foreign jurisdiction.</w:t>
      </w: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USPTO accepted the prior art challenge raised by CSIR and revoked the turmeric patent in 1997. CSIR was able to substantiate the prior art through ancient Sanskrit texts and traditional Indian publications documenting the use of turmeric for medicinal purposes. This case was a landmark in the global discourse on biopiracy and demonstrated that traditional knowledge, even</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when transmitted informally, can constitute effective prior art against improperly granted patents. It provided a powerful early justification for the development of the TKDL as a systematic prior art database.</w:t>
      </w:r>
    </w:p>
    <w:p w:rsidR="002A7AE8" w:rsidRPr="002A7AE8" w:rsidRDefault="002A7AE8" w:rsidP="002A7AE8">
      <w:pPr>
        <w:rPr>
          <w:rFonts w:cstheme="minorHAnsi"/>
          <w:sz w:val="28"/>
          <w:szCs w:val="28"/>
        </w:rPr>
      </w:pPr>
      <w:r w:rsidRPr="002A7AE8">
        <w:rPr>
          <w:rFonts w:cstheme="minorHAnsi"/>
          <w:sz w:val="28"/>
          <w:szCs w:val="28"/>
        </w:rPr>
        <w:t>2.</w:t>
      </w:r>
      <w:r w:rsidRPr="002A7AE8">
        <w:rPr>
          <w:rFonts w:cstheme="minorHAnsi"/>
          <w:sz w:val="28"/>
          <w:szCs w:val="28"/>
        </w:rPr>
        <w:tab/>
        <w:t>neem patent case (epo opposition proceedings)</w:t>
      </w:r>
    </w:p>
    <w:p w:rsidR="002A7AE8" w:rsidRPr="002A7AE8" w:rsidRDefault="002A7AE8" w:rsidP="002A7AE8">
      <w:pPr>
        <w:rPr>
          <w:rFonts w:cstheme="minorHAnsi"/>
          <w:sz w:val="28"/>
          <w:szCs w:val="28"/>
        </w:rPr>
      </w:pPr>
      <w:r w:rsidRPr="002A7AE8">
        <w:rPr>
          <w:rFonts w:cstheme="minorHAnsi"/>
          <w:sz w:val="28"/>
          <w:szCs w:val="28"/>
        </w:rPr>
        <w:t>Citation: EPO Patent No. EP0436257 — revoked 2000 (upheld on appeal 2005)</w:t>
      </w:r>
    </w:p>
    <w:p w:rsidR="002A7AE8" w:rsidRPr="002A7AE8" w:rsidRDefault="002A7AE8" w:rsidP="002A7AE8">
      <w:pPr>
        <w:rPr>
          <w:rFonts w:cstheme="minorHAnsi"/>
          <w:sz w:val="28"/>
          <w:szCs w:val="28"/>
        </w:rPr>
      </w:pPr>
      <w:r w:rsidRPr="002A7AE8">
        <w:rPr>
          <w:rFonts w:cstheme="minorHAnsi"/>
          <w:sz w:val="28"/>
          <w:szCs w:val="28"/>
        </w:rPr>
        <w:t>Facts</w:t>
      </w:r>
    </w:p>
    <w:p w:rsidR="002A7AE8" w:rsidRPr="002A7AE8" w:rsidRDefault="002A7AE8" w:rsidP="002A7AE8">
      <w:pPr>
        <w:rPr>
          <w:rFonts w:cstheme="minorHAnsi"/>
          <w:sz w:val="28"/>
          <w:szCs w:val="28"/>
        </w:rPr>
      </w:pPr>
      <w:r w:rsidRPr="002A7AE8">
        <w:rPr>
          <w:rFonts w:cstheme="minorHAnsi"/>
          <w:sz w:val="28"/>
          <w:szCs w:val="28"/>
        </w:rPr>
        <w:t>The European Patent Office granted a patent to W.R. Grace and the United States Department of Agriculture for a method of controlling fungi using an extract derived from the neem tree (Azadirachta indica). The neem tree and its antifungal properties had been known to and used by Indian farmers and communities for centuries. An international coalition including the Indian government, European Parliament members, and various NGOs filed an opposition proceedings challenging the patent.</w:t>
      </w:r>
    </w:p>
    <w:p w:rsidR="002A7AE8" w:rsidRPr="002A7AE8" w:rsidRDefault="002A7AE8" w:rsidP="002A7AE8">
      <w:pPr>
        <w:rPr>
          <w:rFonts w:cstheme="minorHAnsi"/>
          <w:sz w:val="28"/>
          <w:szCs w:val="28"/>
        </w:rPr>
      </w:pPr>
      <w:r w:rsidRPr="002A7AE8">
        <w:rPr>
          <w:rFonts w:cstheme="minorHAnsi"/>
          <w:sz w:val="28"/>
          <w:szCs w:val="28"/>
        </w:rPr>
        <w:t>Issues</w:t>
      </w:r>
    </w:p>
    <w:p w:rsidR="002A7AE8" w:rsidRPr="002A7AE8" w:rsidRDefault="002A7AE8" w:rsidP="002A7AE8">
      <w:pPr>
        <w:rPr>
          <w:rFonts w:cstheme="minorHAnsi"/>
          <w:sz w:val="28"/>
          <w:szCs w:val="28"/>
        </w:rPr>
      </w:pPr>
      <w:r w:rsidRPr="002A7AE8">
        <w:rPr>
          <w:rFonts w:cstheme="minorHAnsi"/>
          <w:sz w:val="28"/>
          <w:szCs w:val="28"/>
        </w:rPr>
        <w:t>Whether the use of neem extract as an antifungal agent was novel and involved an inventive step given the centuries-old traditional knowledge of neem's properties in India. Whether traditional knowledge held by farming communities and transmitted through practice could defeat the novelty and inventive step requirements of a patent granted by the EPO.</w:t>
      </w:r>
    </w:p>
    <w:p w:rsidR="002A7AE8" w:rsidRPr="002A7AE8" w:rsidRDefault="002A7AE8" w:rsidP="002A7AE8">
      <w:pPr>
        <w:rPr>
          <w:rFonts w:cstheme="minorHAnsi"/>
          <w:sz w:val="28"/>
          <w:szCs w:val="28"/>
        </w:rPr>
      </w:pPr>
      <w:r w:rsidRPr="002A7AE8">
        <w:rPr>
          <w:rFonts w:cstheme="minorHAnsi"/>
          <w:sz w:val="28"/>
          <w:szCs w:val="28"/>
        </w:rPr>
        <w:t>Held</w:t>
      </w:r>
    </w:p>
    <w:p w:rsidR="002A7AE8" w:rsidRPr="002A7AE8" w:rsidRDefault="002A7AE8" w:rsidP="002A7AE8">
      <w:pPr>
        <w:rPr>
          <w:rFonts w:cstheme="minorHAnsi"/>
          <w:sz w:val="28"/>
          <w:szCs w:val="28"/>
        </w:rPr>
      </w:pPr>
      <w:r w:rsidRPr="002A7AE8">
        <w:rPr>
          <w:rFonts w:cstheme="minorHAnsi"/>
          <w:sz w:val="28"/>
          <w:szCs w:val="28"/>
        </w:rPr>
        <w:t>The EPO's Technical Board of Appeal upheld the revocation of the patent in 2005, affirming that the prior art established through traditional Indian knowledge was sufficient to negate novelty and inventive step. The case reinforced the importance of documenting and making accessible traditional knowledge as prior art and contributed to the international momentum for developing digital databases — such as the TKDL — to prevent the recurrence of similar patents.</w:t>
      </w:r>
    </w:p>
    <w:p w:rsidR="002A7AE8" w:rsidRPr="002A7AE8" w:rsidRDefault="002A7AE8" w:rsidP="002A7AE8">
      <w:pPr>
        <w:rPr>
          <w:rFonts w:cstheme="minorHAnsi"/>
          <w:sz w:val="28"/>
          <w:szCs w:val="28"/>
        </w:rPr>
      </w:pPr>
      <w:r w:rsidRPr="002A7AE8">
        <w:rPr>
          <w:rFonts w:cstheme="minorHAnsi"/>
          <w:sz w:val="28"/>
          <w:szCs w:val="28"/>
        </w:rPr>
        <w:t>Conclusion</w:t>
      </w:r>
    </w:p>
    <w:p w:rsidR="002A7AE8" w:rsidRPr="002A7AE8" w:rsidRDefault="002A7AE8" w:rsidP="002A7AE8">
      <w:pPr>
        <w:rPr>
          <w:rFonts w:cstheme="minorHAnsi"/>
          <w:sz w:val="28"/>
          <w:szCs w:val="28"/>
        </w:rPr>
      </w:pPr>
      <w:r w:rsidRPr="002A7AE8">
        <w:rPr>
          <w:rFonts w:cstheme="minorHAnsi"/>
          <w:sz w:val="28"/>
          <w:szCs w:val="28"/>
        </w:rPr>
        <w:t>Traditional knowledge represents one of the most significant and legally complex challenges in contemporary intellectual property law. India's experience with biopiracy, and its innovative response through the TKDL and the Patents Act, 1970's Section 3(p), has positioned it as a global leader in defensive protection strategies. However, defensive measures alone are insufficient — they prevent misappropriation but do not affirmatively reward the communities whose collective creativity and stewardship generated the knowledge in the first place.</w:t>
      </w:r>
    </w:p>
    <w:p w:rsidR="002A7AE8" w:rsidRPr="002A7AE8" w:rsidRDefault="002A7AE8" w:rsidP="002A7AE8">
      <w:pPr>
        <w:rPr>
          <w:rFonts w:cstheme="minorHAnsi"/>
          <w:sz w:val="28"/>
          <w:szCs w:val="28"/>
        </w:rPr>
      </w:pPr>
      <w:r w:rsidRPr="002A7AE8">
        <w:rPr>
          <w:rFonts w:cstheme="minorHAnsi"/>
          <w:sz w:val="28"/>
          <w:szCs w:val="28"/>
        </w:rPr>
        <w:t>The Biological Diversity Act, 2002 and the Nagoya Protocol provide frameworks for access and benefit sharing, but implementation remains uneven and the practical challenges of community identification, consent, and equitable distribution are considerable. The absence of a comprehensive sui generis legal framework for traditional knowledge in India means that communities continue to lack positive rights over their knowledge comparable to the rights a patent confers on an inventor.</w:t>
      </w:r>
    </w:p>
    <w:p w:rsidR="002A7AE8" w:rsidRPr="002A7AE8" w:rsidRDefault="002A7AE8" w:rsidP="002A7AE8">
      <w:pPr>
        <w:rPr>
          <w:rFonts w:cstheme="minorHAnsi"/>
          <w:sz w:val="28"/>
          <w:szCs w:val="28"/>
        </w:rPr>
      </w:pPr>
      <w:r w:rsidRPr="002A7AE8">
        <w:rPr>
          <w:rFonts w:cstheme="minorHAnsi"/>
          <w:sz w:val="28"/>
          <w:szCs w:val="28"/>
        </w:rPr>
        <w:t>At the international level, the ongoing WIPO IGC negotiations offer the prospect of a binding multilateral instrument, but progress has been slow. Until such a framework is in place, the protection of traditional knowledge will</w:t>
      </w:r>
    </w:p>
    <w:p w:rsidR="002A7AE8" w:rsidRPr="002A7AE8" w:rsidRDefault="002A7AE8" w:rsidP="002A7AE8">
      <w:pPr>
        <w:rPr>
          <w:rFonts w:cstheme="minorHAnsi"/>
          <w:sz w:val="28"/>
          <w:szCs w:val="28"/>
        </w:rPr>
      </w:pPr>
      <w:r w:rsidRPr="002A7AE8">
        <w:rPr>
          <w:rFonts w:cstheme="minorHAnsi"/>
          <w:sz w:val="28"/>
          <w:szCs w:val="28"/>
        </w:rPr>
        <w:t xml:space="preserve"> </w:t>
      </w:r>
    </w:p>
    <w:p w:rsidR="002A7AE8" w:rsidRPr="002A7AE8" w:rsidRDefault="002A7AE8" w:rsidP="002A7AE8">
      <w:pPr>
        <w:rPr>
          <w:rFonts w:cstheme="minorHAnsi"/>
          <w:sz w:val="28"/>
          <w:szCs w:val="28"/>
        </w:rPr>
      </w:pPr>
      <w:r w:rsidRPr="002A7AE8">
        <w:rPr>
          <w:rFonts w:cstheme="minorHAnsi"/>
          <w:sz w:val="28"/>
          <w:szCs w:val="28"/>
        </w:rPr>
        <w:t>remain dependent on a combination of national defensive measures, bilateral agreements, and the continued development of prior art databases.</w:t>
      </w:r>
    </w:p>
    <w:p w:rsidR="002A7AE8" w:rsidRPr="002A7AE8" w:rsidRDefault="002A7AE8" w:rsidP="002A7AE8">
      <w:pPr>
        <w:rPr>
          <w:rFonts w:cstheme="minorHAnsi"/>
          <w:sz w:val="28"/>
          <w:szCs w:val="28"/>
        </w:rPr>
      </w:pPr>
      <w:r w:rsidRPr="002A7AE8">
        <w:rPr>
          <w:rFonts w:cstheme="minorHAnsi"/>
          <w:sz w:val="28"/>
          <w:szCs w:val="28"/>
        </w:rPr>
        <w:t>Strengthening India's domestic legal framework through dedicated traditional knowledge legislation, and aligning it with international access and benefit-sharing obligations, remains an important unfinished aspect of India's intellectual property policy agenda.</w:t>
      </w:r>
    </w:p>
    <w:p w:rsidR="002A7AE8" w:rsidRPr="002A7AE8" w:rsidRDefault="002A7AE8" w:rsidP="002A7AE8">
      <w:pPr>
        <w:rPr>
          <w:rFonts w:cstheme="minorHAnsi"/>
          <w:sz w:val="28"/>
          <w:szCs w:val="28"/>
        </w:rPr>
      </w:pPr>
      <w:r w:rsidRPr="002A7AE8">
        <w:rPr>
          <w:rFonts w:cstheme="minorHAnsi"/>
          <w:sz w:val="28"/>
          <w:szCs w:val="28"/>
        </w:rPr>
        <w:t xml:space="preserve"> </w:t>
      </w:r>
    </w:p>
    <w:p w:rsidR="00057146" w:rsidRPr="002A7AE8" w:rsidRDefault="002A7AE8">
      <w:pPr>
        <w:rPr>
          <w:rFonts w:cstheme="minorHAnsi"/>
          <w:sz w:val="28"/>
          <w:szCs w:val="28"/>
        </w:rPr>
      </w:pPr>
    </w:p>
    <w:sectPr w:rsidR="00057146" w:rsidRPr="002A7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AE8"/>
    <w:rsid w:val="002A7AE8"/>
    <w:rsid w:val="00372A4E"/>
    <w:rsid w:val="00B14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A2535"/>
  <w15:chartTrackingRefBased/>
  <w15:docId w15:val="{A10B2E6B-65AC-4729-87C5-63B195EAB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292</Pages>
  <Words>107932</Words>
  <Characters>615216</Characters>
  <Application>Microsoft Office Word</Application>
  <DocSecurity>0</DocSecurity>
  <Lines>5126</Lines>
  <Paragraphs>1443</Paragraphs>
  <ScaleCrop>false</ScaleCrop>
  <Company>Reliance Industries Limited</Company>
  <LinksUpToDate>false</LinksUpToDate>
  <CharactersWithSpaces>721705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Dahiwale</dc:creator>
  <cp:keywords/>
  <dc:description/>
  <cp:lastModifiedBy>Shreyash Dahiwale</cp:lastModifiedBy>
  <cp:revision>1</cp:revision>
  <dcterms:created xsi:type="dcterms:W3CDTF">2026-06-04T06:32:00Z</dcterms:created>
  <dcterms:modified xsi:type="dcterms:W3CDTF">2026-06-04T06:37:00Z</dcterms:modified>
</cp:coreProperties>
</file>