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95264" w14:textId="77777777" w:rsidR="006F2916" w:rsidRDefault="00000000">
      <w:pPr>
        <w:pStyle w:val="Heading1"/>
      </w:pPr>
      <w:r>
        <w:t>Comprehensive Assessment Report: Relationship, Hidden Patterns, and Insights Between Trader Performance and Bitcoin Market Sentiment</w:t>
      </w:r>
    </w:p>
    <w:p w14:paraId="274A7503" w14:textId="77777777" w:rsidR="006F2916" w:rsidRDefault="00000000">
      <w:pPr>
        <w:pStyle w:val="Heading2"/>
      </w:pPr>
      <w:r>
        <w:t>1. Introduction</w:t>
      </w:r>
    </w:p>
    <w:p w14:paraId="6E77ADC8" w14:textId="2AD350D0" w:rsidR="006F2916" w:rsidRDefault="00000000">
      <w:r>
        <w:t>Cryptocurrency markets are uniquely driven by investor psychology, where emotions such as fear and greed play a central role in shaping price movements, volatility and trading behavior. Unlike traditional financial markets, digital asset markets operate continuously and are heavily influenced by sentiment-driven narratives, making them an ideal environment for sentiment-based analysis.</w:t>
      </w:r>
      <w:r>
        <w:br/>
      </w:r>
      <w:r>
        <w:br/>
        <w:t>This assessment explores the relationship between Bitcoin market sentiment and trader performance by combining sentiment classifications from the Fear and Greed Index with historical trader-level data from the Hyperliquid platform. The primary objective is to evaluate how different sentiment regimes influence profitability, consistency and behavioral patterns and to derive insights that can support more informed and adaptive trading strategies.</w:t>
      </w:r>
    </w:p>
    <w:p w14:paraId="0052CC9E" w14:textId="77777777" w:rsidR="006F2916" w:rsidRDefault="00000000">
      <w:pPr>
        <w:pStyle w:val="Heading2"/>
      </w:pPr>
      <w:r>
        <w:t>2. Data Description</w:t>
      </w:r>
    </w:p>
    <w:p w14:paraId="03807FBA" w14:textId="6BCF0E50" w:rsidR="006F2916" w:rsidRDefault="00000000">
      <w:r>
        <w:t>Two primary datasets were used in this analysis. The Bitcoin Market Sentiment dataset categorizes daily market conditions into five distinct regimes: Extreme Fear, Fear, Neutral, Greed and Extreme Greed. These classifications represent aggregated measures of market emotion derived from volatility, momentum, social signals and trading activity.</w:t>
      </w:r>
      <w:r>
        <w:br/>
      </w:r>
      <w:r>
        <w:br/>
        <w:t xml:space="preserve">The Historical Trader Data from Hyperliquid provides granular transaction-level information, including account identifiers, traded assets, execution prices, trade sizes, leverage, trade direction, timestamps and realized profit or loss (Closed PnL). After aligning both datasets by </w:t>
      </w:r>
      <w:proofErr w:type="gramStart"/>
      <w:r>
        <w:t>date</w:t>
      </w:r>
      <w:proofErr w:type="gramEnd"/>
      <w:r>
        <w:t xml:space="preserve"> a consolidated dataset of more than 211,000 individual trades was produced, ensuring sufficient depth and statistical reliability for analysis.</w:t>
      </w:r>
    </w:p>
    <w:p w14:paraId="73B0AA22" w14:textId="77777777" w:rsidR="006F2916" w:rsidRDefault="00000000">
      <w:pPr>
        <w:pStyle w:val="Heading2"/>
      </w:pPr>
      <w:r>
        <w:t>3. Analytical Methodology</w:t>
      </w:r>
    </w:p>
    <w:p w14:paraId="1D89EA7D" w14:textId="77777777" w:rsidR="009D7731" w:rsidRDefault="00000000">
      <w:r>
        <w:t>The analysis involved mapping each trade to the corresponding daily market sentiment classification based on execution date. Trader performance was evaluated using multiple complementary metrics:</w:t>
      </w:r>
      <w:r>
        <w:br/>
      </w:r>
      <w:r>
        <w:br/>
        <w:t xml:space="preserve">• Average Closed PnL, to measure profitability on a per-trade basis  </w:t>
      </w:r>
      <w:r>
        <w:br/>
        <w:t xml:space="preserve">• Median Closed PnL, to reduce the influence of extreme outliers  </w:t>
      </w:r>
      <w:r>
        <w:br/>
        <w:t xml:space="preserve">• Total Closed PnL, to assess aggregate contribution across sentiment regimes  </w:t>
      </w:r>
      <w:r>
        <w:br/>
        <w:t xml:space="preserve">• Win Rate, defined as the proportion of trades with positive realized PnL  </w:t>
      </w:r>
    </w:p>
    <w:p w14:paraId="3923AFB3" w14:textId="77777777" w:rsidR="009D7731" w:rsidRDefault="009D7731"/>
    <w:p w14:paraId="5B7BBEF7" w14:textId="4EF57203" w:rsidR="006F2916" w:rsidRDefault="00000000">
      <w:r>
        <w:lastRenderedPageBreak/>
        <w:br/>
      </w:r>
      <w:r>
        <w:br/>
        <w:t>These metrics were aggregated across sentiment categories and examined collectively to capture both central tendencies and distributional behavior. This multi-metric approach enables a more nuanced understanding of performance beyond simple profit totals.</w:t>
      </w:r>
    </w:p>
    <w:p w14:paraId="3559F0E8" w14:textId="77777777" w:rsidR="006F2916" w:rsidRDefault="00000000">
      <w:pPr>
        <w:pStyle w:val="Heading2"/>
      </w:pPr>
      <w:r>
        <w:t>4. Relationship Between Market Sentiment and Trader Performance</w:t>
      </w:r>
    </w:p>
    <w:p w14:paraId="567BD2B1" w14:textId="77777777" w:rsidR="006F2916" w:rsidRDefault="00000000">
      <w:r>
        <w:t>The results demonstrate a strong and consistent relationship between market sentiment and trader performance. Extreme Greed regimes are associated with the highest average and median profitability, as well as the strongest win rates. This indicates that traders benefit from clearer directional trends and sustained momentum during highly optimistic market conditions.</w:t>
      </w:r>
      <w:r>
        <w:br/>
      </w:r>
      <w:r>
        <w:br/>
        <w:t>Fear regimes exhibit a different dynamic. While average profitability per trade is lower than in Extreme Greed conditions, total profits are highest due to increased trading activity and the prevalence of short-term price dislocations. This suggests that traders are actively exploiting mean-reversion opportunities during periods of elevated uncertainty.</w:t>
      </w:r>
      <w:r>
        <w:br/>
      </w:r>
      <w:r>
        <w:br/>
        <w:t>Neutral sentiment regimes display comparatively weak performance, reflecting limited directional conviction and reduced volatility. Extreme Fear regimes produce the poorest outcomes across nearly all performance metrics, highlighting the adverse impact of heightened emotional stress and unpredictable price behavior on execution quality.</w:t>
      </w:r>
    </w:p>
    <w:p w14:paraId="674EA50B" w14:textId="77777777" w:rsidR="006F2916" w:rsidRDefault="00000000">
      <w:pPr>
        <w:pStyle w:val="Heading2"/>
      </w:pPr>
      <w:r>
        <w:t>5. Hidden Behavioral Patterns</w:t>
      </w:r>
    </w:p>
    <w:p w14:paraId="4F1E818B" w14:textId="77777777" w:rsidR="006F2916" w:rsidRDefault="00000000">
      <w:r>
        <w:t>Beyond headline performance metrics, several underlying behavioral patterns emerge. One notable pattern is the inverse relationship between trade volume and trade efficiency. Fear-driven markets attract high participation, yet efficiency remains moderate, whereas Extreme Greed regimes exhibit fewer but higher-quality trades.</w:t>
      </w:r>
      <w:r>
        <w:br/>
      </w:r>
      <w:r>
        <w:br/>
        <w:t>Another pattern involves position management behavior. During Extreme Greed periods, profitable traders tend to allow winning positions to develop, benefiting from trend persistence. In contrast, Extreme Fear conditions are characterized by premature exits and frequent stop-outs, reflecting defensive and emotionally driven behavior.</w:t>
      </w:r>
      <w:r>
        <w:br/>
      </w:r>
      <w:r>
        <w:br/>
        <w:t>Additionally, Neutral sentiment environments show evidence of overtrading, where traders remain active despite the absence of strong market signals, resulting in diluted returns and increased transaction costs.</w:t>
      </w:r>
    </w:p>
    <w:p w14:paraId="605C9693" w14:textId="77777777" w:rsidR="006F2916" w:rsidRDefault="00000000">
      <w:pPr>
        <w:pStyle w:val="Heading2"/>
      </w:pPr>
      <w:r>
        <w:t>6. Risk and Consistency Analysis</w:t>
      </w:r>
    </w:p>
    <w:p w14:paraId="5B096084" w14:textId="77777777" w:rsidR="006F2916" w:rsidRDefault="00000000">
      <w:r>
        <w:t>Risk-adjusted performance varies significantly across sentiment regimes. Win rates and average returns are most stable during Extreme Greed and Fear conditions, where traders can rely on identifiable market structures. Volatility-driven Extreme Fear regimes, however, exhibit unstable outcomes and inconsistent performance.</w:t>
      </w:r>
      <w:r>
        <w:br/>
      </w:r>
      <w:r>
        <w:br/>
      </w:r>
      <w:r>
        <w:lastRenderedPageBreak/>
        <w:t>These findings suggest that market sentiment not only influences expected returns but also affects the predictability and reliability of trading outcomes. Consistency deteriorates when emotional extremes dominate market behavior.</w:t>
      </w:r>
    </w:p>
    <w:p w14:paraId="11C87D00" w14:textId="77777777" w:rsidR="006F2916" w:rsidRDefault="00000000">
      <w:pPr>
        <w:pStyle w:val="Heading2"/>
      </w:pPr>
      <w:r>
        <w:t>7. Key Insights</w:t>
      </w:r>
    </w:p>
    <w:p w14:paraId="537022B2" w14:textId="77777777" w:rsidR="006F2916" w:rsidRDefault="00000000">
      <w:r>
        <w:t>Several key insights can be derived from the analysis. First, sentiment acts as a contextual filter that determines which trading strategies are most effective. Applying uniform strategies across all sentiment regimes leads to suboptimal results.</w:t>
      </w:r>
      <w:r>
        <w:br/>
      </w:r>
      <w:r>
        <w:br/>
        <w:t>Second, the highest total profitability does not necessarily occur in the most profitable per-trade environments, emphasizing the importance of participation dynamics and trade frequency. Third, emotional extremes amplify behavioral biases, underscoring the need for stricter risk controls during Extreme Fear conditions.</w:t>
      </w:r>
      <w:r>
        <w:br/>
      </w:r>
      <w:r>
        <w:br/>
        <w:t>Finally, traders who implicitly or explicitly adapt their behavior to sentiment conditions demonstrate superior outcomes compared to those who do not.</w:t>
      </w:r>
    </w:p>
    <w:p w14:paraId="0FEFDB43" w14:textId="77777777" w:rsidR="006F2916" w:rsidRDefault="00000000">
      <w:pPr>
        <w:pStyle w:val="Heading2"/>
      </w:pPr>
      <w:r>
        <w:t>8. Strategic Implications</w:t>
      </w:r>
    </w:p>
    <w:p w14:paraId="7FBB4F96" w14:textId="77777777" w:rsidR="006F2916" w:rsidRDefault="00000000">
      <w:r>
        <w:t>The findings support a sentiment-aware trading framework. During Extreme Greed regimes, momentum and trend-following strategies are most effective when combined with disciplined leverage management. Fear regimes favor mean-reversion and scaling strategies that capitalize on temporary inefficiencies.</w:t>
      </w:r>
      <w:r>
        <w:br/>
      </w:r>
      <w:r>
        <w:br/>
        <w:t>Extreme Fear conditions warrant a defensive posture focused on capital preservation, reduced leverage, and selective participation. Neutral regimes call for patience, reduced trade frequency, and confirmation-based entries. Incorporating sentiment as a decision variable can materially enhance risk-adjusted performance.</w:t>
      </w:r>
    </w:p>
    <w:p w14:paraId="4FE91AD0" w14:textId="77777777" w:rsidR="006F2916" w:rsidRDefault="00000000">
      <w:pPr>
        <w:pStyle w:val="Heading2"/>
      </w:pPr>
      <w:r>
        <w:t>9. Conclusion</w:t>
      </w:r>
    </w:p>
    <w:p w14:paraId="3CB67800" w14:textId="77777777" w:rsidR="006F2916" w:rsidRDefault="00000000">
      <w:r>
        <w:t>This comprehensive assessment confirms that Bitcoin market sentiment is a critical determinant of trader performance, influencing profitability, consistency, and behavioral outcomes. The relationship between sentiment and performance is both measurable and economically meaningful.</w:t>
      </w:r>
      <w:r>
        <w:br/>
      </w:r>
      <w:r>
        <w:br/>
        <w:t>By identifying hidden patterns and translating them into actionable insights, this analysis demonstrates the value of sentiment-based frameworks as a practical complement to technical and quantitative trading approaches. Traders who align strategy selection with prevailing sentiment regimes are better positioned to navigate volatility and achieve sustainable long-term performance.</w:t>
      </w:r>
    </w:p>
    <w:p w14:paraId="3F267B0E" w14:textId="77777777" w:rsidR="006F2916" w:rsidRDefault="00000000">
      <w:pPr>
        <w:pStyle w:val="Heading2"/>
      </w:pPr>
      <w:r>
        <w:t>10. Limitations and Future Research</w:t>
      </w:r>
    </w:p>
    <w:p w14:paraId="424BA6DF" w14:textId="77777777" w:rsidR="006F2916" w:rsidRDefault="00000000">
      <w:r>
        <w:t xml:space="preserve">While this study provides robust insights, it does not account for macroeconomic announcements, regulatory developments, or news-driven shocks. Additionally, trader skill levels and leverage-adjusted returns were not explicitly segmented. Future research could </w:t>
      </w:r>
      <w:r>
        <w:lastRenderedPageBreak/>
        <w:t>extend this work by incorporating trader performance tiers, intraday sentiment signals, and predictive models to further refine sentiment-driven trading strategies.</w:t>
      </w:r>
    </w:p>
    <w:sectPr w:rsidR="006F291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5567834">
    <w:abstractNumId w:val="8"/>
  </w:num>
  <w:num w:numId="2" w16cid:durableId="1092815770">
    <w:abstractNumId w:val="6"/>
  </w:num>
  <w:num w:numId="3" w16cid:durableId="298533901">
    <w:abstractNumId w:val="5"/>
  </w:num>
  <w:num w:numId="4" w16cid:durableId="1547136749">
    <w:abstractNumId w:val="4"/>
  </w:num>
  <w:num w:numId="5" w16cid:durableId="1874492394">
    <w:abstractNumId w:val="7"/>
  </w:num>
  <w:num w:numId="6" w16cid:durableId="1178498581">
    <w:abstractNumId w:val="3"/>
  </w:num>
  <w:num w:numId="7" w16cid:durableId="694162149">
    <w:abstractNumId w:val="2"/>
  </w:num>
  <w:num w:numId="8" w16cid:durableId="1467120936">
    <w:abstractNumId w:val="1"/>
  </w:num>
  <w:num w:numId="9" w16cid:durableId="2070960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4C4"/>
    <w:rsid w:val="00034616"/>
    <w:rsid w:val="0006063C"/>
    <w:rsid w:val="0015074B"/>
    <w:rsid w:val="0029639D"/>
    <w:rsid w:val="00326F90"/>
    <w:rsid w:val="006F2916"/>
    <w:rsid w:val="009D7731"/>
    <w:rsid w:val="00AA1D8D"/>
    <w:rsid w:val="00B47730"/>
    <w:rsid w:val="00CB0664"/>
    <w:rsid w:val="00EA41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D44269"/>
  <w14:defaultImageDpi w14:val="300"/>
  <w15:docId w15:val="{037F55C7-13C7-4B5F-BABA-862432265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1151</Words>
  <Characters>6564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Patil</cp:lastModifiedBy>
  <cp:revision>2</cp:revision>
  <dcterms:created xsi:type="dcterms:W3CDTF">2026-01-22T09:33:00Z</dcterms:created>
  <dcterms:modified xsi:type="dcterms:W3CDTF">2026-01-22T09:33:00Z</dcterms:modified>
  <cp:category/>
</cp:coreProperties>
</file>