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93B"/>
          <w:sz w:val="48"/>
        </w:rPr>
        <w:t>System Design Specification</w:t>
      </w:r>
    </w:p>
    <w:p>
      <w:pPr>
        <w:spacing w:after="480"/>
      </w:pPr>
      <w:r>
        <w:rPr>
          <w:color w:val="0F766E"/>
          <w:sz w:val="28"/>
        </w:rPr>
        <w:t>Real-Time Options Market Depth Analysis Engine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1E293B"/>
          <w:sz w:val="32"/>
        </w:rPr>
        <w:t>1. System Overview &amp; Objective</w:t>
      </w:r>
    </w:p>
    <w:p>
      <w:pPr>
        <w:spacing w:after="160" w:line="276" w:lineRule="auto"/>
      </w:pPr>
      <w:r>
        <w:t>The goal is to build a high-throughput, low-latency market depth processing engine for options trading. The system subscribes to real-time Level 2 (L2) order book data for an Underlying Asset and 4X + 1 Option Symbols (ATM, and ±X Call/Put strikes).</w:t>
      </w:r>
    </w:p>
    <w:p>
      <w:pPr>
        <w:spacing w:after="240" w:line="276" w:lineRule="auto"/>
      </w:pPr>
      <w:r>
        <w:t>The engine processes raw order book snapshots, transforms them into standardized features across three dynamic window ranges (Small, Medium, Large), tracks temporal flow dynamics, and outputs actionable, multi-window trading signals.</w:t>
      </w: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475569"/>
          <w:sz w:val="26"/>
        </w:rPr>
        <w:t>Constraints &amp; Performance Targets</w:t>
      </w:r>
    </w:p>
    <w:p>
      <w:pPr>
        <w:pStyle w:val="ListBullet"/>
        <w:spacing w:after="60"/>
      </w:pPr>
      <w:r>
        <w:rPr>
          <w:b/>
        </w:rPr>
        <w:t xml:space="preserve">Latency Target: </w:t>
      </w:r>
      <w:r>
        <w:t>End-to-end processing under 10 milliseconds per tick burst.</w:t>
      </w:r>
    </w:p>
    <w:p>
      <w:pPr>
        <w:pStyle w:val="ListBullet"/>
        <w:spacing w:after="60"/>
      </w:pPr>
      <w:r>
        <w:rPr>
          <w:b/>
        </w:rPr>
        <w:t xml:space="preserve">Concurrency: </w:t>
      </w:r>
      <w:r>
        <w:t>Lock-free data structures or atomic operations for thread-safe state management.</w:t>
      </w:r>
    </w:p>
    <w:p>
      <w:pPr>
        <w:pStyle w:val="ListBullet"/>
        <w:spacing w:after="320"/>
      </w:pPr>
      <w:r>
        <w:rPr>
          <w:b/>
        </w:rPr>
        <w:t xml:space="preserve">State Management: </w:t>
      </w:r>
      <w:r>
        <w:t>Rolling in-memory buffers for historical tick-state tracking.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1E293B"/>
          <w:sz w:val="32"/>
        </w:rPr>
        <w:t>2. Universe Definition &amp; Dynamic Windows</w:t>
      </w:r>
    </w:p>
    <w:p>
      <w:pPr>
        <w:spacing w:after="240" w:line="276" w:lineRule="auto"/>
      </w:pPr>
      <w:r>
        <w:rPr>
          <w:b/>
        </w:rPr>
        <w:t>•  X</w:t>
      </w:r>
      <w:r>
        <w:t xml:space="preserve"> = Number of strikes out-of-the-money (OTM) and in-the-money (ITM) to subscribe to on each side.</w:t>
        <w:br/>
      </w:r>
      <w:r>
        <w:rPr>
          <w:b/>
        </w:rPr>
        <w:t>•  Total Option Symbols</w:t>
      </w:r>
      <w:r>
        <w:t xml:space="preserve"> = 4X + 1 (ATM, X Call strikes above/below ATM, X Put strikes above/below ATM).</w:t>
        <w:br/>
      </w:r>
      <w:r>
        <w:rPr>
          <w:b/>
        </w:rPr>
        <w:t>•  Underlying Symbol</w:t>
      </w:r>
      <w:r>
        <w:t xml:space="preserve"> = 1 (Stock or Index L2 depth).</w:t>
      </w:r>
    </w:p>
    <w:p>
      <w:pPr>
        <w:spacing w:after="160"/>
      </w:pPr>
      <w:r>
        <w:t>The system must dynamically map strikes into three active matrices based on the current distance from the ATM strike:</w:t>
      </w:r>
    </w:p>
    <w:p>
      <w:pPr>
        <w:pStyle w:val="ListBullet"/>
        <w:spacing w:after="60"/>
      </w:pPr>
      <w:r>
        <w:rPr>
          <w:b/>
        </w:rPr>
        <w:t xml:space="preserve">Small Window (Ws): </w:t>
      </w:r>
      <w:r>
        <w:t>ATM ± 2 strikes.</w:t>
      </w:r>
    </w:p>
    <w:p>
      <w:pPr>
        <w:pStyle w:val="ListBullet"/>
        <w:spacing w:after="60"/>
      </w:pPr>
      <w:r>
        <w:rPr>
          <w:b/>
        </w:rPr>
        <w:t xml:space="preserve">Medium Window (Wm): </w:t>
      </w:r>
      <w:r>
        <w:t>ATM ± ⌊X/2⌋ strikes.</w:t>
      </w:r>
    </w:p>
    <w:p>
      <w:pPr>
        <w:pStyle w:val="ListBullet"/>
        <w:spacing w:after="320"/>
      </w:pPr>
      <w:r>
        <w:rPr>
          <w:b/>
        </w:rPr>
        <w:t xml:space="preserve">Large Window (Wl): </w:t>
      </w:r>
      <w:r>
        <w:t>ATM ± X strikes (entire subscribed scope).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1E293B"/>
          <w:sz w:val="32"/>
        </w:rPr>
        <w:t>3. Mathematical &amp; Algorithmic Specifications</w:t>
      </w: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475569"/>
          <w:sz w:val="26"/>
        </w:rPr>
        <w:t>Layer 1: Raw Order Book Metrics (Per Symbol, Level n)</w:t>
      </w:r>
    </w:p>
    <w:p>
      <w:pPr>
        <w:spacing w:after="160"/>
      </w:pPr>
      <w:r>
        <w:t>For each symbol, parse depth levels up to Depth N (default N=5 or 10). Apply harmonic decay to mitigate distant spoofing.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F766E"/>
              <w:top w:val="none"/>
              <w:bottom w:val="none"/>
              <w:right w:val="none"/>
            </w:tcBorders>
          </w:tcPr>
          <w:p>
            <w:pPr>
              <w:spacing w:line="312" w:lineRule="auto"/>
            </w:pPr>
            <w:r>
              <w:rPr>
                <w:b/>
              </w:rPr>
              <w:t>Decay Weight (wn) = 1 / n</w:t>
              <w:br/>
            </w:r>
            <w:r>
              <w:rPr>
                <w:b/>
              </w:rPr>
              <w:t>Weighted Bid Quantity (QB_weighted) = Σ (bid_qty_n × w_n)</w:t>
              <w:br/>
              <w:br/>
            </w:r>
            <w:r>
              <w:rPr>
                <w:b/>
              </w:rPr>
              <w:t>Micro-Price = (Bid_Price_1 × Ask_Qty_1 + Ask_Price_1 × Bid_Qty_1) / (Bid_Qty_1 + Ask_Qty_1)</w:t>
              <w:br/>
              <w:br/>
            </w:r>
            <w:r>
              <w:rPr>
                <w:b/>
              </w:rPr>
              <w:t>Depth Imbalance = (QB_weighted - QA_weighted) / (QB_weighted + QA_weighted)  ∈ [-1, 1]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475569"/>
          <w:sz w:val="26"/>
        </w:rPr>
        <w:t>Layer 2: Strike-Level Features</w:t>
      </w:r>
    </w:p>
    <w:p>
      <w:pPr>
        <w:spacing w:after="240"/>
      </w:pPr>
      <w:r>
        <w:rPr>
          <w:b/>
        </w:rPr>
        <w:t xml:space="preserve">•  Stack Ratios: </w:t>
      </w:r>
      <w:r>
        <w:t>bid_stack_ratio = bid_qty_1 / Σ(bid_qty_n). Measures short-term immediate execution urgency.</w:t>
        <w:br/>
      </w:r>
      <w:r>
        <w:rPr>
          <w:b/>
        </w:rPr>
        <w:t xml:space="preserve">•  Depth Slopes: </w:t>
      </w:r>
      <w:r>
        <w:t>Calculate via linear regression over the coordinates (n, price_n) to measure book density.</w:t>
        <w:br/>
      </w:r>
      <w:r>
        <w:rPr>
          <w:b/>
        </w:rPr>
        <w:t xml:space="preserve">•  Wall Score (Swall): </w:t>
      </w:r>
      <w:r>
        <w:t>Flags any level n &gt; 1 where qty_n &gt; Median(qty_1..N) × 5.0 (local wall detection).</w:t>
      </w: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475569"/>
          <w:sz w:val="26"/>
        </w:rPr>
        <w:t>Layer 3: Window-Level Matrix Aggregation</w:t>
      </w:r>
    </w:p>
    <w:p>
      <w:pPr>
        <w:spacing w:after="240"/>
      </w:pPr>
      <w:r>
        <w:rPr>
          <w:b/>
        </w:rPr>
        <w:t xml:space="preserve">•  Net Market Bias (Bnet): </w:t>
      </w:r>
      <w:r>
        <w:t>pe_imbalance - ce_imbalance  ∈ [-2, 2]</w:t>
        <w:br/>
      </w:r>
      <w:r>
        <w:rPr>
          <w:b/>
        </w:rPr>
        <w:t xml:space="preserve">•  Real-Time Depth PCR: </w:t>
      </w:r>
      <w:r>
        <w:t>Σ(PE_bids_total) / Σ(CE_bids_total). Updates tick-by-tick as opposed to traditional exchange OI PCR.</w:t>
      </w:r>
    </w:p>
    <w:p>
      <w:pPr>
        <w:pStyle w:val="Heading2"/>
        <w:keepNext/>
        <w:spacing w:before="320" w:after="120"/>
      </w:pPr>
      <w:r>
        <w:rPr>
          <w:rFonts w:ascii="Segoe UI" w:hAnsi="Segoe UI"/>
          <w:b/>
          <w:color w:val="475569"/>
          <w:sz w:val="26"/>
        </w:rPr>
        <w:t>Layer 4: Temporal Flow &amp; Velocity (Stateful Transitions)</w:t>
      </w:r>
    </w:p>
    <w:p>
      <w:pPr>
        <w:spacing w:after="320"/>
      </w:pPr>
      <w:r>
        <w:rPr>
          <w:b/>
        </w:rPr>
        <w:t xml:space="preserve">•  Liquidity Velocity (ΔV): </w:t>
      </w:r>
      <w:r>
        <w:t>(Q_weighted(t) - Q_weighted(t-1)) / Δtime_ns</w:t>
        <w:br/>
      </w:r>
      <w:r>
        <w:rPr>
          <w:b/>
        </w:rPr>
        <w:t xml:space="preserve">•  Imbalance Acceleration (Aimb): </w:t>
      </w:r>
      <w:r>
        <w:t>(I_depth(t) - I_depth(t-1)) / Δtime_ns</w:t>
        <w:br/>
      </w:r>
      <w:r>
        <w:rPr>
          <w:b/>
        </w:rPr>
        <w:t xml:space="preserve">•  Liquidity Migration Index (LMI): </w:t>
      </w:r>
      <w:r>
        <w:t>Tracks the physical movement of depth center of mass across strike dimensions over rolling states.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1E293B"/>
          <w:sz w:val="32"/>
        </w:rPr>
        <w:t>4. Decision Matrix &amp; Signal Generation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72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Small Window (Ws)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Medium Window (Wm)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Large Window (Wl)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Structural Interpretation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 Signal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Bnet &gt; 0.5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-0.2 ≤ Bnet ≤ 0.2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-0.2 ≤ Bnet ≤ 0.2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left"/>
            </w:pPr>
            <w:r>
              <w:rPr>
                <w:sz w:val="19"/>
              </w:rPr>
              <w:t>Retail aggressive buying / Short-term noise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color w:val="0F766E"/>
                <w:sz w:val="18"/>
              </w:rPr>
              <w:t>SCALPER_BULLISH_DRIVE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Bnet &gt; 0.6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Bnet &gt; 0.4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Bnet &gt; 0.3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left"/>
            </w:pPr>
            <w:r>
              <w:rPr>
                <w:sz w:val="19"/>
              </w:rPr>
              <w:t>Institutional block accumulation; systematic lift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color w:val="0F766E"/>
                <w:sz w:val="18"/>
              </w:rPr>
              <w:t>CONCURRENT_TREND_LONG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Bnet &lt; -0.5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Bnet &gt; 0.4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Bnet &gt; 0.4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left"/>
            </w:pPr>
            <w:r>
              <w:rPr>
                <w:sz w:val="19"/>
              </w:rPr>
              <w:t>Short-term local profit-taking inside institutional uptrend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color w:val="0F766E"/>
                <w:sz w:val="18"/>
              </w:rPr>
              <w:t>MEAN_REVERSION_BUY_PULLBACK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-0.2 ≤ Bnet ≤ 0.2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-0.2 ≤ Bnet ≤ 0.2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center"/>
            </w:pPr>
            <w:r>
              <w:rPr>
                <w:rFonts w:ascii="Consolas" w:hAnsi="Consolas"/>
                <w:sz w:val="18"/>
              </w:rPr>
              <w:t>Any Wall Score &gt; 8.0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left"/>
            </w:pPr>
            <w:r>
              <w:rPr>
                <w:sz w:val="19"/>
              </w:rPr>
              <w:t>Market makers laying down heavy OTM defenses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bottom w:val="single" w:sz="4" w:space="0" w:color="CBD5E1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color w:val="0F766E"/>
                <w:sz w:val="18"/>
              </w:rPr>
              <w:t>PINNING_RISK_DETECTED</w:t>
            </w:r>
          </w:p>
        </w:tc>
      </w:tr>
    </w:tbl>
    <w:p>
      <w:pPr>
        <w:spacing w:after="320"/>
      </w:pP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1E293B"/>
          <w:sz w:val="32"/>
        </w:rPr>
        <w:t>5. Implementation &amp; Infrastructure Guidelines</w:t>
      </w:r>
    </w:p>
    <w:p>
      <w:pPr>
        <w:spacing w:line="276" w:lineRule="auto" w:after="480"/>
      </w:pPr>
      <w:r>
        <w:rPr>
          <w:b/>
        </w:rPr>
        <w:t>1. Data Normalization Z-Score:</w:t>
        <w:br/>
      </w:r>
      <w:r>
        <w:t>To prevent scaling distortion between low-volume pre-market regimes and volatile opening periods, the system must maintain a rolling 30-minute mean (μ) and standard deviation (σ) to dynamically Z-score normalize Bnet and PCR_depth values.</w:t>
        <w:br/>
        <w:br/>
      </w:r>
      <w:r>
        <w:rPr>
          <w:b/>
        </w:rPr>
        <w:t>2. Core Architectural Recommendation:</w:t>
        <w:br/>
      </w:r>
      <w:r>
        <w:t>Use an abstract interface architecture with pre-allocated lock-free numpy data matrices to avoid high-frequency memory allocations during live market tick bursts. Implement an 'on_tick' callback strategy.</w:t>
        <w:br/>
        <w:br/>
      </w:r>
      <w:r>
        <w:rPr>
          <w:b/>
        </w:rPr>
        <w:t>3. Critical Edge Cases to Code Against:</w:t>
        <w:br/>
      </w:r>
      <w:r>
        <w:t>•  Missing Packets: Forward-fill inactive option contracts up to 5000ms, then decay weight to 0.</w:t>
        <w:br/>
      </w:r>
      <w:r>
        <w:t>•  Cross-Touch Violation: If Bid ≥ Ask, default strictly to the Micro-Price model and flag standard spread to 0.</w:t>
        <w:br/>
      </w:r>
      <w:r>
        <w:t>•  Zero Division Protection: Embed an epsilon factor (ε = 1e-9) in all fractional denominators to prevent math runtime execution crashes.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