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 System SDK Documentation</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Application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HealthCare.Server.csproj is a blazor .NET web project file that defines project-specific metadata and configuration options. It specifies the project's target framework, nullable settings, and references to required NuGet packages such as AutoMapper, BCrypt, CsvHelper, and Microsoft.EntityFrameworkCore. It also includes project references to two other project files: HealthCare.Client.csproj and HealthCare.Shared.csproj.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Program.cs file is the entry point of the HealthCare Server Application. The file contains code that configures the application's services, HTTP request pipeline, and endpoints. This documentation will cover the major components of the Program.cs file and how they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services to the container</w:t>
      </w:r>
      <w:r>
        <w:object w:dxaOrig="18800" w:dyaOrig="8064">
          <v:rect xmlns:o="urn:schemas-microsoft-com:office:office" xmlns:v="urn:schemas-microsoft-com:vml" id="rectole0000000000" style="width:940.000000pt;height:40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The Add services to the container code block adds services to the dependency injection container. The AddControllers method adds the controller services to the container. The AddJsonOptions method configures JSON serialization options for the controllers. The AddAutoMapper method configures AutoMapper for mapping objects. The AddDbContext method configures the HealthcareContext database context using the MySQL database provider. The AddScoped method adds scoped services to the container. Each service is resolved from the container when needed by the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Cors policy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773" w:dyaOrig="2505">
          <v:rect xmlns:o="urn:schemas-microsoft-com:office:office" xmlns:v="urn:schemas-microsoft-com:vml" id="rectole0000000001" style="width:888.650000pt;height:12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The Add Cors policy code block adds a Cors policy to the application. The policy allows any origin, any method, and any header to access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 Services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is called by the runtime at startup to configure the services that the application will use. The following services are configured in this method:</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Adds controllers for handling HTTP requests to the service container. The </w:t>
      </w:r>
      <w:r>
        <w:rPr>
          <w:rFonts w:ascii="Calibri" w:hAnsi="Calibri" w:cs="Calibri" w:eastAsia="Calibri"/>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 is called to configure the serialization settings for JSON responses to ignore cycles to prevent JSON serialization issues.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AddAutoMapper</w:t>
      </w:r>
      <w:r>
        <w:rPr>
          <w:rFonts w:ascii="Calibri" w:hAnsi="Calibri" w:cs="Calibri" w:eastAsia="Calibri"/>
          <w:color w:val="auto"/>
          <w:spacing w:val="0"/>
          <w:position w:val="0"/>
          <w:sz w:val="22"/>
          <w:shd w:fill="auto" w:val="clear"/>
        </w:rPr>
        <w:t xml:space="preserve">: Configures AutoMapper, which is a mapping library used to map between objects.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AddEntityFrameworkMySql</w:t>
      </w:r>
      <w:r>
        <w:rPr>
          <w:rFonts w:ascii="Calibri" w:hAnsi="Calibri" w:cs="Calibri" w:eastAsia="Calibri"/>
          <w:color w:val="auto"/>
          <w:spacing w:val="0"/>
          <w:position w:val="0"/>
          <w:sz w:val="22"/>
          <w:shd w:fill="auto" w:val="clear"/>
        </w:rPr>
        <w:t xml:space="preserve">: Adds support for MySQL with Entity Framework Core. The </w:t>
      </w:r>
      <w:r>
        <w:rPr>
          <w:rFonts w:ascii="Calibri" w:hAnsi="Calibri" w:cs="Calibri" w:eastAsia="Calibri"/>
          <w:b/>
          <w:color w:val="auto"/>
          <w:spacing w:val="0"/>
          <w:position w:val="0"/>
          <w:sz w:val="22"/>
          <w:shd w:fill="auto" w:val="clear"/>
        </w:rPr>
        <w:t xml:space="preserve">AddDbContext</w:t>
      </w:r>
      <w:r>
        <w:rPr>
          <w:rFonts w:ascii="Calibri" w:hAnsi="Calibri" w:cs="Calibri" w:eastAsia="Calibri"/>
          <w:color w:val="auto"/>
          <w:spacing w:val="0"/>
          <w:position w:val="0"/>
          <w:sz w:val="22"/>
          <w:shd w:fill="auto" w:val="clear"/>
        </w:rPr>
        <w:t xml:space="preserve"> method is called to register the application's </w:t>
      </w:r>
      <w:r>
        <w:rPr>
          <w:rFonts w:ascii="Calibri" w:hAnsi="Calibri" w:cs="Calibri" w:eastAsia="Calibri"/>
          <w:b/>
          <w:color w:val="auto"/>
          <w:spacing w:val="0"/>
          <w:position w:val="0"/>
          <w:sz w:val="22"/>
          <w:shd w:fill="auto" w:val="clear"/>
        </w:rPr>
        <w:t xml:space="preserve">HealthcareContext</w:t>
      </w:r>
      <w:r>
        <w:rPr>
          <w:rFonts w:ascii="Calibri" w:hAnsi="Calibri" w:cs="Calibri" w:eastAsia="Calibri"/>
          <w:color w:val="auto"/>
          <w:spacing w:val="0"/>
          <w:position w:val="0"/>
          <w:sz w:val="22"/>
          <w:shd w:fill="auto" w:val="clear"/>
        </w:rPr>
        <w:t xml:space="preserve"> with the dependency injection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AddScoped</w:t>
      </w:r>
      <w:r>
        <w:rPr>
          <w:rFonts w:ascii="Calibri" w:hAnsi="Calibri" w:cs="Calibri" w:eastAsia="Calibri"/>
          <w:color w:val="auto"/>
          <w:spacing w:val="0"/>
          <w:position w:val="0"/>
          <w:sz w:val="22"/>
          <w:shd w:fill="auto" w:val="clear"/>
        </w:rPr>
        <w:t xml:space="preserve">: Registers scoped services with the dependency injection container. The following services are registered:</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IAuthService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AuthRepo</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ITokenService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TokenService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IPermissionService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PermissionService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IDrugService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DrugService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IDoctorService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DoctorService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IComplaintService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ComplaintService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IUserRoleService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UserRoleService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IPatientService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PatientService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IStaffService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StaffService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ISystemMetricsService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SystemMetricsService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UserService</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AddCors</w:t>
      </w:r>
      <w:r>
        <w:rPr>
          <w:rFonts w:ascii="Calibri" w:hAnsi="Calibri" w:cs="Calibri" w:eastAsia="Calibri"/>
          <w:color w:val="auto"/>
          <w:spacing w:val="0"/>
          <w:position w:val="0"/>
          <w:sz w:val="22"/>
          <w:shd w:fill="auto" w:val="clear"/>
        </w:rPr>
        <w:t xml:space="preserve">: Adds CORS (Cross-Origin Resource Sharing) services to the application's service container. The </w:t>
      </w:r>
      <w:r>
        <w:rPr>
          <w:rFonts w:ascii="Calibri" w:hAnsi="Calibri" w:cs="Calibri" w:eastAsia="Calibri"/>
          <w:b/>
          <w:color w:val="auto"/>
          <w:spacing w:val="0"/>
          <w:position w:val="0"/>
          <w:sz w:val="22"/>
          <w:shd w:fill="auto" w:val="clear"/>
        </w:rPr>
        <w:t xml:space="preserve">AddPolicy</w:t>
      </w:r>
      <w:r>
        <w:rPr>
          <w:rFonts w:ascii="Calibri" w:hAnsi="Calibri" w:cs="Calibri" w:eastAsia="Calibri"/>
          <w:color w:val="auto"/>
          <w:spacing w:val="0"/>
          <w:position w:val="0"/>
          <w:sz w:val="22"/>
          <w:shd w:fill="auto" w:val="clear"/>
        </w:rPr>
        <w:t xml:space="preserve"> method is called to configure the CORS policy that allows any origin, method, and header.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AddAuthentication</w:t>
      </w:r>
      <w:r>
        <w:rPr>
          <w:rFonts w:ascii="Calibri" w:hAnsi="Calibri" w:cs="Calibri" w:eastAsia="Calibri"/>
          <w:color w:val="auto"/>
          <w:spacing w:val="0"/>
          <w:position w:val="0"/>
          <w:sz w:val="22"/>
          <w:shd w:fill="auto" w:val="clear"/>
        </w:rPr>
        <w:t xml:space="preserve">: Adds authentication services to the application's service container using JWT bearer authentication. The </w:t>
      </w:r>
      <w:r>
        <w:rPr>
          <w:rFonts w:ascii="Calibri" w:hAnsi="Calibri" w:cs="Calibri" w:eastAsia="Calibri"/>
          <w:b/>
          <w:color w:val="auto"/>
          <w:spacing w:val="0"/>
          <w:position w:val="0"/>
          <w:sz w:val="22"/>
          <w:shd w:fill="auto" w:val="clear"/>
        </w:rPr>
        <w:t xml:space="preserve">RequireHttpsMetadata</w:t>
      </w:r>
      <w:r>
        <w:rPr>
          <w:rFonts w:ascii="Calibri" w:hAnsi="Calibri" w:cs="Calibri" w:eastAsia="Calibri"/>
          <w:color w:val="auto"/>
          <w:spacing w:val="0"/>
          <w:position w:val="0"/>
          <w:sz w:val="22"/>
          <w:shd w:fill="auto" w:val="clear"/>
        </w:rPr>
        <w:t xml:space="preserve"> property is set to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to allow authentication over HTTP, which is not recommended for production environments.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AddEndpointsApiExplorer</w:t>
      </w:r>
      <w:r>
        <w:rPr>
          <w:rFonts w:ascii="Calibri" w:hAnsi="Calibri" w:cs="Calibri" w:eastAsia="Calibri"/>
          <w:color w:val="auto"/>
          <w:spacing w:val="0"/>
          <w:position w:val="0"/>
          <w:sz w:val="22"/>
          <w:shd w:fill="auto" w:val="clear"/>
        </w:rPr>
        <w:t xml:space="preserve">: Adds API explorer services to the application's service container. This enables the application to generate OpenAPI documentation automatically.</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AddSwaggerGen</w:t>
      </w:r>
      <w:r>
        <w:rPr>
          <w:rFonts w:ascii="Calibri" w:hAnsi="Calibri" w:cs="Calibri" w:eastAsia="Calibri"/>
          <w:color w:val="auto"/>
          <w:spacing w:val="0"/>
          <w:position w:val="0"/>
          <w:sz w:val="22"/>
          <w:shd w:fill="auto" w:val="clear"/>
        </w:rPr>
        <w:t xml:space="preserve">: Adds Swagger services to the application's service container. This enables the application to generate OpenAPI documentation.</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AddControllersWithViews</w:t>
      </w:r>
      <w:r>
        <w:rPr>
          <w:rFonts w:ascii="Calibri" w:hAnsi="Calibri" w:cs="Calibri" w:eastAsia="Calibri"/>
          <w:color w:val="auto"/>
          <w:spacing w:val="0"/>
          <w:position w:val="0"/>
          <w:sz w:val="22"/>
          <w:shd w:fill="auto" w:val="clear"/>
        </w:rPr>
        <w:t xml:space="preserve">: Adds controllers and views for handling HTTP requests to the service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AddRazorPages</w:t>
      </w:r>
      <w:r>
        <w:rPr>
          <w:rFonts w:ascii="Calibri" w:hAnsi="Calibri" w:cs="Calibri" w:eastAsia="Calibri"/>
          <w:color w:val="auto"/>
          <w:spacing w:val="0"/>
          <w:position w:val="0"/>
          <w:sz w:val="22"/>
          <w:shd w:fill="auto" w:val="clear"/>
        </w:rPr>
        <w:t xml:space="preserve">: Adds Razor Pages for handling HTTP requests to the service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w:t>
      </w:r>
      <w:r>
        <w:rPr>
          <w:rFonts w:ascii="Calibri" w:hAnsi="Calibri" w:cs="Calibri" w:eastAsia="Calibri"/>
          <w:color w:val="000000"/>
          <w:spacing w:val="0"/>
          <w:position w:val="0"/>
          <w:sz w:val="22"/>
          <w:shd w:fill="auto" w:val="clear"/>
        </w:rPr>
        <w:t xml:space="preserve"> method is called by the runtime after 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to configure the HTTP request pipeline. The following middleware components are configured in this method: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UseWebAssemblyDebugging</w:t>
      </w:r>
      <w:r>
        <w:rPr>
          <w:rFonts w:ascii="Calibri" w:hAnsi="Calibri" w:cs="Calibri" w:eastAsia="Calibri"/>
          <w:color w:val="auto"/>
          <w:spacing w:val="0"/>
          <w:position w:val="0"/>
          <w:sz w:val="22"/>
          <w:shd w:fill="auto" w:val="clear"/>
        </w:rPr>
        <w:t xml:space="preserve"> (in development environment only): Adds support for debugging Blazor WebAssembly applications in the browser.</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w:t>
      </w:r>
      <w:r>
        <w:rPr>
          <w:rFonts w:ascii="Calibri" w:hAnsi="Calibri" w:cs="Calibri" w:eastAsia="Calibri"/>
          <w:color w:val="auto"/>
          <w:spacing w:val="0"/>
          <w:position w:val="0"/>
          <w:sz w:val="22"/>
          <w:shd w:fill="auto" w:val="clear"/>
        </w:rPr>
        <w:t xml:space="preserve">: Serves the Swagger JSON endpoint to enable Swagger UI to display API documentation.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UseSwaggerUI</w:t>
      </w:r>
      <w:r>
        <w:rPr>
          <w:rFonts w:ascii="Calibri" w:hAnsi="Calibri" w:cs="Calibri" w:eastAsia="Calibri"/>
          <w:color w:val="auto"/>
          <w:spacing w:val="0"/>
          <w:position w:val="0"/>
          <w:sz w:val="22"/>
          <w:shd w:fill="auto" w:val="clear"/>
        </w:rPr>
        <w:t xml:space="preserve">: Serves the Swagger UI that provides the user interface for exploring and testing the API.</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UseExceptionHandler</w:t>
      </w:r>
      <w:r>
        <w:rPr>
          <w:rFonts w:ascii="Calibri" w:hAnsi="Calibri" w:cs="Calibri" w:eastAsia="Calibri"/>
          <w:color w:val="auto"/>
          <w:spacing w:val="0"/>
          <w:position w:val="0"/>
          <w:sz w:val="22"/>
          <w:shd w:fill="auto" w:val="clear"/>
        </w:rPr>
        <w:t xml:space="preserve">: Configures the middleware to handle exceptions. In case of an exception, the middleware returns an error response.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UseHsts</w:t>
      </w:r>
      <w:r>
        <w:rPr>
          <w:rFonts w:ascii="Calibri" w:hAnsi="Calibri" w:cs="Calibri" w:eastAsia="Calibri"/>
          <w:color w:val="auto"/>
          <w:spacing w:val="0"/>
          <w:position w:val="0"/>
          <w:sz w:val="22"/>
          <w:shd w:fill="auto" w:val="clear"/>
        </w:rPr>
        <w:t xml:space="preserve">: Adds HTTP Strict Transport Security (HSTS) headers to responses to instruct browsers to only use HTTPS for future requests.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UseHttpsRedirection</w:t>
      </w:r>
      <w:r>
        <w:rPr>
          <w:rFonts w:ascii="Calibri" w:hAnsi="Calibri" w:cs="Calibri" w:eastAsia="Calibri"/>
          <w:color w:val="auto"/>
          <w:spacing w:val="0"/>
          <w:position w:val="0"/>
          <w:sz w:val="22"/>
          <w:shd w:fill="auto" w:val="clear"/>
        </w:rPr>
        <w:t xml:space="preserve">: Redirects all HTTP requests to HTTPS.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UseBlazorFrameworkFiles</w:t>
      </w:r>
      <w:r>
        <w:rPr>
          <w:rFonts w:ascii="Calibri" w:hAnsi="Calibri" w:cs="Calibri" w:eastAsia="Calibri"/>
          <w:color w:val="auto"/>
          <w:spacing w:val="0"/>
          <w:position w:val="0"/>
          <w:sz w:val="22"/>
          <w:shd w:fill="auto" w:val="clear"/>
        </w:rPr>
        <w:t xml:space="preserve">: Serves the static files required by the Blazor WebAssembly client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UseStaticFiles</w:t>
      </w:r>
      <w:r>
        <w:rPr>
          <w:rFonts w:ascii="Calibri" w:hAnsi="Calibri" w:cs="Calibri" w:eastAsia="Calibri"/>
          <w:color w:val="auto"/>
          <w:spacing w:val="0"/>
          <w:position w:val="0"/>
          <w:sz w:val="22"/>
          <w:shd w:fill="auto" w:val="clear"/>
        </w:rPr>
        <w:t xml:space="preserve">: Serves static files for the web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UseRouting</w:t>
      </w:r>
      <w:r>
        <w:rPr>
          <w:rFonts w:ascii="Calibri" w:hAnsi="Calibri" w:cs="Calibri" w:eastAsia="Calibri"/>
          <w:color w:val="auto"/>
          <w:spacing w:val="0"/>
          <w:position w:val="0"/>
          <w:sz w:val="22"/>
          <w:shd w:fill="auto" w:val="clear"/>
        </w:rPr>
        <w:t xml:space="preserve">: Adds endpoint routing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UseCors</w:t>
      </w:r>
      <w:r>
        <w:rPr>
          <w:rFonts w:ascii="Calibri" w:hAnsi="Calibri" w:cs="Calibri" w:eastAsia="Calibri"/>
          <w:color w:val="auto"/>
          <w:spacing w:val="0"/>
          <w:position w:val="0"/>
          <w:sz w:val="22"/>
          <w:shd w:fill="auto" w:val="clear"/>
        </w:rPr>
        <w:t xml:space="preserve">: Enables CORS for the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UseAuthentication</w:t>
      </w:r>
      <w:r>
        <w:rPr>
          <w:rFonts w:ascii="Calibri" w:hAnsi="Calibri" w:cs="Calibri" w:eastAsia="Calibri"/>
          <w:color w:val="auto"/>
          <w:spacing w:val="0"/>
          <w:position w:val="0"/>
          <w:sz w:val="22"/>
          <w:shd w:fill="auto" w:val="clear"/>
        </w:rPr>
        <w:t xml:space="preserve">: Adds authentication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UseAuthorization</w:t>
      </w:r>
      <w:r>
        <w:rPr>
          <w:rFonts w:ascii="Calibri" w:hAnsi="Calibri" w:cs="Calibri" w:eastAsia="Calibri"/>
          <w:color w:val="auto"/>
          <w:spacing w:val="0"/>
          <w:position w:val="0"/>
          <w:sz w:val="22"/>
          <w:shd w:fill="auto" w:val="clear"/>
        </w:rPr>
        <w:t xml:space="preserve">: Adds authorization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MapRazorPages</w:t>
      </w:r>
      <w:r>
        <w:rPr>
          <w:rFonts w:ascii="Calibri" w:hAnsi="Calibri" w:cs="Calibri" w:eastAsia="Calibri"/>
          <w:color w:val="auto"/>
          <w:spacing w:val="0"/>
          <w:position w:val="0"/>
          <w:sz w:val="22"/>
          <w:shd w:fill="auto" w:val="clear"/>
        </w:rPr>
        <w:t xml:space="preserve">: Maps Razor Pages requests to the appropriate Razor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then defines the startup configuration for the application using the builder object. The builder object creates a new instance of the web application and configures it with a set of services and middleware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builder adds controllers to the container using the </w:t>
      </w:r>
      <w:r>
        <w:rPr>
          <w:rFonts w:ascii="Consolas" w:hAnsi="Consolas" w:cs="Consolas" w:eastAsia="Consolas"/>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method. It also configures the JSON serializer to ignore circular references using the </w:t>
      </w:r>
      <w:r>
        <w:rPr>
          <w:rFonts w:ascii="Consolas" w:hAnsi="Consolas" w:cs="Consolas" w:eastAsia="Consolas"/>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builder.Services.AddControllers().AddJsonOptions(x =&gt; x.JsonSerializerOptions.ReferenceHandler = ReferenceHandler.IgnoreCycles);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builder configures AutoMapper using the AddAutoMapper() method, and clears the default logging providers using the Logging.ClearProviders() method. It then adds a console logging provider using the Logging.AddConsole()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4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HealthcareContext.cs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HealthcareContext.cs file contains the implementation of the DbContext class, which represents a session with the database and provides a way to query and save data. Here's a summary of the file: </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HealthcareContext class: </w:t>
      </w:r>
      <w:r>
        <w:rPr>
          <w:rFonts w:ascii="Calibri" w:hAnsi="Calibri" w:cs="Calibri" w:eastAsia="Calibri"/>
          <w:color w:val="auto"/>
          <w:spacing w:val="0"/>
          <w:position w:val="0"/>
          <w:sz w:val="22"/>
          <w:shd w:fill="auto" w:val="clear"/>
        </w:rPr>
        <w:t xml:space="preserve">This is the main class of the file and it derives from the DbContext class. It represents the database context and provides access to the entities and relationships in the database.</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OnModelCreating method: </w:t>
      </w:r>
      <w:r>
        <w:rPr>
          <w:rFonts w:ascii="Calibri" w:hAnsi="Calibri" w:cs="Calibri" w:eastAsia="Calibri"/>
          <w:color w:val="auto"/>
          <w:spacing w:val="0"/>
          <w:position w:val="0"/>
          <w:sz w:val="22"/>
          <w:shd w:fill="auto" w:val="clear"/>
        </w:rPr>
        <w:t xml:space="preserve">This method is used to configure the model that was discovered by convention from the entity types exposed in HealthcareContext. It overrides the base implementation to configure the relationships, indexes, and constraints for the entities.</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DbSet properties</w:t>
      </w:r>
      <w:r>
        <w:rPr>
          <w:rFonts w:ascii="Calibri" w:hAnsi="Calibri" w:cs="Calibri" w:eastAsia="Calibri"/>
          <w:color w:val="auto"/>
          <w:spacing w:val="0"/>
          <w:position w:val="0"/>
          <w:sz w:val="22"/>
          <w:shd w:fill="auto" w:val="clear"/>
        </w:rPr>
        <w:t xml:space="preserve">: The HealthcareContext class defines properties for each entity set in the database. These properties are of type DbSet&lt;TEntity&gt; and are used to query and save instances of the corresponding entity type. Each property represents a table in the database and provides a way to access the rows in that table.</w:t>
      </w:r>
    </w:p>
    <w:p>
      <w:pPr>
        <w:numPr>
          <w:ilvl w:val="0"/>
          <w:numId w:val="12"/>
        </w:numPr>
        <w:spacing w:before="0" w:after="4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Entity classes: </w:t>
      </w:r>
      <w:r>
        <w:rPr>
          <w:rFonts w:ascii="Calibri" w:hAnsi="Calibri" w:cs="Calibri" w:eastAsia="Calibri"/>
          <w:color w:val="auto"/>
          <w:spacing w:val="0"/>
          <w:position w:val="0"/>
          <w:sz w:val="22"/>
          <w:shd w:fill="auto" w:val="clear"/>
        </w:rPr>
        <w:t xml:space="preserve">The file also contains several classes that represent the entities in the database. These classes are decorated with the Table attribute to specify the name of the table in the database. Each class defines properties for the columns in the corresponding table.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