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FA4ED" w14:textId="77777777" w:rsidR="00F96648" w:rsidRPr="00516F0F" w:rsidRDefault="00000000" w:rsidP="00AF7DD2">
      <w:pPr>
        <w:pStyle w:val="Heading1"/>
        <w:jc w:val="center"/>
        <w:rPr>
          <w:sz w:val="52"/>
          <w:szCs w:val="52"/>
        </w:rPr>
      </w:pPr>
      <w:r w:rsidRPr="00516F0F">
        <w:rPr>
          <w:sz w:val="52"/>
          <w:szCs w:val="52"/>
        </w:rPr>
        <w:t>Apple Inc. CDP Climate Disclosure Analysis (2021-2025)</w:t>
      </w:r>
    </w:p>
    <w:p w14:paraId="51B1DA45" w14:textId="15A95566" w:rsidR="00AF7DD2" w:rsidRDefault="00AF7DD2" w:rsidP="00AF7DD2">
      <w:pPr>
        <w:pStyle w:val="BodyText"/>
      </w:pPr>
      <w:r>
        <w:t>By – Shreyit Sinha (</w:t>
      </w:r>
      <w:r w:rsidRPr="00AF7DD2">
        <w:rPr>
          <w:i/>
          <w:iCs/>
          <w:color w:val="0369A3" w:themeColor="accent2"/>
        </w:rPr>
        <w:t>M2024BSASS027</w:t>
      </w:r>
      <w:r>
        <w:t>)</w:t>
      </w:r>
    </w:p>
    <w:p w14:paraId="37A4D7E0" w14:textId="5B605B3C" w:rsidR="00AF7DD2" w:rsidRDefault="00AF7DD2" w:rsidP="00AF7DD2">
      <w:pPr>
        <w:pStyle w:val="BodyText"/>
      </w:pPr>
      <w:r>
        <w:t xml:space="preserve">GitHub Repository - </w:t>
      </w:r>
      <w:hyperlink r:id="rId8" w:history="1">
        <w:r w:rsidRPr="00AF7DD2">
          <w:rPr>
            <w:rStyle w:val="Hyperlink"/>
          </w:rPr>
          <w:t>https://github.com/Shreyit/cdp_analysis</w:t>
        </w:r>
      </w:hyperlink>
    </w:p>
    <w:p w14:paraId="7DADB028" w14:textId="5AA1938B" w:rsidR="00516F0F" w:rsidRPr="00AF7DD2" w:rsidRDefault="00516F0F" w:rsidP="00516F0F">
      <w:pPr>
        <w:pStyle w:val="HorizontalLine"/>
      </w:pPr>
    </w:p>
    <w:p w14:paraId="0486D3F7"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Executive Summary</w:t>
      </w:r>
    </w:p>
    <w:p w14:paraId="437E52F8" w14:textId="5DB0CAAA"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This report analy</w:t>
      </w:r>
      <w:r w:rsidR="00AF7DD2">
        <w:rPr>
          <w:rFonts w:ascii="Times New Roman" w:hAnsi="Times New Roman" w:cs="Times New Roman"/>
        </w:rPr>
        <w:t>s</w:t>
      </w:r>
      <w:r w:rsidRPr="00AF7DD2">
        <w:rPr>
          <w:rFonts w:ascii="Times New Roman" w:hAnsi="Times New Roman" w:cs="Times New Roman"/>
        </w:rPr>
        <w:t>es Apple's CDP Climate Change responses from 2021 to 2025 using the consolidated dataset (</w:t>
      </w:r>
      <w:hyperlink r:id="rId9" w:history="1">
        <w:r w:rsidR="00F96648" w:rsidRPr="00AF7DD2">
          <w:rPr>
            <w:rStyle w:val="Hyperlink"/>
            <w:rFonts w:ascii="Times New Roman" w:hAnsi="Times New Roman" w:cs="Times New Roman"/>
          </w:rPr>
          <w:t>Apple_Responses.xlsx</w:t>
        </w:r>
      </w:hyperlink>
      <w:r w:rsidRPr="00AF7DD2">
        <w:rPr>
          <w:rFonts w:ascii="Times New Roman" w:hAnsi="Times New Roman" w:cs="Times New Roman"/>
        </w:rPr>
        <w:t xml:space="preserve">) containing </w:t>
      </w:r>
      <w:r w:rsidR="00A96524" w:rsidRPr="00A96524">
        <w:rPr>
          <w:rFonts w:ascii="Times New Roman" w:hAnsi="Times New Roman" w:cs="Times New Roman"/>
          <w:b/>
          <w:bCs/>
        </w:rPr>
        <w:t>6586</w:t>
      </w:r>
      <w:r w:rsidR="00A96524">
        <w:rPr>
          <w:rFonts w:ascii="Times New Roman" w:hAnsi="Times New Roman" w:cs="Times New Roman"/>
        </w:rPr>
        <w:t xml:space="preserve"> </w:t>
      </w:r>
      <w:r w:rsidRPr="00AF7DD2">
        <w:rPr>
          <w:rStyle w:val="Strong"/>
          <w:rFonts w:ascii="Times New Roman" w:hAnsi="Times New Roman" w:cs="Times New Roman"/>
        </w:rPr>
        <w:t>records</w:t>
      </w:r>
      <w:r w:rsidRPr="00AF7DD2">
        <w:rPr>
          <w:rFonts w:ascii="Times New Roman" w:hAnsi="Times New Roman" w:cs="Times New Roman"/>
        </w:rPr>
        <w:t xml:space="preserve"> across two reporting schemas (2021–2023: C0–C11 and 2024–2025: C1–C13). The objective is to identify major quantitative trends and qualitative disclosures that are significant from an ESG, sustainability, and corporate reporting perspective.</w:t>
      </w:r>
    </w:p>
    <w:p w14:paraId="6041BC53"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analysis focuses on seven high-impact variables that are frequently discussed in sustainability research, financial media, and public forums. These variables were selected because they directly influence Apple's carbon neutrality narrative, supply chain sustainability claims, and greenhouse gas accounting practices.</w:t>
      </w:r>
    </w:p>
    <w:p w14:paraId="54E299E3"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findings reveal that while Apple demonstrates substantial reductions in reported Scope 3 emissions and maintains near-zero market-based Scope 2 emissions, several reporting patterns warrant closer examination. These include unusually constant Scope 1 emissions, increasing location-based electricity emissions despite renewable energy claims, significant reductions in purchased goods emissions that may be influenced by methodological revisions, and the use of market-based accounting to present exceptionally low emissions intensity figures.</w:t>
      </w:r>
    </w:p>
    <w:p w14:paraId="0948599F" w14:textId="32ED429E"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Overall, Apple's disclosures align with CDP reporting standards; however, several indicators suggest that interpretation of these figures requires understanding of reporting boundaries, accounting methodologies, and renewable electricity procurement practices rather than relying solely on headline emission values.</w:t>
      </w:r>
    </w:p>
    <w:p w14:paraId="37A2E41B" w14:textId="77777777" w:rsidR="00F96648" w:rsidRPr="00AF7DD2" w:rsidRDefault="00000000" w:rsidP="00AF7DD2">
      <w:pPr>
        <w:pStyle w:val="Heading1"/>
      </w:pPr>
      <w:r w:rsidRPr="00AF7DD2">
        <w:t>1. Introduction</w:t>
      </w:r>
    </w:p>
    <w:p w14:paraId="7F15B440"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Climate disclosure has become an essential component of Environmental, Social, and Governance (ESG) reporting. Through the Carbon Disclosure Project (CDP), companies voluntarily disclose climate-related risks, greenhouse gas emissions, reduction strategies, and sustainability initiatives.</w:t>
      </w:r>
    </w:p>
    <w:p w14:paraId="7EB0F049"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has consistently positioned itself as a leader in corporate sustainability, publicly committing to becoming carbon neutral across its entire value chain by 2030. Evaluating these claims requires analysis beyond headline emissions, examining the underlying reporting methodology, emissions accounting practices, supplier engagement strategies, and year-over-year disclosure trends.</w:t>
      </w:r>
    </w:p>
    <w:p w14:paraId="28FEFD52" w14:textId="6CC667EA"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This report analy</w:t>
      </w:r>
      <w:r w:rsidR="00AF7DD2">
        <w:rPr>
          <w:rFonts w:ascii="Times New Roman" w:hAnsi="Times New Roman" w:cs="Times New Roman"/>
        </w:rPr>
        <w:t>s</w:t>
      </w:r>
      <w:r w:rsidRPr="00AF7DD2">
        <w:rPr>
          <w:rFonts w:ascii="Times New Roman" w:hAnsi="Times New Roman" w:cs="Times New Roman"/>
        </w:rPr>
        <w:t>es Apple's CDP disclosures over five reporting years (2021–2025), identifying both numerical trends and qualitative reporting practices that influence the interpretation of Apple's sustainability performance.</w:t>
      </w:r>
    </w:p>
    <w:p w14:paraId="5948F686" w14:textId="77777777" w:rsidR="00F96648" w:rsidRPr="00AF7DD2" w:rsidRDefault="00000000" w:rsidP="00AF7DD2">
      <w:pPr>
        <w:pStyle w:val="Heading1"/>
      </w:pPr>
      <w:r w:rsidRPr="00AF7DD2">
        <w:lastRenderedPageBreak/>
        <w:t>2. Dataset Overview</w:t>
      </w:r>
    </w:p>
    <w:p w14:paraId="5F26544F"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 xml:space="preserve">The dataset consists of approximately </w:t>
      </w:r>
      <w:r w:rsidRPr="00AF7DD2">
        <w:rPr>
          <w:rStyle w:val="Strong"/>
          <w:rFonts w:ascii="Times New Roman" w:hAnsi="Times New Roman" w:cs="Times New Roman"/>
        </w:rPr>
        <w:t>5,860 records</w:t>
      </w:r>
      <w:r w:rsidRPr="00AF7DD2">
        <w:rPr>
          <w:rFonts w:ascii="Times New Roman" w:hAnsi="Times New Roman" w:cs="Times New Roman"/>
        </w:rPr>
        <w:t xml:space="preserve"> collected from Apple's publicly available CDP Climate Change questionnaires.</w:t>
      </w:r>
    </w:p>
    <w:p w14:paraId="5C7D4E89" w14:textId="77777777" w:rsidR="00F96648" w:rsidRPr="00AF7DD2" w:rsidRDefault="00000000" w:rsidP="00AF7DD2">
      <w:pPr>
        <w:pStyle w:val="Heading3"/>
        <w:jc w:val="both"/>
        <w:rPr>
          <w:rFonts w:ascii="Times New Roman" w:hAnsi="Times New Roman" w:cs="Times New Roman"/>
        </w:rPr>
      </w:pPr>
      <w:r w:rsidRPr="00AF7DD2">
        <w:rPr>
          <w:rFonts w:ascii="Times New Roman" w:hAnsi="Times New Roman" w:cs="Times New Roman"/>
        </w:rPr>
        <w:t>Reporting Structure</w:t>
      </w:r>
    </w:p>
    <w:tbl>
      <w:tblPr>
        <w:tblW w:w="5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793"/>
        <w:gridCol w:w="3208"/>
      </w:tblGrid>
      <w:tr w:rsidR="00F96648" w:rsidRPr="00AF7DD2" w14:paraId="33D9C8A8" w14:textId="77777777" w:rsidTr="00AF7DD2">
        <w:trPr>
          <w:tblHeader/>
        </w:trPr>
        <w:tc>
          <w:tcPr>
            <w:tcW w:w="1793" w:type="dxa"/>
            <w:vAlign w:val="center"/>
          </w:tcPr>
          <w:p w14:paraId="4E3AD6EE"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Reporting Years</w:t>
            </w:r>
          </w:p>
        </w:tc>
        <w:tc>
          <w:tcPr>
            <w:tcW w:w="3208" w:type="dxa"/>
            <w:vAlign w:val="center"/>
          </w:tcPr>
          <w:p w14:paraId="42543749"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Schema</w:t>
            </w:r>
          </w:p>
        </w:tc>
      </w:tr>
      <w:tr w:rsidR="00F96648" w:rsidRPr="00AF7DD2" w14:paraId="078FBF53" w14:textId="77777777" w:rsidTr="00AF7DD2">
        <w:tc>
          <w:tcPr>
            <w:tcW w:w="1793" w:type="dxa"/>
            <w:vAlign w:val="center"/>
          </w:tcPr>
          <w:p w14:paraId="44F3A667"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2021–2023</w:t>
            </w:r>
          </w:p>
        </w:tc>
        <w:tc>
          <w:tcPr>
            <w:tcW w:w="3208" w:type="dxa"/>
            <w:vAlign w:val="center"/>
          </w:tcPr>
          <w:p w14:paraId="5243A14C" w14:textId="7803128C" w:rsidR="00F96648" w:rsidRPr="00AF7DD2" w:rsidRDefault="00A96524" w:rsidP="00AF7DD2">
            <w:pPr>
              <w:pStyle w:val="TableContents"/>
              <w:jc w:val="both"/>
              <w:rPr>
                <w:rFonts w:ascii="Times New Roman" w:hAnsi="Times New Roman" w:cs="Times New Roman"/>
              </w:rPr>
            </w:pPr>
            <w:r>
              <w:rPr>
                <w:rFonts w:ascii="Times New Roman" w:hAnsi="Times New Roman" w:cs="Times New Roman"/>
              </w:rPr>
              <w:t>Old</w:t>
            </w:r>
            <w:r w:rsidR="00000000" w:rsidRPr="00AF7DD2">
              <w:rPr>
                <w:rFonts w:ascii="Times New Roman" w:hAnsi="Times New Roman" w:cs="Times New Roman"/>
              </w:rPr>
              <w:t xml:space="preserve"> CDP format (C0–C11)</w:t>
            </w:r>
          </w:p>
        </w:tc>
      </w:tr>
      <w:tr w:rsidR="00F96648" w:rsidRPr="00AF7DD2" w14:paraId="2CCF1507" w14:textId="77777777" w:rsidTr="00AF7DD2">
        <w:tc>
          <w:tcPr>
            <w:tcW w:w="1793" w:type="dxa"/>
            <w:vAlign w:val="center"/>
          </w:tcPr>
          <w:p w14:paraId="30AB770B"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2024–2025</w:t>
            </w:r>
          </w:p>
        </w:tc>
        <w:tc>
          <w:tcPr>
            <w:tcW w:w="3208" w:type="dxa"/>
            <w:vAlign w:val="center"/>
          </w:tcPr>
          <w:p w14:paraId="3D02BB0F"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Updated CDP format (C1–C13)</w:t>
            </w:r>
          </w:p>
        </w:tc>
      </w:tr>
    </w:tbl>
    <w:p w14:paraId="24B3BED3" w14:textId="1EAC5F53" w:rsidR="00516F0F"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Although the questionnaire structure changed in 2024, corresponding variables were mapped across years to enable longitudinal analysis.</w:t>
      </w:r>
    </w:p>
    <w:p w14:paraId="725D7783" w14:textId="77777777" w:rsidR="00F96648" w:rsidRPr="00AF7DD2" w:rsidRDefault="00000000" w:rsidP="00AF7DD2">
      <w:pPr>
        <w:pStyle w:val="Heading1"/>
      </w:pPr>
      <w:r w:rsidRPr="00AF7DD2">
        <w:t>3. Quantitative Analysis</w:t>
      </w:r>
    </w:p>
    <w:p w14:paraId="06BEDDD8"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3.1 Scope 1 Greenhouse Gas Emissions</w:t>
      </w:r>
    </w:p>
    <w:p w14:paraId="635167AE"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Scope 1 emissions represent direct greenhouse gas emissions from company-owned or controlled operations, including facilities, laboratories, and vehicle fleets.</w:t>
      </w:r>
    </w:p>
    <w:p w14:paraId="4503719A"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reported:</w:t>
      </w:r>
    </w:p>
    <w:tbl>
      <w:tblPr>
        <w:tblW w:w="3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601"/>
        <w:gridCol w:w="2853"/>
      </w:tblGrid>
      <w:tr w:rsidR="00F96648" w:rsidRPr="00AF7DD2" w14:paraId="5F65F0FF" w14:textId="77777777" w:rsidTr="00AF7DD2">
        <w:trPr>
          <w:tblHeader/>
        </w:trPr>
        <w:tc>
          <w:tcPr>
            <w:tcW w:w="601" w:type="dxa"/>
            <w:vAlign w:val="center"/>
          </w:tcPr>
          <w:p w14:paraId="3029F04C"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Year</w:t>
            </w:r>
          </w:p>
        </w:tc>
        <w:tc>
          <w:tcPr>
            <w:tcW w:w="2853" w:type="dxa"/>
            <w:vAlign w:val="center"/>
          </w:tcPr>
          <w:p w14:paraId="53F454CC"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Scope 1 Emissions (</w:t>
            </w:r>
            <w:proofErr w:type="spellStart"/>
            <w:r w:rsidRPr="00AF7DD2">
              <w:rPr>
                <w:rFonts w:ascii="Times New Roman" w:hAnsi="Times New Roman" w:cs="Times New Roman"/>
              </w:rPr>
              <w:t>tCO₂e</w:t>
            </w:r>
            <w:proofErr w:type="spellEnd"/>
            <w:r w:rsidRPr="00AF7DD2">
              <w:rPr>
                <w:rFonts w:ascii="Times New Roman" w:hAnsi="Times New Roman" w:cs="Times New Roman"/>
              </w:rPr>
              <w:t>)</w:t>
            </w:r>
          </w:p>
        </w:tc>
      </w:tr>
      <w:tr w:rsidR="00F96648" w:rsidRPr="00AF7DD2" w14:paraId="2E162630" w14:textId="77777777" w:rsidTr="00AF7DD2">
        <w:tc>
          <w:tcPr>
            <w:tcW w:w="601" w:type="dxa"/>
            <w:vAlign w:val="center"/>
          </w:tcPr>
          <w:p w14:paraId="64DB4D23"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2021</w:t>
            </w:r>
          </w:p>
        </w:tc>
        <w:tc>
          <w:tcPr>
            <w:tcW w:w="2853" w:type="dxa"/>
            <w:vAlign w:val="center"/>
          </w:tcPr>
          <w:p w14:paraId="4C2B2423"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55,300</w:t>
            </w:r>
          </w:p>
        </w:tc>
      </w:tr>
      <w:tr w:rsidR="00F96648" w:rsidRPr="00AF7DD2" w14:paraId="581E6923" w14:textId="77777777" w:rsidTr="00AF7DD2">
        <w:tc>
          <w:tcPr>
            <w:tcW w:w="601" w:type="dxa"/>
            <w:vAlign w:val="center"/>
          </w:tcPr>
          <w:p w14:paraId="22C3C041"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2022</w:t>
            </w:r>
          </w:p>
        </w:tc>
        <w:tc>
          <w:tcPr>
            <w:tcW w:w="2853" w:type="dxa"/>
            <w:vAlign w:val="center"/>
          </w:tcPr>
          <w:p w14:paraId="4AB335A9"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55,200</w:t>
            </w:r>
          </w:p>
        </w:tc>
      </w:tr>
      <w:tr w:rsidR="00F96648" w:rsidRPr="00AF7DD2" w14:paraId="2012F4FC" w14:textId="77777777" w:rsidTr="00AF7DD2">
        <w:tc>
          <w:tcPr>
            <w:tcW w:w="601" w:type="dxa"/>
            <w:vAlign w:val="center"/>
          </w:tcPr>
          <w:p w14:paraId="21B44E44"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2023</w:t>
            </w:r>
          </w:p>
        </w:tc>
        <w:tc>
          <w:tcPr>
            <w:tcW w:w="2853" w:type="dxa"/>
            <w:vAlign w:val="center"/>
          </w:tcPr>
          <w:p w14:paraId="1D2B456C"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55,200</w:t>
            </w:r>
          </w:p>
        </w:tc>
      </w:tr>
      <w:tr w:rsidR="00F96648" w:rsidRPr="00AF7DD2" w14:paraId="6405819A" w14:textId="77777777" w:rsidTr="00AF7DD2">
        <w:tc>
          <w:tcPr>
            <w:tcW w:w="601" w:type="dxa"/>
            <w:vAlign w:val="center"/>
          </w:tcPr>
          <w:p w14:paraId="124D3C98"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2024</w:t>
            </w:r>
          </w:p>
        </w:tc>
        <w:tc>
          <w:tcPr>
            <w:tcW w:w="2853" w:type="dxa"/>
            <w:vAlign w:val="center"/>
          </w:tcPr>
          <w:p w14:paraId="381A4CEA"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55,200</w:t>
            </w:r>
          </w:p>
        </w:tc>
      </w:tr>
      <w:tr w:rsidR="00F96648" w:rsidRPr="00AF7DD2" w14:paraId="059F77A6" w14:textId="77777777" w:rsidTr="00AF7DD2">
        <w:tc>
          <w:tcPr>
            <w:tcW w:w="601" w:type="dxa"/>
            <w:vAlign w:val="center"/>
          </w:tcPr>
          <w:p w14:paraId="4249CD8F"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2025</w:t>
            </w:r>
          </w:p>
        </w:tc>
        <w:tc>
          <w:tcPr>
            <w:tcW w:w="2853" w:type="dxa"/>
            <w:vAlign w:val="center"/>
          </w:tcPr>
          <w:p w14:paraId="245FADE9"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55,200</w:t>
            </w:r>
          </w:p>
        </w:tc>
      </w:tr>
    </w:tbl>
    <w:p w14:paraId="51BDD107"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 xml:space="preserve">The most notable observation is the remarkable stability of reported emissions. From 2022 through 2025, Apple reported </w:t>
      </w:r>
      <w:r w:rsidRPr="006A728C">
        <w:rPr>
          <w:rStyle w:val="Strong"/>
          <w:rFonts w:ascii="Times New Roman" w:hAnsi="Times New Roman" w:cs="Times New Roman"/>
          <w:b w:val="0"/>
          <w:bCs w:val="0"/>
        </w:rPr>
        <w:t>exactly</w:t>
      </w:r>
      <w:r w:rsidRPr="00AF7DD2">
        <w:rPr>
          <w:rStyle w:val="Strong"/>
          <w:rFonts w:ascii="Times New Roman" w:hAnsi="Times New Roman" w:cs="Times New Roman"/>
        </w:rPr>
        <w:t xml:space="preserve"> 55,200 </w:t>
      </w:r>
      <w:proofErr w:type="spellStart"/>
      <w:r w:rsidRPr="00AF7DD2">
        <w:rPr>
          <w:rStyle w:val="Strong"/>
          <w:rFonts w:ascii="Times New Roman" w:hAnsi="Times New Roman" w:cs="Times New Roman"/>
        </w:rPr>
        <w:t>tCO₂e</w:t>
      </w:r>
      <w:proofErr w:type="spellEnd"/>
      <w:r w:rsidRPr="00AF7DD2">
        <w:rPr>
          <w:rFonts w:ascii="Times New Roman" w:hAnsi="Times New Roman" w:cs="Times New Roman"/>
        </w:rPr>
        <w:t xml:space="preserve"> each year.</w:t>
      </w:r>
    </w:p>
    <w:p w14:paraId="7A08DC72"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From an operational perspective, maintaining identical direct emissions across four consecutive reporting years is highly unusual because organizations normally experience fluctuations resulting from:</w:t>
      </w:r>
    </w:p>
    <w:p w14:paraId="40FDF8A0" w14:textId="77777777" w:rsidR="00F96648" w:rsidRPr="00AF7DD2" w:rsidRDefault="00000000" w:rsidP="00AF7DD2">
      <w:pPr>
        <w:pStyle w:val="BodyText"/>
        <w:numPr>
          <w:ilvl w:val="0"/>
          <w:numId w:val="2"/>
        </w:numPr>
        <w:tabs>
          <w:tab w:val="left" w:pos="709"/>
        </w:tabs>
        <w:jc w:val="both"/>
        <w:rPr>
          <w:rFonts w:ascii="Times New Roman" w:hAnsi="Times New Roman" w:cs="Times New Roman"/>
        </w:rPr>
      </w:pPr>
      <w:r w:rsidRPr="00AF7DD2">
        <w:rPr>
          <w:rFonts w:ascii="Times New Roman" w:hAnsi="Times New Roman" w:cs="Times New Roman"/>
        </w:rPr>
        <w:t>operational growth,</w:t>
      </w:r>
    </w:p>
    <w:p w14:paraId="6A37EBA9" w14:textId="77777777" w:rsidR="00F96648" w:rsidRPr="00AF7DD2" w:rsidRDefault="00000000" w:rsidP="00AF7DD2">
      <w:pPr>
        <w:pStyle w:val="BodyText"/>
        <w:numPr>
          <w:ilvl w:val="0"/>
          <w:numId w:val="2"/>
        </w:numPr>
        <w:tabs>
          <w:tab w:val="left" w:pos="709"/>
        </w:tabs>
        <w:jc w:val="both"/>
        <w:rPr>
          <w:rFonts w:ascii="Times New Roman" w:hAnsi="Times New Roman" w:cs="Times New Roman"/>
        </w:rPr>
      </w:pPr>
      <w:r w:rsidRPr="00AF7DD2">
        <w:rPr>
          <w:rFonts w:ascii="Times New Roman" w:hAnsi="Times New Roman" w:cs="Times New Roman"/>
        </w:rPr>
        <w:t>facility expansion,</w:t>
      </w:r>
    </w:p>
    <w:p w14:paraId="7E58B4EB" w14:textId="77777777" w:rsidR="00F96648" w:rsidRPr="00AF7DD2" w:rsidRDefault="00000000" w:rsidP="00AF7DD2">
      <w:pPr>
        <w:pStyle w:val="BodyText"/>
        <w:numPr>
          <w:ilvl w:val="0"/>
          <w:numId w:val="2"/>
        </w:numPr>
        <w:tabs>
          <w:tab w:val="left" w:pos="709"/>
        </w:tabs>
        <w:jc w:val="both"/>
        <w:rPr>
          <w:rFonts w:ascii="Times New Roman" w:hAnsi="Times New Roman" w:cs="Times New Roman"/>
        </w:rPr>
      </w:pPr>
      <w:r w:rsidRPr="00AF7DD2">
        <w:rPr>
          <w:rFonts w:ascii="Times New Roman" w:hAnsi="Times New Roman" w:cs="Times New Roman"/>
        </w:rPr>
        <w:t>weather conditions,</w:t>
      </w:r>
    </w:p>
    <w:p w14:paraId="2C21853F" w14:textId="77777777" w:rsidR="00F96648" w:rsidRPr="00AF7DD2" w:rsidRDefault="00000000" w:rsidP="00AF7DD2">
      <w:pPr>
        <w:pStyle w:val="BodyText"/>
        <w:numPr>
          <w:ilvl w:val="0"/>
          <w:numId w:val="2"/>
        </w:numPr>
        <w:tabs>
          <w:tab w:val="left" w:pos="709"/>
        </w:tabs>
        <w:jc w:val="both"/>
        <w:rPr>
          <w:rFonts w:ascii="Times New Roman" w:hAnsi="Times New Roman" w:cs="Times New Roman"/>
        </w:rPr>
      </w:pPr>
      <w:r w:rsidRPr="00AF7DD2">
        <w:rPr>
          <w:rFonts w:ascii="Times New Roman" w:hAnsi="Times New Roman" w:cs="Times New Roman"/>
        </w:rPr>
        <w:t>fuel consumption,</w:t>
      </w:r>
    </w:p>
    <w:p w14:paraId="1D018EB1" w14:textId="77777777" w:rsidR="00F96648" w:rsidRPr="00AF7DD2" w:rsidRDefault="00000000" w:rsidP="00AF7DD2">
      <w:pPr>
        <w:pStyle w:val="BodyText"/>
        <w:numPr>
          <w:ilvl w:val="0"/>
          <w:numId w:val="2"/>
        </w:numPr>
        <w:tabs>
          <w:tab w:val="left" w:pos="709"/>
        </w:tabs>
        <w:jc w:val="both"/>
        <w:rPr>
          <w:rFonts w:ascii="Times New Roman" w:hAnsi="Times New Roman" w:cs="Times New Roman"/>
        </w:rPr>
      </w:pPr>
      <w:r w:rsidRPr="00AF7DD2">
        <w:rPr>
          <w:rFonts w:ascii="Times New Roman" w:hAnsi="Times New Roman" w:cs="Times New Roman"/>
        </w:rPr>
        <w:t>equipment replacement,</w:t>
      </w:r>
    </w:p>
    <w:p w14:paraId="5FCBD6BE" w14:textId="77777777" w:rsidR="00F96648" w:rsidRPr="00AF7DD2" w:rsidRDefault="00000000" w:rsidP="00AF7DD2">
      <w:pPr>
        <w:pStyle w:val="BodyText"/>
        <w:numPr>
          <w:ilvl w:val="0"/>
          <w:numId w:val="2"/>
        </w:numPr>
        <w:tabs>
          <w:tab w:val="left" w:pos="709"/>
        </w:tabs>
        <w:jc w:val="both"/>
        <w:rPr>
          <w:rFonts w:ascii="Times New Roman" w:hAnsi="Times New Roman" w:cs="Times New Roman"/>
        </w:rPr>
      </w:pPr>
      <w:r w:rsidRPr="00AF7DD2">
        <w:rPr>
          <w:rFonts w:ascii="Times New Roman" w:hAnsi="Times New Roman" w:cs="Times New Roman"/>
        </w:rPr>
        <w:t>efficiency improvements.</w:t>
      </w:r>
    </w:p>
    <w:p w14:paraId="29FA2AF0"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identical values may indicate one of the following:</w:t>
      </w:r>
    </w:p>
    <w:p w14:paraId="7D4E12F3" w14:textId="77777777" w:rsidR="00F96648" w:rsidRPr="00AF7DD2" w:rsidRDefault="00000000" w:rsidP="00AF7DD2">
      <w:pPr>
        <w:pStyle w:val="BodyText"/>
        <w:numPr>
          <w:ilvl w:val="0"/>
          <w:numId w:val="3"/>
        </w:numPr>
        <w:tabs>
          <w:tab w:val="left" w:pos="709"/>
        </w:tabs>
        <w:jc w:val="both"/>
        <w:rPr>
          <w:rFonts w:ascii="Times New Roman" w:hAnsi="Times New Roman" w:cs="Times New Roman"/>
        </w:rPr>
      </w:pPr>
      <w:r w:rsidRPr="00AF7DD2">
        <w:rPr>
          <w:rFonts w:ascii="Times New Roman" w:hAnsi="Times New Roman" w:cs="Times New Roman"/>
        </w:rPr>
        <w:t>unchanged estimation methodology,</w:t>
      </w:r>
    </w:p>
    <w:p w14:paraId="3739E558" w14:textId="77777777" w:rsidR="00F96648" w:rsidRPr="00AF7DD2" w:rsidRDefault="00000000" w:rsidP="00AF7DD2">
      <w:pPr>
        <w:pStyle w:val="BodyText"/>
        <w:numPr>
          <w:ilvl w:val="0"/>
          <w:numId w:val="3"/>
        </w:numPr>
        <w:tabs>
          <w:tab w:val="left" w:pos="709"/>
        </w:tabs>
        <w:jc w:val="both"/>
        <w:rPr>
          <w:rFonts w:ascii="Times New Roman" w:hAnsi="Times New Roman" w:cs="Times New Roman"/>
        </w:rPr>
      </w:pPr>
      <w:r w:rsidRPr="00AF7DD2">
        <w:rPr>
          <w:rFonts w:ascii="Times New Roman" w:hAnsi="Times New Roman" w:cs="Times New Roman"/>
        </w:rPr>
        <w:t>rounding practices,</w:t>
      </w:r>
    </w:p>
    <w:p w14:paraId="43203E8E" w14:textId="77777777" w:rsidR="00F96648" w:rsidRPr="00AF7DD2" w:rsidRDefault="00000000" w:rsidP="00AF7DD2">
      <w:pPr>
        <w:pStyle w:val="BodyText"/>
        <w:numPr>
          <w:ilvl w:val="0"/>
          <w:numId w:val="3"/>
        </w:numPr>
        <w:tabs>
          <w:tab w:val="left" w:pos="709"/>
        </w:tabs>
        <w:jc w:val="both"/>
        <w:rPr>
          <w:rFonts w:ascii="Times New Roman" w:hAnsi="Times New Roman" w:cs="Times New Roman"/>
        </w:rPr>
      </w:pPr>
      <w:r w:rsidRPr="00AF7DD2">
        <w:rPr>
          <w:rFonts w:ascii="Times New Roman" w:hAnsi="Times New Roman" w:cs="Times New Roman"/>
        </w:rPr>
        <w:t>reporting thresholds,</w:t>
      </w:r>
    </w:p>
    <w:p w14:paraId="470CA268" w14:textId="77777777" w:rsidR="00F96648" w:rsidRPr="00AF7DD2" w:rsidRDefault="00000000" w:rsidP="00AF7DD2">
      <w:pPr>
        <w:pStyle w:val="BodyText"/>
        <w:numPr>
          <w:ilvl w:val="0"/>
          <w:numId w:val="3"/>
        </w:numPr>
        <w:tabs>
          <w:tab w:val="left" w:pos="709"/>
        </w:tabs>
        <w:jc w:val="both"/>
        <w:rPr>
          <w:rFonts w:ascii="Times New Roman" w:hAnsi="Times New Roman" w:cs="Times New Roman"/>
        </w:rPr>
      </w:pPr>
      <w:r w:rsidRPr="00AF7DD2">
        <w:rPr>
          <w:rFonts w:ascii="Times New Roman" w:hAnsi="Times New Roman" w:cs="Times New Roman"/>
        </w:rPr>
        <w:lastRenderedPageBreak/>
        <w:t>carry-forward estimates,</w:t>
      </w:r>
    </w:p>
    <w:p w14:paraId="4ABF3AEF" w14:textId="77777777" w:rsidR="00F96648" w:rsidRPr="00AF7DD2" w:rsidRDefault="00000000" w:rsidP="00AF7DD2">
      <w:pPr>
        <w:pStyle w:val="BodyText"/>
        <w:numPr>
          <w:ilvl w:val="0"/>
          <w:numId w:val="3"/>
        </w:numPr>
        <w:tabs>
          <w:tab w:val="left" w:pos="709"/>
        </w:tabs>
        <w:jc w:val="both"/>
        <w:rPr>
          <w:rFonts w:ascii="Times New Roman" w:hAnsi="Times New Roman" w:cs="Times New Roman"/>
        </w:rPr>
      </w:pPr>
      <w:r w:rsidRPr="00AF7DD2">
        <w:rPr>
          <w:rFonts w:ascii="Times New Roman" w:hAnsi="Times New Roman" w:cs="Times New Roman"/>
        </w:rPr>
        <w:t>or possible replication of previously reported values.</w:t>
      </w:r>
    </w:p>
    <w:p w14:paraId="2544C3C9"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Although no evidence suggests incorrect reporting, this pattern deserves further verification against methodological notes included within the CDP disclosures.</w:t>
      </w:r>
    </w:p>
    <w:p w14:paraId="590D7BF6" w14:textId="4CDD5FEC" w:rsidR="00F96648" w:rsidRDefault="00000000" w:rsidP="00AF7DD2">
      <w:pPr>
        <w:pStyle w:val="BodyText"/>
        <w:jc w:val="center"/>
        <w:rPr>
          <w:rStyle w:val="Emphasis"/>
          <w:rFonts w:ascii="Times New Roman" w:hAnsi="Times New Roman" w:cs="Times New Roman"/>
        </w:rPr>
      </w:pPr>
      <w:r w:rsidRPr="00AF7DD2">
        <w:rPr>
          <w:rStyle w:val="Strong"/>
          <w:rFonts w:ascii="Times New Roman" w:hAnsi="Times New Roman" w:cs="Times New Roman"/>
        </w:rPr>
        <w:t>Figure 1.</w:t>
      </w:r>
      <w:r w:rsidRPr="00AF7DD2">
        <w:rPr>
          <w:rFonts w:ascii="Times New Roman" w:hAnsi="Times New Roman" w:cs="Times New Roman"/>
        </w:rPr>
        <w:t xml:space="preserve"> </w:t>
      </w:r>
      <w:r w:rsidRPr="00AF7DD2">
        <w:rPr>
          <w:rStyle w:val="Emphasis"/>
          <w:rFonts w:ascii="Times New Roman" w:hAnsi="Times New Roman" w:cs="Times New Roman"/>
        </w:rPr>
        <w:t>Trend of Apple's Scope 1 Emissions (2021–2025)</w:t>
      </w:r>
    </w:p>
    <w:p w14:paraId="7F204225" w14:textId="51C06534" w:rsidR="00AF7DD2" w:rsidRPr="00AF7DD2" w:rsidRDefault="00AF7DD2" w:rsidP="00AF7DD2">
      <w:pPr>
        <w:pStyle w:val="BodyText"/>
        <w:jc w:val="center"/>
        <w:rPr>
          <w:rFonts w:ascii="Times New Roman" w:hAnsi="Times New Roman" w:cs="Times New Roman"/>
        </w:rPr>
      </w:pPr>
      <w:r w:rsidRPr="00AF7DD2">
        <w:rPr>
          <w:rFonts w:ascii="Times New Roman" w:hAnsi="Times New Roman" w:cs="Times New Roman"/>
          <w:noProof/>
        </w:rPr>
        <w:drawing>
          <wp:inline distT="0" distB="0" distL="0" distR="0" wp14:anchorId="5CF76204" wp14:editId="6EF7269C">
            <wp:extent cx="5252936" cy="2966038"/>
            <wp:effectExtent l="0" t="0" r="5080" b="6350"/>
            <wp:docPr id="185555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7106" name=""/>
                    <pic:cNvPicPr/>
                  </pic:nvPicPr>
                  <pic:blipFill>
                    <a:blip r:embed="rId10"/>
                    <a:stretch>
                      <a:fillRect/>
                    </a:stretch>
                  </pic:blipFill>
                  <pic:spPr>
                    <a:xfrm>
                      <a:off x="0" y="0"/>
                      <a:ext cx="5266074" cy="2973456"/>
                    </a:xfrm>
                    <a:prstGeom prst="rect">
                      <a:avLst/>
                    </a:prstGeom>
                  </pic:spPr>
                </pic:pic>
              </a:graphicData>
            </a:graphic>
          </wp:inline>
        </w:drawing>
      </w:r>
    </w:p>
    <w:p w14:paraId="75597E2E"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3.2 Scope 2 Emissions (Location-Based vs Market-Based)</w:t>
      </w:r>
    </w:p>
    <w:p w14:paraId="054AA78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Scope 2 emissions arise from purchased electricity, steam, heating, and cooling.</w:t>
      </w:r>
    </w:p>
    <w:p w14:paraId="1C0A4A80"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reports both internationally accepted accounting methods:</w:t>
      </w:r>
    </w:p>
    <w:p w14:paraId="51D8E385" w14:textId="77777777" w:rsidR="00F96648" w:rsidRPr="00AF7DD2" w:rsidRDefault="00000000" w:rsidP="00AF7DD2">
      <w:pPr>
        <w:pStyle w:val="BodyText"/>
        <w:numPr>
          <w:ilvl w:val="0"/>
          <w:numId w:val="4"/>
        </w:numPr>
        <w:tabs>
          <w:tab w:val="left" w:pos="709"/>
        </w:tabs>
        <w:jc w:val="both"/>
        <w:rPr>
          <w:rFonts w:ascii="Times New Roman" w:hAnsi="Times New Roman" w:cs="Times New Roman"/>
        </w:rPr>
      </w:pPr>
      <w:r w:rsidRPr="00AF7DD2">
        <w:rPr>
          <w:rFonts w:ascii="Times New Roman" w:hAnsi="Times New Roman" w:cs="Times New Roman"/>
        </w:rPr>
        <w:t>Location-based emissions</w:t>
      </w:r>
    </w:p>
    <w:p w14:paraId="089D490D" w14:textId="77777777" w:rsidR="00F96648" w:rsidRPr="00AF7DD2" w:rsidRDefault="00000000" w:rsidP="00AF7DD2">
      <w:pPr>
        <w:pStyle w:val="BodyText"/>
        <w:numPr>
          <w:ilvl w:val="0"/>
          <w:numId w:val="4"/>
        </w:numPr>
        <w:tabs>
          <w:tab w:val="left" w:pos="709"/>
        </w:tabs>
        <w:jc w:val="both"/>
        <w:rPr>
          <w:rFonts w:ascii="Times New Roman" w:hAnsi="Times New Roman" w:cs="Times New Roman"/>
        </w:rPr>
      </w:pPr>
      <w:r w:rsidRPr="00AF7DD2">
        <w:rPr>
          <w:rFonts w:ascii="Times New Roman" w:hAnsi="Times New Roman" w:cs="Times New Roman"/>
        </w:rPr>
        <w:t>Market-based emissions</w:t>
      </w:r>
    </w:p>
    <w:p w14:paraId="15082223" w14:textId="77777777" w:rsidR="00F96648" w:rsidRPr="00AF7DD2" w:rsidRDefault="00000000" w:rsidP="00AF7DD2">
      <w:pPr>
        <w:pStyle w:val="Heading3"/>
        <w:jc w:val="both"/>
        <w:rPr>
          <w:rFonts w:ascii="Times New Roman" w:hAnsi="Times New Roman" w:cs="Times New Roman"/>
        </w:rPr>
      </w:pPr>
      <w:r w:rsidRPr="00AF7DD2">
        <w:rPr>
          <w:rFonts w:ascii="Times New Roman" w:hAnsi="Times New Roman" w:cs="Times New Roman"/>
        </w:rPr>
        <w:t>Location-Based Emissions</w:t>
      </w:r>
    </w:p>
    <w:tbl>
      <w:tblPr>
        <w:tblW w:w="2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988"/>
        <w:gridCol w:w="1559"/>
      </w:tblGrid>
      <w:tr w:rsidR="00F96648" w:rsidRPr="00AF7DD2" w14:paraId="110D0311" w14:textId="77777777" w:rsidTr="00AF7DD2">
        <w:trPr>
          <w:tblHeader/>
        </w:trPr>
        <w:tc>
          <w:tcPr>
            <w:tcW w:w="988" w:type="dxa"/>
            <w:vAlign w:val="center"/>
          </w:tcPr>
          <w:p w14:paraId="741244D8"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Year</w:t>
            </w:r>
          </w:p>
        </w:tc>
        <w:tc>
          <w:tcPr>
            <w:tcW w:w="1559" w:type="dxa"/>
            <w:vAlign w:val="center"/>
          </w:tcPr>
          <w:p w14:paraId="7BE81225" w14:textId="77777777" w:rsidR="00F96648" w:rsidRPr="00AF7DD2" w:rsidRDefault="00000000" w:rsidP="00AF7DD2">
            <w:pPr>
              <w:pStyle w:val="TableHeading"/>
              <w:jc w:val="both"/>
              <w:rPr>
                <w:rFonts w:ascii="Times New Roman" w:hAnsi="Times New Roman" w:cs="Times New Roman"/>
              </w:rPr>
            </w:pPr>
            <w:proofErr w:type="spellStart"/>
            <w:r w:rsidRPr="00AF7DD2">
              <w:rPr>
                <w:rFonts w:ascii="Times New Roman" w:hAnsi="Times New Roman" w:cs="Times New Roman"/>
              </w:rPr>
              <w:t>tCO₂e</w:t>
            </w:r>
            <w:proofErr w:type="spellEnd"/>
          </w:p>
        </w:tc>
      </w:tr>
      <w:tr w:rsidR="00F96648" w:rsidRPr="00AF7DD2" w14:paraId="33AF476E" w14:textId="77777777" w:rsidTr="00AF7DD2">
        <w:tc>
          <w:tcPr>
            <w:tcW w:w="988" w:type="dxa"/>
            <w:vAlign w:val="center"/>
          </w:tcPr>
          <w:p w14:paraId="3B3B4CC3"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2021</w:t>
            </w:r>
          </w:p>
        </w:tc>
        <w:tc>
          <w:tcPr>
            <w:tcW w:w="1559" w:type="dxa"/>
            <w:vAlign w:val="center"/>
          </w:tcPr>
          <w:p w14:paraId="6CFCA769"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890,000</w:t>
            </w:r>
          </w:p>
        </w:tc>
      </w:tr>
      <w:tr w:rsidR="00F96648" w:rsidRPr="00AF7DD2" w14:paraId="2CFBBBDA" w14:textId="77777777" w:rsidTr="00AF7DD2">
        <w:tc>
          <w:tcPr>
            <w:tcW w:w="988" w:type="dxa"/>
            <w:vAlign w:val="center"/>
          </w:tcPr>
          <w:p w14:paraId="66540A2B"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2022</w:t>
            </w:r>
          </w:p>
        </w:tc>
        <w:tc>
          <w:tcPr>
            <w:tcW w:w="1559" w:type="dxa"/>
            <w:vAlign w:val="center"/>
          </w:tcPr>
          <w:p w14:paraId="41171133"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1,000,000</w:t>
            </w:r>
          </w:p>
        </w:tc>
      </w:tr>
      <w:tr w:rsidR="00F96648" w:rsidRPr="00AF7DD2" w14:paraId="5107F10B" w14:textId="77777777" w:rsidTr="00AF7DD2">
        <w:tc>
          <w:tcPr>
            <w:tcW w:w="988" w:type="dxa"/>
            <w:vAlign w:val="center"/>
          </w:tcPr>
          <w:p w14:paraId="50626A5E"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2023</w:t>
            </w:r>
          </w:p>
        </w:tc>
        <w:tc>
          <w:tcPr>
            <w:tcW w:w="1559" w:type="dxa"/>
            <w:vAlign w:val="center"/>
          </w:tcPr>
          <w:p w14:paraId="6A977F9F"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1,070,000</w:t>
            </w:r>
          </w:p>
        </w:tc>
      </w:tr>
      <w:tr w:rsidR="00F96648" w:rsidRPr="00AF7DD2" w14:paraId="414E4668" w14:textId="77777777" w:rsidTr="00AF7DD2">
        <w:tc>
          <w:tcPr>
            <w:tcW w:w="988" w:type="dxa"/>
            <w:vAlign w:val="center"/>
          </w:tcPr>
          <w:p w14:paraId="38B71D9F"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2024</w:t>
            </w:r>
          </w:p>
        </w:tc>
        <w:tc>
          <w:tcPr>
            <w:tcW w:w="1559" w:type="dxa"/>
            <w:vAlign w:val="center"/>
          </w:tcPr>
          <w:p w14:paraId="63F82271"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1,210,000</w:t>
            </w:r>
          </w:p>
        </w:tc>
      </w:tr>
      <w:tr w:rsidR="00F96648" w:rsidRPr="00AF7DD2" w14:paraId="352E8A3E" w14:textId="77777777" w:rsidTr="00AF7DD2">
        <w:tc>
          <w:tcPr>
            <w:tcW w:w="988" w:type="dxa"/>
            <w:vAlign w:val="center"/>
          </w:tcPr>
          <w:p w14:paraId="72EFD932"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2025</w:t>
            </w:r>
          </w:p>
        </w:tc>
        <w:tc>
          <w:tcPr>
            <w:tcW w:w="1559" w:type="dxa"/>
            <w:vAlign w:val="center"/>
          </w:tcPr>
          <w:p w14:paraId="766C5610"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1,220,000</w:t>
            </w:r>
          </w:p>
        </w:tc>
      </w:tr>
    </w:tbl>
    <w:p w14:paraId="16D09542" w14:textId="77777777" w:rsidR="00AF7DD2" w:rsidRDefault="00AF7DD2" w:rsidP="00AF7DD2">
      <w:pPr>
        <w:pStyle w:val="BodyText"/>
        <w:jc w:val="both"/>
        <w:rPr>
          <w:rFonts w:ascii="Times New Roman" w:hAnsi="Times New Roman" w:cs="Times New Roman"/>
        </w:rPr>
      </w:pPr>
    </w:p>
    <w:p w14:paraId="557A2BB0" w14:textId="380E4743"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These values demonstrate a consistent upward trend, indicating increasing electricity-related emissions based on the average emissions intensity of regional power grids.</w:t>
      </w:r>
    </w:p>
    <w:p w14:paraId="4AEADD7F" w14:textId="77777777" w:rsidR="00F96648" w:rsidRPr="00AF7DD2" w:rsidRDefault="00000000" w:rsidP="00AF7DD2">
      <w:pPr>
        <w:pStyle w:val="Heading3"/>
        <w:jc w:val="both"/>
        <w:rPr>
          <w:rFonts w:ascii="Times New Roman" w:hAnsi="Times New Roman" w:cs="Times New Roman"/>
        </w:rPr>
      </w:pPr>
      <w:r w:rsidRPr="00AF7DD2">
        <w:rPr>
          <w:rFonts w:ascii="Times New Roman" w:hAnsi="Times New Roman" w:cs="Times New Roman"/>
        </w:rPr>
        <w:t>Market-Based Emissions</w:t>
      </w:r>
    </w:p>
    <w:tbl>
      <w:tblP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988"/>
        <w:gridCol w:w="2409"/>
      </w:tblGrid>
      <w:tr w:rsidR="00F96648" w:rsidRPr="00AF7DD2" w14:paraId="15EBAC44" w14:textId="77777777" w:rsidTr="00AF7DD2">
        <w:trPr>
          <w:tblHeader/>
        </w:trPr>
        <w:tc>
          <w:tcPr>
            <w:tcW w:w="988" w:type="dxa"/>
            <w:vAlign w:val="center"/>
          </w:tcPr>
          <w:p w14:paraId="2F4033D2"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Year</w:t>
            </w:r>
          </w:p>
        </w:tc>
        <w:tc>
          <w:tcPr>
            <w:tcW w:w="2409" w:type="dxa"/>
            <w:vAlign w:val="center"/>
          </w:tcPr>
          <w:p w14:paraId="4D10BB3B" w14:textId="77777777" w:rsidR="00F96648" w:rsidRPr="00AF7DD2" w:rsidRDefault="00000000" w:rsidP="00AF7DD2">
            <w:pPr>
              <w:pStyle w:val="TableHeading"/>
              <w:jc w:val="both"/>
              <w:rPr>
                <w:rFonts w:ascii="Times New Roman" w:hAnsi="Times New Roman" w:cs="Times New Roman"/>
              </w:rPr>
            </w:pPr>
            <w:proofErr w:type="spellStart"/>
            <w:r w:rsidRPr="00AF7DD2">
              <w:rPr>
                <w:rFonts w:ascii="Times New Roman" w:hAnsi="Times New Roman" w:cs="Times New Roman"/>
              </w:rPr>
              <w:t>tCO₂e</w:t>
            </w:r>
            <w:proofErr w:type="spellEnd"/>
          </w:p>
        </w:tc>
      </w:tr>
      <w:tr w:rsidR="00F96648" w:rsidRPr="00AF7DD2" w14:paraId="4A622D69" w14:textId="77777777" w:rsidTr="00AF7DD2">
        <w:tc>
          <w:tcPr>
            <w:tcW w:w="988" w:type="dxa"/>
            <w:vAlign w:val="center"/>
          </w:tcPr>
          <w:p w14:paraId="0D3C5A6A"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2021</w:t>
            </w:r>
          </w:p>
        </w:tc>
        <w:tc>
          <w:tcPr>
            <w:tcW w:w="2409" w:type="dxa"/>
            <w:vAlign w:val="center"/>
          </w:tcPr>
          <w:p w14:paraId="5F654057"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Not Reported / Blank</w:t>
            </w:r>
          </w:p>
        </w:tc>
      </w:tr>
      <w:tr w:rsidR="00F96648" w:rsidRPr="00AF7DD2" w14:paraId="3B64A7CC" w14:textId="77777777" w:rsidTr="00AF7DD2">
        <w:tc>
          <w:tcPr>
            <w:tcW w:w="988" w:type="dxa"/>
            <w:vAlign w:val="center"/>
          </w:tcPr>
          <w:p w14:paraId="3374ECE3"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lastRenderedPageBreak/>
              <w:t>2022</w:t>
            </w:r>
          </w:p>
        </w:tc>
        <w:tc>
          <w:tcPr>
            <w:tcW w:w="2409" w:type="dxa"/>
            <w:vAlign w:val="center"/>
          </w:tcPr>
          <w:p w14:paraId="27B08ED7"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≈2,780</w:t>
            </w:r>
          </w:p>
        </w:tc>
      </w:tr>
      <w:tr w:rsidR="00F96648" w:rsidRPr="00AF7DD2" w14:paraId="6036F2EB" w14:textId="77777777" w:rsidTr="00AF7DD2">
        <w:tc>
          <w:tcPr>
            <w:tcW w:w="988" w:type="dxa"/>
            <w:vAlign w:val="center"/>
          </w:tcPr>
          <w:p w14:paraId="1F8600D9"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2023</w:t>
            </w:r>
          </w:p>
        </w:tc>
        <w:tc>
          <w:tcPr>
            <w:tcW w:w="2409" w:type="dxa"/>
            <w:vAlign w:val="center"/>
          </w:tcPr>
          <w:p w14:paraId="72DB4019"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≈3,000</w:t>
            </w:r>
          </w:p>
        </w:tc>
      </w:tr>
      <w:tr w:rsidR="00F96648" w:rsidRPr="00AF7DD2" w14:paraId="63AC8E91" w14:textId="77777777" w:rsidTr="00AF7DD2">
        <w:tc>
          <w:tcPr>
            <w:tcW w:w="988" w:type="dxa"/>
            <w:vAlign w:val="center"/>
          </w:tcPr>
          <w:p w14:paraId="37121A88"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2024</w:t>
            </w:r>
          </w:p>
        </w:tc>
        <w:tc>
          <w:tcPr>
            <w:tcW w:w="2409" w:type="dxa"/>
            <w:vAlign w:val="center"/>
          </w:tcPr>
          <w:p w14:paraId="4C90A23B"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≈3,400</w:t>
            </w:r>
          </w:p>
        </w:tc>
      </w:tr>
      <w:tr w:rsidR="00F96648" w:rsidRPr="00AF7DD2" w14:paraId="392A6CF7" w14:textId="77777777" w:rsidTr="00AF7DD2">
        <w:tc>
          <w:tcPr>
            <w:tcW w:w="988" w:type="dxa"/>
            <w:vAlign w:val="center"/>
          </w:tcPr>
          <w:p w14:paraId="6DE64869"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2025</w:t>
            </w:r>
          </w:p>
        </w:tc>
        <w:tc>
          <w:tcPr>
            <w:tcW w:w="2409" w:type="dxa"/>
            <w:vAlign w:val="center"/>
          </w:tcPr>
          <w:p w14:paraId="3674C806"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≈3,000</w:t>
            </w:r>
          </w:p>
        </w:tc>
      </w:tr>
    </w:tbl>
    <w:p w14:paraId="5F29EFD2" w14:textId="77777777" w:rsidR="00AF7DD2" w:rsidRDefault="00AF7DD2" w:rsidP="00AF7DD2">
      <w:pPr>
        <w:pStyle w:val="BodyText"/>
        <w:jc w:val="both"/>
        <w:rPr>
          <w:rFonts w:ascii="Times New Roman" w:hAnsi="Times New Roman" w:cs="Times New Roman"/>
        </w:rPr>
      </w:pPr>
    </w:p>
    <w:p w14:paraId="2BA310F4" w14:textId="5AFAB621"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Market-based emissions remain close to zero because Apple purchases renewable electricity through renewable energy contracts, renewable energy certificates (RECs), and power purchase agreements (PPAs).</w:t>
      </w:r>
    </w:p>
    <w:p w14:paraId="29CE3696"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contrast between the two accounting methods is substantial:</w:t>
      </w:r>
    </w:p>
    <w:p w14:paraId="6710D914" w14:textId="77777777" w:rsidR="00F96648" w:rsidRPr="00AF7DD2" w:rsidRDefault="00000000" w:rsidP="00AF7DD2">
      <w:pPr>
        <w:pStyle w:val="BodyText"/>
        <w:numPr>
          <w:ilvl w:val="0"/>
          <w:numId w:val="5"/>
        </w:numPr>
        <w:tabs>
          <w:tab w:val="left" w:pos="709"/>
        </w:tabs>
        <w:jc w:val="both"/>
        <w:rPr>
          <w:rFonts w:ascii="Times New Roman" w:hAnsi="Times New Roman" w:cs="Times New Roman"/>
        </w:rPr>
      </w:pPr>
      <w:r w:rsidRPr="00AF7DD2">
        <w:rPr>
          <w:rFonts w:ascii="Times New Roman" w:hAnsi="Times New Roman" w:cs="Times New Roman"/>
        </w:rPr>
        <w:t xml:space="preserve">Location-based emissions exceed one million </w:t>
      </w:r>
      <w:proofErr w:type="spellStart"/>
      <w:r w:rsidRPr="00AF7DD2">
        <w:rPr>
          <w:rFonts w:ascii="Times New Roman" w:hAnsi="Times New Roman" w:cs="Times New Roman"/>
        </w:rPr>
        <w:t>tCO₂e</w:t>
      </w:r>
      <w:proofErr w:type="spellEnd"/>
      <w:r w:rsidRPr="00AF7DD2">
        <w:rPr>
          <w:rFonts w:ascii="Times New Roman" w:hAnsi="Times New Roman" w:cs="Times New Roman"/>
        </w:rPr>
        <w:t>.</w:t>
      </w:r>
    </w:p>
    <w:p w14:paraId="0C64C423" w14:textId="77777777" w:rsidR="00F96648" w:rsidRPr="00AF7DD2" w:rsidRDefault="00000000" w:rsidP="00AF7DD2">
      <w:pPr>
        <w:pStyle w:val="BodyText"/>
        <w:numPr>
          <w:ilvl w:val="0"/>
          <w:numId w:val="5"/>
        </w:numPr>
        <w:tabs>
          <w:tab w:val="left" w:pos="709"/>
        </w:tabs>
        <w:jc w:val="both"/>
        <w:rPr>
          <w:rFonts w:ascii="Times New Roman" w:hAnsi="Times New Roman" w:cs="Times New Roman"/>
        </w:rPr>
      </w:pPr>
      <w:r w:rsidRPr="00AF7DD2">
        <w:rPr>
          <w:rFonts w:ascii="Times New Roman" w:hAnsi="Times New Roman" w:cs="Times New Roman"/>
        </w:rPr>
        <w:t xml:space="preserve">Market-based emissions remain only a few thousand </w:t>
      </w:r>
      <w:proofErr w:type="spellStart"/>
      <w:r w:rsidRPr="00AF7DD2">
        <w:rPr>
          <w:rFonts w:ascii="Times New Roman" w:hAnsi="Times New Roman" w:cs="Times New Roman"/>
        </w:rPr>
        <w:t>tCO₂e</w:t>
      </w:r>
      <w:proofErr w:type="spellEnd"/>
      <w:r w:rsidRPr="00AF7DD2">
        <w:rPr>
          <w:rFonts w:ascii="Times New Roman" w:hAnsi="Times New Roman" w:cs="Times New Roman"/>
        </w:rPr>
        <w:t>.</w:t>
      </w:r>
    </w:p>
    <w:p w14:paraId="10C52D76"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This illustrates one of the most debated issues in corporate carbon accounting. Operational electricity consumption still depends on regional electricity grids, yet renewable energy procurement allows organizations to report dramatically lower market-based emissions.</w:t>
      </w:r>
    </w:p>
    <w:p w14:paraId="776DCAED"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Consequently, Apple's renewable electricity strategy substantially improves reported Scope 2 performance without necessarily reducing the physical carbon intensity of every electricity grid supplying its operations.</w:t>
      </w:r>
    </w:p>
    <w:p w14:paraId="362AA63A" w14:textId="63B5CFC7" w:rsidR="00F96648" w:rsidRDefault="00000000" w:rsidP="00AF7DD2">
      <w:pPr>
        <w:pStyle w:val="BodyText"/>
        <w:jc w:val="center"/>
        <w:rPr>
          <w:rStyle w:val="Emphasis"/>
          <w:rFonts w:ascii="Times New Roman" w:hAnsi="Times New Roman" w:cs="Times New Roman"/>
        </w:rPr>
      </w:pPr>
      <w:r w:rsidRPr="00AF7DD2">
        <w:rPr>
          <w:rStyle w:val="Strong"/>
          <w:rFonts w:ascii="Times New Roman" w:hAnsi="Times New Roman" w:cs="Times New Roman"/>
        </w:rPr>
        <w:t>Figure 2.</w:t>
      </w:r>
      <w:r w:rsidRPr="00AF7DD2">
        <w:rPr>
          <w:rFonts w:ascii="Times New Roman" w:hAnsi="Times New Roman" w:cs="Times New Roman"/>
        </w:rPr>
        <w:t xml:space="preserve"> </w:t>
      </w:r>
      <w:r w:rsidRPr="00AF7DD2">
        <w:rPr>
          <w:rStyle w:val="Emphasis"/>
          <w:rFonts w:ascii="Times New Roman" w:hAnsi="Times New Roman" w:cs="Times New Roman"/>
        </w:rPr>
        <w:t>Comparison of Location-Based and Market-Based Scope 2 Emissions</w:t>
      </w:r>
    </w:p>
    <w:p w14:paraId="0E8BBF95" w14:textId="5C374739" w:rsidR="00AF7DD2" w:rsidRPr="00AF7DD2" w:rsidRDefault="00AF7DD2" w:rsidP="00AF7DD2">
      <w:pPr>
        <w:pStyle w:val="BodyText"/>
        <w:jc w:val="center"/>
        <w:rPr>
          <w:rFonts w:ascii="Times New Roman" w:hAnsi="Times New Roman" w:cs="Times New Roman"/>
        </w:rPr>
      </w:pPr>
      <w:r w:rsidRPr="00AF7DD2">
        <w:rPr>
          <w:rFonts w:ascii="Times New Roman" w:hAnsi="Times New Roman" w:cs="Times New Roman"/>
          <w:noProof/>
        </w:rPr>
        <w:drawing>
          <wp:inline distT="0" distB="0" distL="0" distR="0" wp14:anchorId="4FB43F48" wp14:editId="1446D5B8">
            <wp:extent cx="4844374" cy="2735346"/>
            <wp:effectExtent l="0" t="0" r="0" b="0"/>
            <wp:docPr id="18350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04143" name=""/>
                    <pic:cNvPicPr/>
                  </pic:nvPicPr>
                  <pic:blipFill>
                    <a:blip r:embed="rId11"/>
                    <a:stretch>
                      <a:fillRect/>
                    </a:stretch>
                  </pic:blipFill>
                  <pic:spPr>
                    <a:xfrm>
                      <a:off x="0" y="0"/>
                      <a:ext cx="4861015" cy="2744742"/>
                    </a:xfrm>
                    <a:prstGeom prst="rect">
                      <a:avLst/>
                    </a:prstGeom>
                  </pic:spPr>
                </pic:pic>
              </a:graphicData>
            </a:graphic>
          </wp:inline>
        </w:drawing>
      </w:r>
    </w:p>
    <w:p w14:paraId="1D37CE7F"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3.3 Scope 3 Category 1 – Purchased Goods and Services</w:t>
      </w:r>
    </w:p>
    <w:p w14:paraId="00F9A64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Purchased Goods and Services represent Apple's largest emissions source because manufacturing is outsourced to an extensive global supplier network.</w:t>
      </w:r>
    </w:p>
    <w:p w14:paraId="046D6204"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Reported emissions:</w:t>
      </w:r>
    </w:p>
    <w:tbl>
      <w:tblPr>
        <w:tblW w:w="2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988"/>
        <w:gridCol w:w="1275"/>
      </w:tblGrid>
      <w:tr w:rsidR="00F96648" w:rsidRPr="00AF7DD2" w14:paraId="36EBC8E7" w14:textId="77777777" w:rsidTr="00AF7DD2">
        <w:trPr>
          <w:tblHeader/>
        </w:trPr>
        <w:tc>
          <w:tcPr>
            <w:tcW w:w="988" w:type="dxa"/>
            <w:vAlign w:val="center"/>
          </w:tcPr>
          <w:p w14:paraId="7355F3F7" w14:textId="77777777" w:rsidR="00F96648" w:rsidRPr="00AF7DD2" w:rsidRDefault="00000000" w:rsidP="00AF7DD2">
            <w:pPr>
              <w:pStyle w:val="TableHeading"/>
              <w:jc w:val="both"/>
              <w:rPr>
                <w:rFonts w:ascii="Times New Roman" w:hAnsi="Times New Roman" w:cs="Times New Roman"/>
              </w:rPr>
            </w:pPr>
            <w:r w:rsidRPr="00AF7DD2">
              <w:rPr>
                <w:rFonts w:ascii="Times New Roman" w:hAnsi="Times New Roman" w:cs="Times New Roman"/>
              </w:rPr>
              <w:t>Year</w:t>
            </w:r>
          </w:p>
        </w:tc>
        <w:tc>
          <w:tcPr>
            <w:tcW w:w="1275" w:type="dxa"/>
            <w:vAlign w:val="center"/>
          </w:tcPr>
          <w:p w14:paraId="437D3F22" w14:textId="77777777" w:rsidR="00F96648" w:rsidRPr="00AF7DD2" w:rsidRDefault="00000000" w:rsidP="00AF7DD2">
            <w:pPr>
              <w:pStyle w:val="TableHeading"/>
              <w:jc w:val="both"/>
              <w:rPr>
                <w:rFonts w:ascii="Times New Roman" w:hAnsi="Times New Roman" w:cs="Times New Roman"/>
              </w:rPr>
            </w:pPr>
            <w:proofErr w:type="spellStart"/>
            <w:r w:rsidRPr="00AF7DD2">
              <w:rPr>
                <w:rFonts w:ascii="Times New Roman" w:hAnsi="Times New Roman" w:cs="Times New Roman"/>
              </w:rPr>
              <w:t>MtCO₂e</w:t>
            </w:r>
            <w:proofErr w:type="spellEnd"/>
          </w:p>
        </w:tc>
      </w:tr>
      <w:tr w:rsidR="00F96648" w:rsidRPr="00AF7DD2" w14:paraId="0DD64C4F" w14:textId="77777777" w:rsidTr="00AF7DD2">
        <w:tc>
          <w:tcPr>
            <w:tcW w:w="988" w:type="dxa"/>
            <w:vAlign w:val="center"/>
          </w:tcPr>
          <w:p w14:paraId="0E871FAF"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2021</w:t>
            </w:r>
          </w:p>
        </w:tc>
        <w:tc>
          <w:tcPr>
            <w:tcW w:w="1275" w:type="dxa"/>
            <w:vAlign w:val="center"/>
          </w:tcPr>
          <w:p w14:paraId="70D74746"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16.1</w:t>
            </w:r>
          </w:p>
        </w:tc>
      </w:tr>
      <w:tr w:rsidR="00F96648" w:rsidRPr="00AF7DD2" w14:paraId="1B3C90B4" w14:textId="77777777" w:rsidTr="00AF7DD2">
        <w:tc>
          <w:tcPr>
            <w:tcW w:w="988" w:type="dxa"/>
            <w:vAlign w:val="center"/>
          </w:tcPr>
          <w:p w14:paraId="713A1A2F"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lastRenderedPageBreak/>
              <w:t>2022</w:t>
            </w:r>
          </w:p>
        </w:tc>
        <w:tc>
          <w:tcPr>
            <w:tcW w:w="1275" w:type="dxa"/>
            <w:vAlign w:val="center"/>
          </w:tcPr>
          <w:p w14:paraId="5D0B72B6"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16.2</w:t>
            </w:r>
          </w:p>
        </w:tc>
      </w:tr>
      <w:tr w:rsidR="00F96648" w:rsidRPr="00AF7DD2" w14:paraId="03E687B7" w14:textId="77777777" w:rsidTr="00AF7DD2">
        <w:tc>
          <w:tcPr>
            <w:tcW w:w="988" w:type="dxa"/>
            <w:vAlign w:val="center"/>
          </w:tcPr>
          <w:p w14:paraId="7D880208"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2023</w:t>
            </w:r>
          </w:p>
        </w:tc>
        <w:tc>
          <w:tcPr>
            <w:tcW w:w="1275" w:type="dxa"/>
            <w:vAlign w:val="center"/>
          </w:tcPr>
          <w:p w14:paraId="65C2F965"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13.4</w:t>
            </w:r>
          </w:p>
        </w:tc>
      </w:tr>
      <w:tr w:rsidR="00F96648" w:rsidRPr="00AF7DD2" w14:paraId="35B46F47" w14:textId="77777777" w:rsidTr="00AF7DD2">
        <w:tc>
          <w:tcPr>
            <w:tcW w:w="988" w:type="dxa"/>
            <w:vAlign w:val="center"/>
          </w:tcPr>
          <w:p w14:paraId="3DF119CC"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2024</w:t>
            </w:r>
          </w:p>
        </w:tc>
        <w:tc>
          <w:tcPr>
            <w:tcW w:w="1275" w:type="dxa"/>
            <w:vAlign w:val="center"/>
          </w:tcPr>
          <w:p w14:paraId="6577884A"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9.4</w:t>
            </w:r>
          </w:p>
        </w:tc>
      </w:tr>
      <w:tr w:rsidR="00F96648" w:rsidRPr="00AF7DD2" w14:paraId="7538CC3E" w14:textId="77777777" w:rsidTr="00AF7DD2">
        <w:tc>
          <w:tcPr>
            <w:tcW w:w="988" w:type="dxa"/>
            <w:vAlign w:val="center"/>
          </w:tcPr>
          <w:p w14:paraId="661DBBF3"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2025</w:t>
            </w:r>
          </w:p>
        </w:tc>
        <w:tc>
          <w:tcPr>
            <w:tcW w:w="1275" w:type="dxa"/>
            <w:vAlign w:val="center"/>
          </w:tcPr>
          <w:p w14:paraId="1DC04C38" w14:textId="77777777" w:rsidR="00F96648" w:rsidRPr="00AF7DD2" w:rsidRDefault="00000000" w:rsidP="00AF7DD2">
            <w:pPr>
              <w:pStyle w:val="TableContents"/>
              <w:jc w:val="both"/>
              <w:rPr>
                <w:rFonts w:ascii="Times New Roman" w:hAnsi="Times New Roman" w:cs="Times New Roman"/>
              </w:rPr>
            </w:pPr>
            <w:r w:rsidRPr="00AF7DD2">
              <w:rPr>
                <w:rFonts w:ascii="Times New Roman" w:hAnsi="Times New Roman" w:cs="Times New Roman"/>
              </w:rPr>
              <w:t>8.2</w:t>
            </w:r>
          </w:p>
        </w:tc>
      </w:tr>
    </w:tbl>
    <w:p w14:paraId="2164CCA5" w14:textId="77777777" w:rsidR="00447793" w:rsidRDefault="00447793" w:rsidP="00AF7DD2">
      <w:pPr>
        <w:pStyle w:val="BodyText"/>
        <w:jc w:val="both"/>
        <w:rPr>
          <w:rFonts w:ascii="Times New Roman" w:hAnsi="Times New Roman" w:cs="Times New Roman"/>
        </w:rPr>
      </w:pPr>
    </w:p>
    <w:p w14:paraId="6D749F1C" w14:textId="6C660899"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Key observations include:</w:t>
      </w:r>
    </w:p>
    <w:p w14:paraId="2E08F0CE" w14:textId="77777777" w:rsidR="00F96648" w:rsidRPr="00AF7DD2" w:rsidRDefault="00000000" w:rsidP="00AF7DD2">
      <w:pPr>
        <w:pStyle w:val="BodyText"/>
        <w:numPr>
          <w:ilvl w:val="0"/>
          <w:numId w:val="6"/>
        </w:numPr>
        <w:tabs>
          <w:tab w:val="left" w:pos="709"/>
        </w:tabs>
        <w:jc w:val="both"/>
        <w:rPr>
          <w:rFonts w:ascii="Times New Roman" w:hAnsi="Times New Roman" w:cs="Times New Roman"/>
        </w:rPr>
      </w:pPr>
      <w:r w:rsidRPr="00AF7DD2">
        <w:rPr>
          <w:rFonts w:ascii="Times New Roman" w:hAnsi="Times New Roman" w:cs="Times New Roman"/>
        </w:rPr>
        <w:t>approximately 17% reduction between 2022 and 2023,</w:t>
      </w:r>
    </w:p>
    <w:p w14:paraId="280ADD70" w14:textId="77777777" w:rsidR="00F96648" w:rsidRPr="00AF7DD2" w:rsidRDefault="00000000" w:rsidP="00AF7DD2">
      <w:pPr>
        <w:pStyle w:val="BodyText"/>
        <w:numPr>
          <w:ilvl w:val="0"/>
          <w:numId w:val="6"/>
        </w:numPr>
        <w:tabs>
          <w:tab w:val="left" w:pos="709"/>
        </w:tabs>
        <w:jc w:val="both"/>
        <w:rPr>
          <w:rFonts w:ascii="Times New Roman" w:hAnsi="Times New Roman" w:cs="Times New Roman"/>
        </w:rPr>
      </w:pPr>
      <w:r w:rsidRPr="00AF7DD2">
        <w:rPr>
          <w:rFonts w:ascii="Times New Roman" w:hAnsi="Times New Roman" w:cs="Times New Roman"/>
        </w:rPr>
        <w:t>continued reductions of approximately 15% annually,</w:t>
      </w:r>
    </w:p>
    <w:p w14:paraId="43DDD9EB" w14:textId="77777777" w:rsidR="00F96648" w:rsidRPr="00AF7DD2" w:rsidRDefault="00000000" w:rsidP="00AF7DD2">
      <w:pPr>
        <w:pStyle w:val="BodyText"/>
        <w:numPr>
          <w:ilvl w:val="0"/>
          <w:numId w:val="6"/>
        </w:numPr>
        <w:tabs>
          <w:tab w:val="left" w:pos="709"/>
        </w:tabs>
        <w:jc w:val="both"/>
        <w:rPr>
          <w:rFonts w:ascii="Times New Roman" w:hAnsi="Times New Roman" w:cs="Times New Roman"/>
        </w:rPr>
      </w:pPr>
      <w:r w:rsidRPr="00AF7DD2">
        <w:rPr>
          <w:rFonts w:ascii="Times New Roman" w:hAnsi="Times New Roman" w:cs="Times New Roman"/>
        </w:rPr>
        <w:t>nearly 50% overall reduction across five years.</w:t>
      </w:r>
    </w:p>
    <w:p w14:paraId="30FDEA1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While these reductions support Apple's public carbon reduction narrative, they require careful interpretation.</w:t>
      </w:r>
    </w:p>
    <w:p w14:paraId="180AF091"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Possible explanations include:</w:t>
      </w:r>
    </w:p>
    <w:p w14:paraId="76BBAD95"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supplier decarbonization,</w:t>
      </w:r>
    </w:p>
    <w:p w14:paraId="18FF3534"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renewable electricity adoption by suppliers,</w:t>
      </w:r>
    </w:p>
    <w:p w14:paraId="11A8B9FA"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product redesign,</w:t>
      </w:r>
    </w:p>
    <w:p w14:paraId="10F35423"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procurement optimization,</w:t>
      </w:r>
    </w:p>
    <w:p w14:paraId="61EF6B8D"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methodological changes,</w:t>
      </w:r>
    </w:p>
    <w:p w14:paraId="38FDD9D6"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emissions factor updates,</w:t>
      </w:r>
    </w:p>
    <w:p w14:paraId="7D9AC9DE" w14:textId="77777777" w:rsidR="00F96648" w:rsidRPr="00AF7DD2" w:rsidRDefault="00000000" w:rsidP="00AF7DD2">
      <w:pPr>
        <w:pStyle w:val="BodyText"/>
        <w:numPr>
          <w:ilvl w:val="0"/>
          <w:numId w:val="7"/>
        </w:numPr>
        <w:tabs>
          <w:tab w:val="left" w:pos="709"/>
        </w:tabs>
        <w:jc w:val="both"/>
        <w:rPr>
          <w:rFonts w:ascii="Times New Roman" w:hAnsi="Times New Roman" w:cs="Times New Roman"/>
        </w:rPr>
      </w:pPr>
      <w:r w:rsidRPr="00AF7DD2">
        <w:rPr>
          <w:rFonts w:ascii="Times New Roman" w:hAnsi="Times New Roman" w:cs="Times New Roman"/>
        </w:rPr>
        <w:t>baseline recalculations.</w:t>
      </w:r>
    </w:p>
    <w:p w14:paraId="363F55C4"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Because Scope 3 calculations involve extensive estimation and supplier data collection, methodological revisions can significantly influence reported totals.</w:t>
      </w:r>
    </w:p>
    <w:p w14:paraId="36CA0D4E"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Therefore, methodological disclosures should always be evaluated alongside numerical trends.</w:t>
      </w:r>
    </w:p>
    <w:p w14:paraId="7A2FCD18" w14:textId="7451BEDD" w:rsidR="00F96648" w:rsidRDefault="00000000" w:rsidP="00AF7DD2">
      <w:pPr>
        <w:pStyle w:val="BodyText"/>
        <w:jc w:val="center"/>
        <w:rPr>
          <w:rStyle w:val="Emphasis"/>
          <w:rFonts w:ascii="Times New Roman" w:hAnsi="Times New Roman" w:cs="Times New Roman"/>
        </w:rPr>
      </w:pPr>
      <w:r w:rsidRPr="00AF7DD2">
        <w:rPr>
          <w:rStyle w:val="Strong"/>
          <w:rFonts w:ascii="Times New Roman" w:hAnsi="Times New Roman" w:cs="Times New Roman"/>
        </w:rPr>
        <w:t>Figure 3.</w:t>
      </w:r>
      <w:r w:rsidRPr="00AF7DD2">
        <w:rPr>
          <w:rFonts w:ascii="Times New Roman" w:hAnsi="Times New Roman" w:cs="Times New Roman"/>
        </w:rPr>
        <w:t xml:space="preserve"> </w:t>
      </w:r>
      <w:r w:rsidRPr="00AF7DD2">
        <w:rPr>
          <w:rStyle w:val="Emphasis"/>
          <w:rFonts w:ascii="Times New Roman" w:hAnsi="Times New Roman" w:cs="Times New Roman"/>
        </w:rPr>
        <w:t>Trend of Scope 3 Purchased Goods and Services Emissions</w:t>
      </w:r>
    </w:p>
    <w:p w14:paraId="435E1A6F" w14:textId="55D1AF3E" w:rsidR="00AF7DD2" w:rsidRPr="00516F0F" w:rsidRDefault="00447793" w:rsidP="00516F0F">
      <w:pPr>
        <w:pStyle w:val="BodyText"/>
        <w:jc w:val="center"/>
        <w:rPr>
          <w:rFonts w:ascii="Times New Roman" w:hAnsi="Times New Roman" w:cs="Times New Roman"/>
          <w:i/>
          <w:iCs/>
        </w:rPr>
      </w:pPr>
      <w:r w:rsidRPr="00447793">
        <w:rPr>
          <w:rStyle w:val="Emphasis"/>
          <w:rFonts w:ascii="Times New Roman" w:hAnsi="Times New Roman" w:cs="Times New Roman"/>
          <w:noProof/>
        </w:rPr>
        <w:drawing>
          <wp:inline distT="0" distB="0" distL="0" distR="0" wp14:anchorId="010CA37E" wp14:editId="7724AAB8">
            <wp:extent cx="4772142" cy="2694561"/>
            <wp:effectExtent l="0" t="0" r="3175" b="0"/>
            <wp:docPr id="11957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278" name=""/>
                    <pic:cNvPicPr/>
                  </pic:nvPicPr>
                  <pic:blipFill>
                    <a:blip r:embed="rId12"/>
                    <a:stretch>
                      <a:fillRect/>
                    </a:stretch>
                  </pic:blipFill>
                  <pic:spPr>
                    <a:xfrm>
                      <a:off x="0" y="0"/>
                      <a:ext cx="4810437" cy="2716184"/>
                    </a:xfrm>
                    <a:prstGeom prst="rect">
                      <a:avLst/>
                    </a:prstGeom>
                  </pic:spPr>
                </pic:pic>
              </a:graphicData>
            </a:graphic>
          </wp:inline>
        </w:drawing>
      </w:r>
    </w:p>
    <w:p w14:paraId="16DC1359"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lastRenderedPageBreak/>
        <w:t>3.4 Operational Emissions Intensity</w:t>
      </w:r>
    </w:p>
    <w:p w14:paraId="21039C3A" w14:textId="317F20ED"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reports operational emissions intensity using:</w:t>
      </w:r>
      <w:r w:rsidR="00447793">
        <w:rPr>
          <w:rFonts w:ascii="Times New Roman" w:hAnsi="Times New Roman" w:cs="Times New Roman"/>
        </w:rPr>
        <w:t xml:space="preserve"> </w:t>
      </w:r>
      <w:r w:rsidRPr="00AF7DD2">
        <w:rPr>
          <w:rFonts w:ascii="Times New Roman" w:hAnsi="Times New Roman" w:cs="Times New Roman"/>
        </w:rPr>
        <w:t>Scope 1 + Market-Based Scope 2 Emissions</w:t>
      </w:r>
      <w:r w:rsidR="00447793">
        <w:rPr>
          <w:rFonts w:ascii="Times New Roman" w:hAnsi="Times New Roman" w:cs="Times New Roman"/>
        </w:rPr>
        <w:t xml:space="preserve"> </w:t>
      </w:r>
      <w:r w:rsidRPr="00AF7DD2">
        <w:rPr>
          <w:rFonts w:ascii="Times New Roman" w:hAnsi="Times New Roman" w:cs="Times New Roman"/>
        </w:rPr>
        <w:t>divided by annual company revenue.</w:t>
      </w:r>
    </w:p>
    <w:p w14:paraId="228D1FAF"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Using market-based Scope 2 emissions produces an extremely small emissions intensity because market-based emissions remain close to zero.</w:t>
      </w:r>
    </w:p>
    <w:p w14:paraId="1B054269"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If location-based Scope 2 emissions were used instead, operational emissions intensity would be substantially higher.</w:t>
      </w:r>
    </w:p>
    <w:p w14:paraId="33D174B6"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This demonstrates how accounting methodology significantly influences sustainability metrics.</w:t>
      </w:r>
    </w:p>
    <w:p w14:paraId="0577374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metric accurately follows the Greenhouse Gas Protocol's market-based reporting guidance; however, interpretation should recognize that the exceptionally low intensity largely reflects renewable electricity accounting rather than eliminating electricity demand.</w:t>
      </w:r>
    </w:p>
    <w:p w14:paraId="5DF3E1B7" w14:textId="0C28DE48" w:rsidR="00F96648" w:rsidRDefault="00000000" w:rsidP="00447793">
      <w:pPr>
        <w:pStyle w:val="BodyText"/>
        <w:jc w:val="center"/>
        <w:rPr>
          <w:rStyle w:val="Emphasis"/>
          <w:rFonts w:ascii="Times New Roman" w:hAnsi="Times New Roman" w:cs="Times New Roman"/>
        </w:rPr>
      </w:pPr>
      <w:r w:rsidRPr="00AF7DD2">
        <w:rPr>
          <w:rStyle w:val="Strong"/>
          <w:rFonts w:ascii="Times New Roman" w:hAnsi="Times New Roman" w:cs="Times New Roman"/>
        </w:rPr>
        <w:t>Figure 4.</w:t>
      </w:r>
      <w:r w:rsidRPr="00AF7DD2">
        <w:rPr>
          <w:rFonts w:ascii="Times New Roman" w:hAnsi="Times New Roman" w:cs="Times New Roman"/>
        </w:rPr>
        <w:t xml:space="preserve"> </w:t>
      </w:r>
      <w:r w:rsidRPr="00AF7DD2">
        <w:rPr>
          <w:rStyle w:val="Emphasis"/>
          <w:rFonts w:ascii="Times New Roman" w:hAnsi="Times New Roman" w:cs="Times New Roman"/>
        </w:rPr>
        <w:t>Operational Emissions Intensity per Dollar of Revenue</w:t>
      </w:r>
    </w:p>
    <w:p w14:paraId="4AD2DD08" w14:textId="683CD149" w:rsidR="00AF7DD2" w:rsidRPr="00516F0F" w:rsidRDefault="00447793" w:rsidP="00516F0F">
      <w:pPr>
        <w:pStyle w:val="BodyText"/>
        <w:jc w:val="center"/>
        <w:rPr>
          <w:rFonts w:ascii="Times New Roman" w:hAnsi="Times New Roman" w:cs="Times New Roman"/>
          <w:i/>
          <w:iCs/>
        </w:rPr>
      </w:pPr>
      <w:r w:rsidRPr="00447793">
        <w:rPr>
          <w:rStyle w:val="Emphasis"/>
          <w:rFonts w:ascii="Times New Roman" w:hAnsi="Times New Roman" w:cs="Times New Roman"/>
          <w:noProof/>
        </w:rPr>
        <w:drawing>
          <wp:inline distT="0" distB="0" distL="0" distR="0" wp14:anchorId="6E0DB181" wp14:editId="2A3BC3F7">
            <wp:extent cx="5065020" cy="2859932"/>
            <wp:effectExtent l="0" t="0" r="2540" b="0"/>
            <wp:docPr id="182038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80269" name=""/>
                    <pic:cNvPicPr/>
                  </pic:nvPicPr>
                  <pic:blipFill>
                    <a:blip r:embed="rId13"/>
                    <a:stretch>
                      <a:fillRect/>
                    </a:stretch>
                  </pic:blipFill>
                  <pic:spPr>
                    <a:xfrm>
                      <a:off x="0" y="0"/>
                      <a:ext cx="5070021" cy="2862756"/>
                    </a:xfrm>
                    <a:prstGeom prst="rect">
                      <a:avLst/>
                    </a:prstGeom>
                  </pic:spPr>
                </pic:pic>
              </a:graphicData>
            </a:graphic>
          </wp:inline>
        </w:drawing>
      </w:r>
    </w:p>
    <w:p w14:paraId="7027051D"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3.5 Purchased Electricity</w:t>
      </w:r>
    </w:p>
    <w:p w14:paraId="23FC2F5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reported notable changes in electricity procurement.</w:t>
      </w:r>
    </w:p>
    <w:p w14:paraId="1CB19FA3"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Key observations include:</w:t>
      </w:r>
    </w:p>
    <w:p w14:paraId="6545E111" w14:textId="4FEC44F4" w:rsidR="00F96648" w:rsidRPr="00A96524" w:rsidRDefault="00000000" w:rsidP="00AF7DD2">
      <w:pPr>
        <w:pStyle w:val="BodyText"/>
        <w:numPr>
          <w:ilvl w:val="0"/>
          <w:numId w:val="8"/>
        </w:numPr>
        <w:tabs>
          <w:tab w:val="left" w:pos="709"/>
        </w:tabs>
        <w:jc w:val="both"/>
        <w:rPr>
          <w:rFonts w:ascii="Times New Roman" w:hAnsi="Times New Roman" w:cs="Times New Roman"/>
          <w:b/>
          <w:bCs/>
        </w:rPr>
      </w:pPr>
      <w:r w:rsidRPr="00AF7DD2">
        <w:rPr>
          <w:rFonts w:ascii="Times New Roman" w:hAnsi="Times New Roman" w:cs="Times New Roman"/>
        </w:rPr>
        <w:t xml:space="preserve">Purchased electricity increased from approximately </w:t>
      </w:r>
      <w:r w:rsidRPr="00A96524">
        <w:rPr>
          <w:rStyle w:val="Strong"/>
          <w:rFonts w:ascii="Times New Roman" w:hAnsi="Times New Roman" w:cs="Times New Roman"/>
          <w:b w:val="0"/>
          <w:bCs w:val="0"/>
        </w:rPr>
        <w:t>0.99 million MWh (2021)</w:t>
      </w:r>
      <w:r w:rsidRPr="00A96524">
        <w:rPr>
          <w:rFonts w:ascii="Times New Roman" w:hAnsi="Times New Roman" w:cs="Times New Roman"/>
          <w:b/>
          <w:bCs/>
        </w:rPr>
        <w:t xml:space="preserve"> </w:t>
      </w:r>
      <w:r w:rsidR="00A96524">
        <w:rPr>
          <w:rFonts w:ascii="Times New Roman" w:hAnsi="Times New Roman" w:cs="Times New Roman"/>
        </w:rPr>
        <w:t>to</w:t>
      </w:r>
      <w:r w:rsidRPr="00A96524">
        <w:rPr>
          <w:rFonts w:ascii="Times New Roman" w:hAnsi="Times New Roman" w:cs="Times New Roman"/>
          <w:b/>
          <w:bCs/>
        </w:rPr>
        <w:t xml:space="preserve"> </w:t>
      </w:r>
      <w:r w:rsidRPr="00A96524">
        <w:rPr>
          <w:rStyle w:val="Strong"/>
          <w:rFonts w:ascii="Times New Roman" w:hAnsi="Times New Roman" w:cs="Times New Roman"/>
          <w:b w:val="0"/>
          <w:bCs w:val="0"/>
        </w:rPr>
        <w:t>3.11 million MWh (2023)</w:t>
      </w:r>
      <w:r w:rsidRPr="00A96524">
        <w:rPr>
          <w:rFonts w:ascii="Times New Roman" w:hAnsi="Times New Roman" w:cs="Times New Roman"/>
          <w:b/>
          <w:bCs/>
        </w:rPr>
        <w:t>.</w:t>
      </w:r>
    </w:p>
    <w:p w14:paraId="44D83380" w14:textId="77777777" w:rsidR="00F96648" w:rsidRPr="00A96524" w:rsidRDefault="00000000" w:rsidP="00AF7DD2">
      <w:pPr>
        <w:pStyle w:val="BodyText"/>
        <w:numPr>
          <w:ilvl w:val="0"/>
          <w:numId w:val="8"/>
        </w:numPr>
        <w:tabs>
          <w:tab w:val="left" w:pos="709"/>
        </w:tabs>
        <w:jc w:val="both"/>
        <w:rPr>
          <w:rFonts w:ascii="Times New Roman" w:hAnsi="Times New Roman" w:cs="Times New Roman"/>
          <w:b/>
          <w:bCs/>
        </w:rPr>
      </w:pPr>
      <w:r w:rsidRPr="00AF7DD2">
        <w:rPr>
          <w:rFonts w:ascii="Times New Roman" w:hAnsi="Times New Roman" w:cs="Times New Roman"/>
        </w:rPr>
        <w:t xml:space="preserve">Self-generated renewable electricity simultaneously declined from approximately </w:t>
      </w:r>
      <w:r w:rsidRPr="00A96524">
        <w:rPr>
          <w:rStyle w:val="Strong"/>
          <w:rFonts w:ascii="Times New Roman" w:hAnsi="Times New Roman" w:cs="Times New Roman"/>
          <w:b w:val="0"/>
          <w:bCs w:val="0"/>
        </w:rPr>
        <w:t>1.69 million MWh</w:t>
      </w:r>
      <w:r w:rsidRPr="00A96524">
        <w:rPr>
          <w:rFonts w:ascii="Times New Roman" w:hAnsi="Times New Roman" w:cs="Times New Roman"/>
          <w:b/>
          <w:bCs/>
        </w:rPr>
        <w:t xml:space="preserve"> </w:t>
      </w:r>
      <w:r w:rsidRPr="00A96524">
        <w:rPr>
          <w:rFonts w:ascii="Times New Roman" w:hAnsi="Times New Roman" w:cs="Times New Roman"/>
        </w:rPr>
        <w:t xml:space="preserve">to only </w:t>
      </w:r>
      <w:r w:rsidRPr="00A96524">
        <w:rPr>
          <w:rStyle w:val="Strong"/>
          <w:rFonts w:ascii="Times New Roman" w:hAnsi="Times New Roman" w:cs="Times New Roman"/>
          <w:b w:val="0"/>
          <w:bCs w:val="0"/>
        </w:rPr>
        <w:t>0.05 million MWh</w:t>
      </w:r>
      <w:r w:rsidRPr="00A96524">
        <w:rPr>
          <w:rFonts w:ascii="Times New Roman" w:hAnsi="Times New Roman" w:cs="Times New Roman"/>
          <w:b/>
          <w:bCs/>
        </w:rPr>
        <w:t>.</w:t>
      </w:r>
    </w:p>
    <w:p w14:paraId="353C85AD"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Such a large shift over a short period suggests changes in reporting boundaries, electricity sourcing classifications, or accounting methodology rather than a sudden operational transformation.</w:t>
      </w:r>
    </w:p>
    <w:p w14:paraId="6DE0FEF5"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Reviewing methodological disclosures is essential before interpreting this trend as increased electricity consumption.</w:t>
      </w:r>
    </w:p>
    <w:p w14:paraId="2B6E4C10" w14:textId="77777777" w:rsidR="00516F0F" w:rsidRDefault="00516F0F">
      <w:pPr>
        <w:rPr>
          <w:rStyle w:val="Strong"/>
          <w:rFonts w:ascii="Times New Roman" w:hAnsi="Times New Roman" w:cs="Times New Roman"/>
        </w:rPr>
      </w:pPr>
      <w:r>
        <w:rPr>
          <w:rStyle w:val="Strong"/>
          <w:rFonts w:ascii="Times New Roman" w:hAnsi="Times New Roman" w:cs="Times New Roman"/>
        </w:rPr>
        <w:br w:type="page"/>
      </w:r>
    </w:p>
    <w:p w14:paraId="3F989625" w14:textId="0035CFB7" w:rsidR="00F96648" w:rsidRDefault="00000000" w:rsidP="00447793">
      <w:pPr>
        <w:pStyle w:val="BodyText"/>
        <w:jc w:val="center"/>
        <w:rPr>
          <w:rStyle w:val="Emphasis"/>
          <w:rFonts w:ascii="Times New Roman" w:hAnsi="Times New Roman" w:cs="Times New Roman"/>
        </w:rPr>
      </w:pPr>
      <w:r w:rsidRPr="00AF7DD2">
        <w:rPr>
          <w:rStyle w:val="Strong"/>
          <w:rFonts w:ascii="Times New Roman" w:hAnsi="Times New Roman" w:cs="Times New Roman"/>
        </w:rPr>
        <w:lastRenderedPageBreak/>
        <w:t>Figure 5.</w:t>
      </w:r>
      <w:r w:rsidRPr="00AF7DD2">
        <w:rPr>
          <w:rFonts w:ascii="Times New Roman" w:hAnsi="Times New Roman" w:cs="Times New Roman"/>
        </w:rPr>
        <w:t xml:space="preserve"> </w:t>
      </w:r>
      <w:r w:rsidRPr="00AF7DD2">
        <w:rPr>
          <w:rStyle w:val="Emphasis"/>
          <w:rFonts w:ascii="Times New Roman" w:hAnsi="Times New Roman" w:cs="Times New Roman"/>
        </w:rPr>
        <w:t>Purchased Electricity and Self-Generated Renewable Electricity (2021–2025)</w:t>
      </w:r>
    </w:p>
    <w:p w14:paraId="4403E1B9" w14:textId="7E4486CE" w:rsidR="00AF7DD2" w:rsidRPr="00447793" w:rsidRDefault="00447793" w:rsidP="00447793">
      <w:pPr>
        <w:pStyle w:val="BodyText"/>
        <w:jc w:val="center"/>
        <w:rPr>
          <w:rFonts w:ascii="Times New Roman" w:hAnsi="Times New Roman" w:cs="Times New Roman"/>
          <w:i/>
          <w:iCs/>
        </w:rPr>
      </w:pPr>
      <w:r w:rsidRPr="00447793">
        <w:rPr>
          <w:rStyle w:val="Emphasis"/>
          <w:rFonts w:ascii="Times New Roman" w:hAnsi="Times New Roman" w:cs="Times New Roman"/>
          <w:noProof/>
        </w:rPr>
        <w:drawing>
          <wp:inline distT="0" distB="0" distL="0" distR="0" wp14:anchorId="58C99493" wp14:editId="7DC80A6A">
            <wp:extent cx="5151159" cy="2908570"/>
            <wp:effectExtent l="0" t="0" r="5080" b="0"/>
            <wp:docPr id="145459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97827" name=""/>
                    <pic:cNvPicPr/>
                  </pic:nvPicPr>
                  <pic:blipFill>
                    <a:blip r:embed="rId14"/>
                    <a:stretch>
                      <a:fillRect/>
                    </a:stretch>
                  </pic:blipFill>
                  <pic:spPr>
                    <a:xfrm>
                      <a:off x="0" y="0"/>
                      <a:ext cx="5166997" cy="2917513"/>
                    </a:xfrm>
                    <a:prstGeom prst="rect">
                      <a:avLst/>
                    </a:prstGeom>
                  </pic:spPr>
                </pic:pic>
              </a:graphicData>
            </a:graphic>
          </wp:inline>
        </w:drawing>
      </w:r>
    </w:p>
    <w:p w14:paraId="5BC4CF33" w14:textId="77777777" w:rsidR="00F96648" w:rsidRPr="00AF7DD2" w:rsidRDefault="00000000" w:rsidP="00AF7DD2">
      <w:pPr>
        <w:pStyle w:val="Heading1"/>
      </w:pPr>
      <w:r w:rsidRPr="00AF7DD2">
        <w:t>4. Qualitative Analysis</w:t>
      </w:r>
    </w:p>
    <w:p w14:paraId="284DB57D"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4.1 Carbon Neutrality Strategy and Science-Based Targets</w:t>
      </w:r>
    </w:p>
    <w:p w14:paraId="48384DB5"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Apple's climate strategy combines two overlapping commitments.</w:t>
      </w:r>
    </w:p>
    <w:p w14:paraId="3309F5AB"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first is its externally validated Science Based Targets initiative (SBTi) emissions reduction target.</w:t>
      </w:r>
    </w:p>
    <w:p w14:paraId="20225D97"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second is the company's widely publicized commitment to becoming carbon neutral across its value chain by 2030.</w:t>
      </w:r>
    </w:p>
    <w:p w14:paraId="616D33B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CDP responses distinguish between these commitments.</w:t>
      </w:r>
    </w:p>
    <w:p w14:paraId="356690E2" w14:textId="03A3870D" w:rsidR="00F96648" w:rsidRPr="00447793" w:rsidRDefault="00000000" w:rsidP="00AF7DD2">
      <w:pPr>
        <w:pStyle w:val="BodyText"/>
        <w:jc w:val="both"/>
        <w:rPr>
          <w:rFonts w:ascii="Times New Roman" w:hAnsi="Times New Roman" w:cs="Times New Roman"/>
        </w:rPr>
      </w:pPr>
      <w:r w:rsidRPr="00447793">
        <w:rPr>
          <w:rFonts w:ascii="Times New Roman" w:hAnsi="Times New Roman" w:cs="Times New Roman"/>
        </w:rPr>
        <w:t xml:space="preserve">While Apple's public communications frequently emphasize achieving approximately </w:t>
      </w:r>
      <w:r w:rsidRPr="00447793">
        <w:rPr>
          <w:rStyle w:val="Strong"/>
          <w:rFonts w:ascii="Times New Roman" w:hAnsi="Times New Roman" w:cs="Times New Roman"/>
          <w:b w:val="0"/>
          <w:bCs w:val="0"/>
        </w:rPr>
        <w:t>75% emissions reductions relative to the 2015 baseline</w:t>
      </w:r>
      <w:r w:rsidRPr="00447793">
        <w:rPr>
          <w:rFonts w:ascii="Times New Roman" w:hAnsi="Times New Roman" w:cs="Times New Roman"/>
        </w:rPr>
        <w:t xml:space="preserve">, the Science Based Target corresponds to a lower verified reduction pathway (approximately </w:t>
      </w:r>
      <w:r w:rsidRPr="00447793">
        <w:rPr>
          <w:rStyle w:val="Strong"/>
          <w:rFonts w:ascii="Times New Roman" w:hAnsi="Times New Roman" w:cs="Times New Roman"/>
          <w:b w:val="0"/>
          <w:bCs w:val="0"/>
        </w:rPr>
        <w:t>61.7%</w:t>
      </w:r>
      <w:r w:rsidR="00447793">
        <w:rPr>
          <w:rFonts w:ascii="Times New Roman" w:hAnsi="Times New Roman" w:cs="Times New Roman"/>
        </w:rPr>
        <w:t>).</w:t>
      </w:r>
    </w:p>
    <w:p w14:paraId="3AD102E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remaining emissions are expected to be addressed through carbon removal initiatives and residual emissions management.</w:t>
      </w:r>
    </w:p>
    <w:p w14:paraId="5267AFB3" w14:textId="4168DE93" w:rsidR="00AF7DD2"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This distinction is important because public discussions often interpret the 75% figure as total emissions reduction rather than the broader carbon neutrality framework that includes residual emissions.</w:t>
      </w:r>
    </w:p>
    <w:p w14:paraId="4520ADB9"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4.2 Supplier Environmental Requirements</w:t>
      </w:r>
    </w:p>
    <w:p w14:paraId="11B563BB"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places significant environmental expectations on Tier 1 suppliers.</w:t>
      </w:r>
    </w:p>
    <w:p w14:paraId="76BFC862"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CDP disclosures describe:</w:t>
      </w:r>
    </w:p>
    <w:p w14:paraId="3677546F" w14:textId="77777777" w:rsidR="00F96648" w:rsidRPr="00AF7DD2" w:rsidRDefault="00000000" w:rsidP="00AF7DD2">
      <w:pPr>
        <w:pStyle w:val="BodyText"/>
        <w:numPr>
          <w:ilvl w:val="0"/>
          <w:numId w:val="9"/>
        </w:numPr>
        <w:tabs>
          <w:tab w:val="left" w:pos="709"/>
        </w:tabs>
        <w:jc w:val="both"/>
        <w:rPr>
          <w:rFonts w:ascii="Times New Roman" w:hAnsi="Times New Roman" w:cs="Times New Roman"/>
        </w:rPr>
      </w:pPr>
      <w:r w:rsidRPr="00AF7DD2">
        <w:rPr>
          <w:rFonts w:ascii="Times New Roman" w:hAnsi="Times New Roman" w:cs="Times New Roman"/>
        </w:rPr>
        <w:t>supplier environmental requirements,</w:t>
      </w:r>
    </w:p>
    <w:p w14:paraId="1AEEF154" w14:textId="77777777" w:rsidR="00F96648" w:rsidRPr="00AF7DD2" w:rsidRDefault="00000000" w:rsidP="00AF7DD2">
      <w:pPr>
        <w:pStyle w:val="BodyText"/>
        <w:numPr>
          <w:ilvl w:val="0"/>
          <w:numId w:val="9"/>
        </w:numPr>
        <w:tabs>
          <w:tab w:val="left" w:pos="709"/>
        </w:tabs>
        <w:jc w:val="both"/>
        <w:rPr>
          <w:rFonts w:ascii="Times New Roman" w:hAnsi="Times New Roman" w:cs="Times New Roman"/>
        </w:rPr>
      </w:pPr>
      <w:r w:rsidRPr="00AF7DD2">
        <w:rPr>
          <w:rFonts w:ascii="Times New Roman" w:hAnsi="Times New Roman" w:cs="Times New Roman"/>
        </w:rPr>
        <w:t>monitoring procedures,</w:t>
      </w:r>
    </w:p>
    <w:p w14:paraId="5BACF689" w14:textId="77777777" w:rsidR="00F96648" w:rsidRPr="00AF7DD2" w:rsidRDefault="00000000" w:rsidP="00AF7DD2">
      <w:pPr>
        <w:pStyle w:val="BodyText"/>
        <w:numPr>
          <w:ilvl w:val="0"/>
          <w:numId w:val="9"/>
        </w:numPr>
        <w:tabs>
          <w:tab w:val="left" w:pos="709"/>
        </w:tabs>
        <w:jc w:val="both"/>
        <w:rPr>
          <w:rFonts w:ascii="Times New Roman" w:hAnsi="Times New Roman" w:cs="Times New Roman"/>
        </w:rPr>
      </w:pPr>
      <w:r w:rsidRPr="00AF7DD2">
        <w:rPr>
          <w:rFonts w:ascii="Times New Roman" w:hAnsi="Times New Roman" w:cs="Times New Roman"/>
        </w:rPr>
        <w:t>compliance verification,</w:t>
      </w:r>
    </w:p>
    <w:p w14:paraId="157AC981" w14:textId="77777777" w:rsidR="00F96648" w:rsidRPr="00AF7DD2" w:rsidRDefault="00000000" w:rsidP="00AF7DD2">
      <w:pPr>
        <w:pStyle w:val="BodyText"/>
        <w:numPr>
          <w:ilvl w:val="0"/>
          <w:numId w:val="9"/>
        </w:numPr>
        <w:tabs>
          <w:tab w:val="left" w:pos="709"/>
        </w:tabs>
        <w:jc w:val="both"/>
        <w:rPr>
          <w:rFonts w:ascii="Times New Roman" w:hAnsi="Times New Roman" w:cs="Times New Roman"/>
        </w:rPr>
      </w:pPr>
      <w:r w:rsidRPr="00AF7DD2">
        <w:rPr>
          <w:rFonts w:ascii="Times New Roman" w:hAnsi="Times New Roman" w:cs="Times New Roman"/>
        </w:rPr>
        <w:lastRenderedPageBreak/>
        <w:t>corrective action processes,</w:t>
      </w:r>
    </w:p>
    <w:p w14:paraId="22910446" w14:textId="77777777" w:rsidR="00F96648" w:rsidRPr="00AF7DD2" w:rsidRDefault="00000000" w:rsidP="00AF7DD2">
      <w:pPr>
        <w:pStyle w:val="BodyText"/>
        <w:numPr>
          <w:ilvl w:val="0"/>
          <w:numId w:val="9"/>
        </w:numPr>
        <w:tabs>
          <w:tab w:val="left" w:pos="709"/>
        </w:tabs>
        <w:jc w:val="both"/>
        <w:rPr>
          <w:rFonts w:ascii="Times New Roman" w:hAnsi="Times New Roman" w:cs="Times New Roman"/>
        </w:rPr>
      </w:pPr>
      <w:r w:rsidRPr="00AF7DD2">
        <w:rPr>
          <w:rFonts w:ascii="Times New Roman" w:hAnsi="Times New Roman" w:cs="Times New Roman"/>
        </w:rPr>
        <w:t>supplier engagement initiatives.</w:t>
      </w:r>
    </w:p>
    <w:p w14:paraId="305DC3ED"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Particular attention should be given to differences between:</w:t>
      </w:r>
    </w:p>
    <w:p w14:paraId="1832346A" w14:textId="77777777" w:rsidR="00F96648" w:rsidRPr="00AF7DD2" w:rsidRDefault="00000000" w:rsidP="00AF7DD2">
      <w:pPr>
        <w:pStyle w:val="BodyText"/>
        <w:numPr>
          <w:ilvl w:val="0"/>
          <w:numId w:val="10"/>
        </w:numPr>
        <w:tabs>
          <w:tab w:val="left" w:pos="709"/>
        </w:tabs>
        <w:jc w:val="both"/>
        <w:rPr>
          <w:rFonts w:ascii="Times New Roman" w:hAnsi="Times New Roman" w:cs="Times New Roman"/>
        </w:rPr>
      </w:pPr>
      <w:r w:rsidRPr="00AF7DD2">
        <w:rPr>
          <w:rFonts w:ascii="Times New Roman" w:hAnsi="Times New Roman" w:cs="Times New Roman"/>
        </w:rPr>
        <w:t>suppliers required to comply,</w:t>
      </w:r>
    </w:p>
    <w:p w14:paraId="59118DC3" w14:textId="77777777" w:rsidR="00F96648" w:rsidRPr="00AF7DD2" w:rsidRDefault="00000000" w:rsidP="00AF7DD2">
      <w:pPr>
        <w:pStyle w:val="BodyText"/>
        <w:numPr>
          <w:ilvl w:val="0"/>
          <w:numId w:val="10"/>
        </w:numPr>
        <w:tabs>
          <w:tab w:val="left" w:pos="709"/>
        </w:tabs>
        <w:jc w:val="both"/>
        <w:rPr>
          <w:rFonts w:ascii="Times New Roman" w:hAnsi="Times New Roman" w:cs="Times New Roman"/>
        </w:rPr>
      </w:pPr>
      <w:r w:rsidRPr="00AF7DD2">
        <w:rPr>
          <w:rFonts w:ascii="Times New Roman" w:hAnsi="Times New Roman" w:cs="Times New Roman"/>
        </w:rPr>
        <w:t>suppliers verified as compliant.</w:t>
      </w:r>
    </w:p>
    <w:p w14:paraId="11786814"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Any discrepancy between these values provides insight into implementation effectiveness rather than policy commitments alone.</w:t>
      </w:r>
    </w:p>
    <w:p w14:paraId="14615990" w14:textId="6F2F90AE" w:rsidR="00AF7DD2"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Apple's supplier engagement remains one of the primary mechanisms through which the company seeks to reduce Scope 3 emissions.</w:t>
      </w:r>
    </w:p>
    <w:p w14:paraId="130B62DA" w14:textId="77777777" w:rsidR="00F96648" w:rsidRPr="00AF7DD2" w:rsidRDefault="00000000" w:rsidP="00AF7DD2">
      <w:pPr>
        <w:pStyle w:val="Heading2"/>
        <w:jc w:val="both"/>
        <w:rPr>
          <w:rFonts w:ascii="Times New Roman" w:hAnsi="Times New Roman" w:cs="Times New Roman"/>
          <w:sz w:val="32"/>
          <w:szCs w:val="32"/>
        </w:rPr>
      </w:pPr>
      <w:r w:rsidRPr="00AF7DD2">
        <w:rPr>
          <w:rFonts w:ascii="Times New Roman" w:hAnsi="Times New Roman" w:cs="Times New Roman"/>
          <w:sz w:val="32"/>
          <w:szCs w:val="32"/>
        </w:rPr>
        <w:t>4.3 Methodological Changes and Reporting Boundaries</w:t>
      </w:r>
    </w:p>
    <w:p w14:paraId="36DBF2AD"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Methodological notes represent one of the most important sections of Apple's CDP disclosures.</w:t>
      </w:r>
    </w:p>
    <w:p w14:paraId="2EF9BA81"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These notes explain:</w:t>
      </w:r>
    </w:p>
    <w:p w14:paraId="3D74B0AB"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boundary changes,</w:t>
      </w:r>
    </w:p>
    <w:p w14:paraId="40AA66BD"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recalculated baselines,</w:t>
      </w:r>
    </w:p>
    <w:p w14:paraId="64343999"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revised emission factors,</w:t>
      </w:r>
    </w:p>
    <w:p w14:paraId="429293B9"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estimation methodologies,</w:t>
      </w:r>
    </w:p>
    <w:p w14:paraId="0C3A04B0"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exclusions,</w:t>
      </w:r>
    </w:p>
    <w:p w14:paraId="28D29DAB"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acquisitions,</w:t>
      </w:r>
    </w:p>
    <w:p w14:paraId="32F778C5" w14:textId="77777777" w:rsidR="00F96648" w:rsidRPr="00AF7DD2" w:rsidRDefault="00000000" w:rsidP="00AF7DD2">
      <w:pPr>
        <w:pStyle w:val="BodyText"/>
        <w:numPr>
          <w:ilvl w:val="0"/>
          <w:numId w:val="11"/>
        </w:numPr>
        <w:tabs>
          <w:tab w:val="left" w:pos="709"/>
        </w:tabs>
        <w:jc w:val="both"/>
        <w:rPr>
          <w:rFonts w:ascii="Times New Roman" w:hAnsi="Times New Roman" w:cs="Times New Roman"/>
        </w:rPr>
      </w:pPr>
      <w:r w:rsidRPr="00AF7DD2">
        <w:rPr>
          <w:rFonts w:ascii="Times New Roman" w:hAnsi="Times New Roman" w:cs="Times New Roman"/>
        </w:rPr>
        <w:t>organizational restructuring.</w:t>
      </w:r>
    </w:p>
    <w:p w14:paraId="5AE0FAA0" w14:textId="56D19C4E"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Several numerical changes observed in this analysis</w:t>
      </w:r>
      <w:r w:rsidR="00A96524">
        <w:rPr>
          <w:rFonts w:ascii="Times New Roman" w:hAnsi="Times New Roman" w:cs="Times New Roman"/>
        </w:rPr>
        <w:t xml:space="preserve"> with </w:t>
      </w:r>
      <w:r w:rsidRPr="00AF7DD2">
        <w:rPr>
          <w:rFonts w:ascii="Times New Roman" w:hAnsi="Times New Roman" w:cs="Times New Roman"/>
        </w:rPr>
        <w:t>particularly Scope 3 reductions and electricity procurement changes</w:t>
      </w:r>
      <w:r w:rsidR="00447793">
        <w:rPr>
          <w:rFonts w:ascii="Times New Roman" w:hAnsi="Times New Roman" w:cs="Times New Roman"/>
        </w:rPr>
        <w:t xml:space="preserve"> that </w:t>
      </w:r>
      <w:r w:rsidRPr="00AF7DD2">
        <w:rPr>
          <w:rFonts w:ascii="Times New Roman" w:hAnsi="Times New Roman" w:cs="Times New Roman"/>
        </w:rPr>
        <w:t>may be partially explained by these methodological revisions rather than operational improvements alone.</w:t>
      </w:r>
    </w:p>
    <w:p w14:paraId="112777F5" w14:textId="0ECE56E7" w:rsidR="00AF7DD2"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Therefore, numerical comparisons across reporting years should always be interpreted together with methodological disclosures.</w:t>
      </w:r>
    </w:p>
    <w:p w14:paraId="3664C95A" w14:textId="77777777" w:rsidR="00F96648" w:rsidRPr="00AF7DD2" w:rsidRDefault="00000000" w:rsidP="00AF7DD2">
      <w:pPr>
        <w:pStyle w:val="Heading1"/>
      </w:pPr>
      <w:r w:rsidRPr="00AF7DD2">
        <w:t>5. Discussion</w:t>
      </w:r>
    </w:p>
    <w:p w14:paraId="538D4F8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Apple continues to demonstrate one of the most comprehensive corporate climate reporting programs among global technology companies.</w:t>
      </w:r>
    </w:p>
    <w:p w14:paraId="6F317D22"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Several trends indicate meaningful progress:</w:t>
      </w:r>
    </w:p>
    <w:p w14:paraId="589A61EF" w14:textId="77777777" w:rsidR="00F96648" w:rsidRPr="00AF7DD2" w:rsidRDefault="00000000" w:rsidP="00AF7DD2">
      <w:pPr>
        <w:pStyle w:val="BodyText"/>
        <w:numPr>
          <w:ilvl w:val="0"/>
          <w:numId w:val="12"/>
        </w:numPr>
        <w:tabs>
          <w:tab w:val="left" w:pos="709"/>
        </w:tabs>
        <w:jc w:val="both"/>
        <w:rPr>
          <w:rFonts w:ascii="Times New Roman" w:hAnsi="Times New Roman" w:cs="Times New Roman"/>
        </w:rPr>
      </w:pPr>
      <w:r w:rsidRPr="00AF7DD2">
        <w:rPr>
          <w:rFonts w:ascii="Times New Roman" w:hAnsi="Times New Roman" w:cs="Times New Roman"/>
        </w:rPr>
        <w:t>declining Scope 3 emissions,</w:t>
      </w:r>
    </w:p>
    <w:p w14:paraId="35ABECE9" w14:textId="77777777" w:rsidR="00F96648" w:rsidRPr="00AF7DD2" w:rsidRDefault="00000000" w:rsidP="00AF7DD2">
      <w:pPr>
        <w:pStyle w:val="BodyText"/>
        <w:numPr>
          <w:ilvl w:val="0"/>
          <w:numId w:val="12"/>
        </w:numPr>
        <w:tabs>
          <w:tab w:val="left" w:pos="709"/>
        </w:tabs>
        <w:jc w:val="both"/>
        <w:rPr>
          <w:rFonts w:ascii="Times New Roman" w:hAnsi="Times New Roman" w:cs="Times New Roman"/>
        </w:rPr>
      </w:pPr>
      <w:r w:rsidRPr="00AF7DD2">
        <w:rPr>
          <w:rFonts w:ascii="Times New Roman" w:hAnsi="Times New Roman" w:cs="Times New Roman"/>
        </w:rPr>
        <w:t>extensive supplier engagement,</w:t>
      </w:r>
    </w:p>
    <w:p w14:paraId="1FAC6D61" w14:textId="77777777" w:rsidR="00F96648" w:rsidRPr="00AF7DD2" w:rsidRDefault="00000000" w:rsidP="00AF7DD2">
      <w:pPr>
        <w:pStyle w:val="BodyText"/>
        <w:numPr>
          <w:ilvl w:val="0"/>
          <w:numId w:val="12"/>
        </w:numPr>
        <w:tabs>
          <w:tab w:val="left" w:pos="709"/>
        </w:tabs>
        <w:jc w:val="both"/>
        <w:rPr>
          <w:rFonts w:ascii="Times New Roman" w:hAnsi="Times New Roman" w:cs="Times New Roman"/>
        </w:rPr>
      </w:pPr>
      <w:r w:rsidRPr="00AF7DD2">
        <w:rPr>
          <w:rFonts w:ascii="Times New Roman" w:hAnsi="Times New Roman" w:cs="Times New Roman"/>
        </w:rPr>
        <w:t>continued renewable electricity procurement,</w:t>
      </w:r>
    </w:p>
    <w:p w14:paraId="34ECE7B3" w14:textId="77777777" w:rsidR="00F96648" w:rsidRPr="00AF7DD2" w:rsidRDefault="00000000" w:rsidP="00AF7DD2">
      <w:pPr>
        <w:pStyle w:val="BodyText"/>
        <w:numPr>
          <w:ilvl w:val="0"/>
          <w:numId w:val="12"/>
        </w:numPr>
        <w:tabs>
          <w:tab w:val="left" w:pos="709"/>
        </w:tabs>
        <w:jc w:val="both"/>
        <w:rPr>
          <w:rFonts w:ascii="Times New Roman" w:hAnsi="Times New Roman" w:cs="Times New Roman"/>
        </w:rPr>
      </w:pPr>
      <w:r w:rsidRPr="00AF7DD2">
        <w:rPr>
          <w:rFonts w:ascii="Times New Roman" w:hAnsi="Times New Roman" w:cs="Times New Roman"/>
        </w:rPr>
        <w:t>long-term climate targets.</w:t>
      </w:r>
    </w:p>
    <w:p w14:paraId="7F81801C"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lastRenderedPageBreak/>
        <w:t>However, the analysis also identifies several reporting characteristics that require careful interpretation.</w:t>
      </w:r>
    </w:p>
    <w:p w14:paraId="261CBA52"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These include:</w:t>
      </w:r>
    </w:p>
    <w:p w14:paraId="372490EA" w14:textId="77777777" w:rsidR="00F96648" w:rsidRPr="00AF7DD2" w:rsidRDefault="00000000" w:rsidP="00AF7DD2">
      <w:pPr>
        <w:pStyle w:val="BodyText"/>
        <w:numPr>
          <w:ilvl w:val="0"/>
          <w:numId w:val="13"/>
        </w:numPr>
        <w:tabs>
          <w:tab w:val="left" w:pos="709"/>
        </w:tabs>
        <w:jc w:val="both"/>
        <w:rPr>
          <w:rFonts w:ascii="Times New Roman" w:hAnsi="Times New Roman" w:cs="Times New Roman"/>
        </w:rPr>
      </w:pPr>
      <w:r w:rsidRPr="00AF7DD2">
        <w:rPr>
          <w:rFonts w:ascii="Times New Roman" w:hAnsi="Times New Roman" w:cs="Times New Roman"/>
        </w:rPr>
        <w:t>identical Scope 1 emissions across four consecutive years,</w:t>
      </w:r>
    </w:p>
    <w:p w14:paraId="10D83288" w14:textId="77777777" w:rsidR="00F96648" w:rsidRPr="00AF7DD2" w:rsidRDefault="00000000" w:rsidP="00AF7DD2">
      <w:pPr>
        <w:pStyle w:val="BodyText"/>
        <w:numPr>
          <w:ilvl w:val="0"/>
          <w:numId w:val="13"/>
        </w:numPr>
        <w:tabs>
          <w:tab w:val="left" w:pos="709"/>
        </w:tabs>
        <w:jc w:val="both"/>
        <w:rPr>
          <w:rFonts w:ascii="Times New Roman" w:hAnsi="Times New Roman" w:cs="Times New Roman"/>
        </w:rPr>
      </w:pPr>
      <w:r w:rsidRPr="00AF7DD2">
        <w:rPr>
          <w:rFonts w:ascii="Times New Roman" w:hAnsi="Times New Roman" w:cs="Times New Roman"/>
        </w:rPr>
        <w:t>significant divergence between location-based and market-based Scope 2 emissions,</w:t>
      </w:r>
    </w:p>
    <w:p w14:paraId="511756DC" w14:textId="77777777" w:rsidR="00F96648" w:rsidRPr="00AF7DD2" w:rsidRDefault="00000000" w:rsidP="00AF7DD2">
      <w:pPr>
        <w:pStyle w:val="BodyText"/>
        <w:numPr>
          <w:ilvl w:val="0"/>
          <w:numId w:val="13"/>
        </w:numPr>
        <w:tabs>
          <w:tab w:val="left" w:pos="709"/>
        </w:tabs>
        <w:jc w:val="both"/>
        <w:rPr>
          <w:rFonts w:ascii="Times New Roman" w:hAnsi="Times New Roman" w:cs="Times New Roman"/>
        </w:rPr>
      </w:pPr>
      <w:r w:rsidRPr="00AF7DD2">
        <w:rPr>
          <w:rFonts w:ascii="Times New Roman" w:hAnsi="Times New Roman" w:cs="Times New Roman"/>
        </w:rPr>
        <w:t>substantial reductions in supplier emissions potentially influenced by methodology,</w:t>
      </w:r>
    </w:p>
    <w:p w14:paraId="076C0C65" w14:textId="77777777" w:rsidR="00F96648" w:rsidRPr="00AF7DD2" w:rsidRDefault="00000000" w:rsidP="00AF7DD2">
      <w:pPr>
        <w:pStyle w:val="BodyText"/>
        <w:numPr>
          <w:ilvl w:val="0"/>
          <w:numId w:val="13"/>
        </w:numPr>
        <w:tabs>
          <w:tab w:val="left" w:pos="709"/>
        </w:tabs>
        <w:jc w:val="both"/>
        <w:rPr>
          <w:rFonts w:ascii="Times New Roman" w:hAnsi="Times New Roman" w:cs="Times New Roman"/>
        </w:rPr>
      </w:pPr>
      <w:r w:rsidRPr="00AF7DD2">
        <w:rPr>
          <w:rFonts w:ascii="Times New Roman" w:hAnsi="Times New Roman" w:cs="Times New Roman"/>
        </w:rPr>
        <w:t>extremely low emissions intensity resulting from market-based accounting,</w:t>
      </w:r>
    </w:p>
    <w:p w14:paraId="57242355" w14:textId="77777777" w:rsidR="00F96648" w:rsidRPr="00AF7DD2" w:rsidRDefault="00000000" w:rsidP="00AF7DD2">
      <w:pPr>
        <w:pStyle w:val="BodyText"/>
        <w:numPr>
          <w:ilvl w:val="0"/>
          <w:numId w:val="13"/>
        </w:numPr>
        <w:tabs>
          <w:tab w:val="left" w:pos="709"/>
        </w:tabs>
        <w:jc w:val="both"/>
        <w:rPr>
          <w:rFonts w:ascii="Times New Roman" w:hAnsi="Times New Roman" w:cs="Times New Roman"/>
        </w:rPr>
      </w:pPr>
      <w:r w:rsidRPr="00AF7DD2">
        <w:rPr>
          <w:rFonts w:ascii="Times New Roman" w:hAnsi="Times New Roman" w:cs="Times New Roman"/>
        </w:rPr>
        <w:t>major shifts in electricity reporting classifications.</w:t>
      </w:r>
    </w:p>
    <w:p w14:paraId="206C46E7"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None of these observations necessarily indicate inaccurate reporting.</w:t>
      </w:r>
    </w:p>
    <w:p w14:paraId="74E8C948"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Instead, they demonstrate the importance of understanding greenhouse gas accounting methodologies when evaluating corporate sustainability performance.</w:t>
      </w:r>
    </w:p>
    <w:p w14:paraId="7DA8F05D" w14:textId="1CE8A0C8" w:rsidR="00AF7DD2"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For researchers, investors, regulators, and ESG analysts, methodological transparency is as important as emissions totals themselves.</w:t>
      </w:r>
    </w:p>
    <w:p w14:paraId="23D83B57" w14:textId="77777777" w:rsidR="00F96648" w:rsidRPr="00AF7DD2" w:rsidRDefault="00000000" w:rsidP="00AF7DD2">
      <w:pPr>
        <w:pStyle w:val="Heading1"/>
      </w:pPr>
      <w:r w:rsidRPr="00AF7DD2">
        <w:t>6. Conclusion</w:t>
      </w:r>
    </w:p>
    <w:p w14:paraId="39693FDD"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analysis of Apple's CDP disclosures between 2021 and 2025 reveals a company that has made measurable progress toward reducing reported greenhouse gas emissions while simultaneously employing sophisticated carbon accounting practices permitted under internationally accepted reporting standards.</w:t>
      </w:r>
    </w:p>
    <w:p w14:paraId="15C3D129" w14:textId="77777777"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The strongest quantitative evidence includes the continued reduction in Scope 3 purchased goods emissions and consistently low market-based Scope 2 emissions. Nevertheless, unusually stable Scope 1 emissions, significant differences between electricity accounting methods, and apparent methodological shifts suggest that numerical trends should not be interpreted independently from disclosure narratives.</w:t>
      </w:r>
    </w:p>
    <w:p w14:paraId="042D3F3F" w14:textId="36B0DDC8" w:rsidR="00F96648" w:rsidRPr="00AF7DD2" w:rsidRDefault="00000000" w:rsidP="00AF7DD2">
      <w:pPr>
        <w:pStyle w:val="BodyText"/>
        <w:jc w:val="both"/>
        <w:rPr>
          <w:rFonts w:ascii="Times New Roman" w:hAnsi="Times New Roman" w:cs="Times New Roman"/>
        </w:rPr>
      </w:pPr>
      <w:r w:rsidRPr="00AF7DD2">
        <w:rPr>
          <w:rFonts w:ascii="Times New Roman" w:hAnsi="Times New Roman" w:cs="Times New Roman"/>
        </w:rPr>
        <w:t>Overall, Apple's climate disclosures present a comprehensive sustainability strategy supported by supplier engagement, renewable electricity procurement, and long-term emissions reduction targets. However, evaluating the effectiveness of these initiatives requires considering both reported emissions data and the accounting methodologies that underpin those results.</w:t>
      </w:r>
    </w:p>
    <w:sectPr w:rsidR="00F96648" w:rsidRPr="00AF7DD2">
      <w:headerReference w:type="even" r:id="rId15"/>
      <w:headerReference w:type="default" r:id="rId16"/>
      <w:footerReference w:type="even" r:id="rId17"/>
      <w:footerReference w:type="default" r:id="rId18"/>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9615D9" w14:textId="77777777" w:rsidR="00080639" w:rsidRDefault="00080639" w:rsidP="00516F0F">
      <w:r>
        <w:separator/>
      </w:r>
    </w:p>
  </w:endnote>
  <w:endnote w:type="continuationSeparator" w:id="0">
    <w:p w14:paraId="0B7B19E2" w14:textId="77777777" w:rsidR="00080639" w:rsidRDefault="00080639" w:rsidP="00516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37816029"/>
      <w:docPartObj>
        <w:docPartGallery w:val="Page Numbers (Bottom of Page)"/>
        <w:docPartUnique/>
      </w:docPartObj>
    </w:sdtPr>
    <w:sdtContent>
      <w:p w14:paraId="38D7293B" w14:textId="3A5639E8" w:rsidR="00516F0F" w:rsidRDefault="00516F0F" w:rsidP="000B70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AEB80A" w14:textId="77777777" w:rsidR="00516F0F" w:rsidRDefault="00516F0F" w:rsidP="00516F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B9C12" w14:textId="77777777" w:rsidR="00516F0F" w:rsidRDefault="00516F0F" w:rsidP="00516F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7432B3" w14:textId="77777777" w:rsidR="00080639" w:rsidRDefault="00080639" w:rsidP="00516F0F">
      <w:r>
        <w:separator/>
      </w:r>
    </w:p>
  </w:footnote>
  <w:footnote w:type="continuationSeparator" w:id="0">
    <w:p w14:paraId="53B4EF47" w14:textId="77777777" w:rsidR="00080639" w:rsidRDefault="00080639" w:rsidP="00516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4682476"/>
      <w:docPartObj>
        <w:docPartGallery w:val="Page Numbers (Top of Page)"/>
        <w:docPartUnique/>
      </w:docPartObj>
    </w:sdtPr>
    <w:sdtContent>
      <w:p w14:paraId="681EF830" w14:textId="14C57A4A" w:rsidR="00516F0F" w:rsidRDefault="00516F0F" w:rsidP="00516F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2FA022" w14:textId="77777777" w:rsidR="00516F0F" w:rsidRDefault="00516F0F" w:rsidP="00516F0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06442" w14:textId="77777777" w:rsidR="00516F0F" w:rsidRDefault="00516F0F" w:rsidP="00516F0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A1D54"/>
    <w:multiLevelType w:val="multilevel"/>
    <w:tmpl w:val="C4E412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530346E"/>
    <w:multiLevelType w:val="multilevel"/>
    <w:tmpl w:val="53AEBB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9627F40"/>
    <w:multiLevelType w:val="multilevel"/>
    <w:tmpl w:val="34840C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EDE3B37"/>
    <w:multiLevelType w:val="multilevel"/>
    <w:tmpl w:val="EFCE64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0C35DE7"/>
    <w:multiLevelType w:val="multilevel"/>
    <w:tmpl w:val="4A0408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2594830"/>
    <w:multiLevelType w:val="multilevel"/>
    <w:tmpl w:val="386006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E34235B"/>
    <w:multiLevelType w:val="multilevel"/>
    <w:tmpl w:val="241003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E4E73B1"/>
    <w:multiLevelType w:val="multilevel"/>
    <w:tmpl w:val="5D38A7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3BE2080"/>
    <w:multiLevelType w:val="multilevel"/>
    <w:tmpl w:val="002A97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309434E"/>
    <w:multiLevelType w:val="multilevel"/>
    <w:tmpl w:val="639AA2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C1D1BCF"/>
    <w:multiLevelType w:val="multilevel"/>
    <w:tmpl w:val="FD762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C43434F"/>
    <w:multiLevelType w:val="multilevel"/>
    <w:tmpl w:val="D8E690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E7D7717"/>
    <w:multiLevelType w:val="multilevel"/>
    <w:tmpl w:val="1AE06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2948054">
    <w:abstractNumId w:val="9"/>
  </w:num>
  <w:num w:numId="2" w16cid:durableId="708186553">
    <w:abstractNumId w:val="1"/>
  </w:num>
  <w:num w:numId="3" w16cid:durableId="970401641">
    <w:abstractNumId w:val="4"/>
  </w:num>
  <w:num w:numId="4" w16cid:durableId="1055003384">
    <w:abstractNumId w:val="0"/>
  </w:num>
  <w:num w:numId="5" w16cid:durableId="865102277">
    <w:abstractNumId w:val="10"/>
  </w:num>
  <w:num w:numId="6" w16cid:durableId="2013988274">
    <w:abstractNumId w:val="5"/>
  </w:num>
  <w:num w:numId="7" w16cid:durableId="1379278300">
    <w:abstractNumId w:val="11"/>
  </w:num>
  <w:num w:numId="8" w16cid:durableId="2141072658">
    <w:abstractNumId w:val="8"/>
  </w:num>
  <w:num w:numId="9" w16cid:durableId="173422951">
    <w:abstractNumId w:val="2"/>
  </w:num>
  <w:num w:numId="10" w16cid:durableId="1616600934">
    <w:abstractNumId w:val="6"/>
  </w:num>
  <w:num w:numId="11" w16cid:durableId="346323524">
    <w:abstractNumId w:val="7"/>
  </w:num>
  <w:num w:numId="12" w16cid:durableId="1034965697">
    <w:abstractNumId w:val="3"/>
  </w:num>
  <w:num w:numId="13" w16cid:durableId="107558652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96648"/>
    <w:rsid w:val="00080639"/>
    <w:rsid w:val="00447793"/>
    <w:rsid w:val="00516F0F"/>
    <w:rsid w:val="006079D6"/>
    <w:rsid w:val="006A728C"/>
    <w:rsid w:val="00946E30"/>
    <w:rsid w:val="00A96524"/>
    <w:rsid w:val="00AF7DD2"/>
    <w:rsid w:val="00F96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57CA"/>
  <w15:docId w15:val="{463BA798-66F0-8840-9635-B42ED6F5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Noto Sans Devanagari"/>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rsid w:val="00AF7DD2"/>
    <w:pPr>
      <w:jc w:val="both"/>
      <w:outlineLvl w:val="0"/>
    </w:pPr>
    <w:rPr>
      <w:rFonts w:ascii="Times New Roman" w:eastAsia="Noto Serif CJK SC" w:hAnsi="Times New Roman" w:cs="Times New Roman"/>
      <w:b/>
      <w:bCs/>
      <w:sz w:val="36"/>
      <w:szCs w:val="36"/>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character" w:styleId="Hyperlink">
    <w:name w:val="Hyperlink"/>
    <w:basedOn w:val="DefaultParagraphFont"/>
    <w:uiPriority w:val="99"/>
    <w:unhideWhenUsed/>
    <w:rsid w:val="00AF7DD2"/>
    <w:rPr>
      <w:color w:val="0000EE" w:themeColor="hyperlink"/>
      <w:u w:val="single"/>
    </w:rPr>
  </w:style>
  <w:style w:type="character" w:styleId="UnresolvedMention">
    <w:name w:val="Unresolved Mention"/>
    <w:basedOn w:val="DefaultParagraphFont"/>
    <w:uiPriority w:val="99"/>
    <w:semiHidden/>
    <w:unhideWhenUsed/>
    <w:rsid w:val="00AF7DD2"/>
    <w:rPr>
      <w:color w:val="605E5C"/>
      <w:shd w:val="clear" w:color="auto" w:fill="E1DFDD"/>
    </w:rPr>
  </w:style>
  <w:style w:type="paragraph" w:styleId="Header">
    <w:name w:val="header"/>
    <w:basedOn w:val="Normal"/>
    <w:link w:val="HeaderChar"/>
    <w:uiPriority w:val="99"/>
    <w:unhideWhenUsed/>
    <w:rsid w:val="00516F0F"/>
    <w:pPr>
      <w:tabs>
        <w:tab w:val="center" w:pos="4513"/>
        <w:tab w:val="right" w:pos="9026"/>
      </w:tabs>
    </w:pPr>
    <w:rPr>
      <w:rFonts w:cs="Mangal"/>
      <w:szCs w:val="21"/>
    </w:rPr>
  </w:style>
  <w:style w:type="character" w:customStyle="1" w:styleId="HeaderChar">
    <w:name w:val="Header Char"/>
    <w:basedOn w:val="DefaultParagraphFont"/>
    <w:link w:val="Header"/>
    <w:uiPriority w:val="99"/>
    <w:rsid w:val="00516F0F"/>
    <w:rPr>
      <w:rFonts w:cs="Mangal"/>
      <w:szCs w:val="21"/>
    </w:rPr>
  </w:style>
  <w:style w:type="character" w:styleId="PageNumber">
    <w:name w:val="page number"/>
    <w:basedOn w:val="DefaultParagraphFont"/>
    <w:uiPriority w:val="99"/>
    <w:semiHidden/>
    <w:unhideWhenUsed/>
    <w:rsid w:val="00516F0F"/>
  </w:style>
  <w:style w:type="paragraph" w:styleId="Footer">
    <w:name w:val="footer"/>
    <w:basedOn w:val="Normal"/>
    <w:link w:val="FooterChar"/>
    <w:uiPriority w:val="99"/>
    <w:unhideWhenUsed/>
    <w:rsid w:val="00516F0F"/>
    <w:pPr>
      <w:tabs>
        <w:tab w:val="center" w:pos="4513"/>
        <w:tab w:val="right" w:pos="9026"/>
      </w:tabs>
    </w:pPr>
    <w:rPr>
      <w:rFonts w:cs="Mangal"/>
      <w:szCs w:val="21"/>
    </w:rPr>
  </w:style>
  <w:style w:type="character" w:customStyle="1" w:styleId="FooterChar">
    <w:name w:val="Footer Char"/>
    <w:basedOn w:val="DefaultParagraphFont"/>
    <w:link w:val="Footer"/>
    <w:uiPriority w:val="99"/>
    <w:rsid w:val="00516F0F"/>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reyit/cdp_analysis"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hreyit/cdp_analysis/blob/main/Apple_Responses.xlsx" TargetMode="External"/><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142EF-1CBC-2146-B555-69893A32E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Shreyit Sinha</cp:lastModifiedBy>
  <cp:revision>6</cp:revision>
  <dcterms:created xsi:type="dcterms:W3CDTF">2026-08-04T11:49:00Z</dcterms:created>
  <dcterms:modified xsi:type="dcterms:W3CDTF">2026-08-04T07:19:00Z</dcterms:modified>
  <dc:language>en-IN</dc:language>
</cp:coreProperties>
</file>