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jc w:val="start"/>
        <w:rPr/>
      </w:pPr>
      <w:r>
        <w:rPr/>
        <w:t>Apple Inc. CDP Climate Disclosure Analysis (2021-2025)</w:t>
      </w:r>
    </w:p>
    <w:p>
      <w:pPr>
        <w:pStyle w:val="Heading2"/>
        <w:bidi w:val="0"/>
        <w:jc w:val="start"/>
        <w:rPr/>
      </w:pPr>
      <w:r>
        <w:rPr/>
        <w:t>Executive Summary</w:t>
      </w:r>
    </w:p>
    <w:p>
      <w:pPr>
        <w:pStyle w:val="BodyText"/>
        <w:bidi w:val="0"/>
        <w:jc w:val="start"/>
        <w:rPr/>
      </w:pPr>
      <w:r>
        <w:rPr/>
        <w:t>This report analyzes Apple's CDP Climate Change responses from 2021 to 2025 using the consolidated dataset (</w:t>
      </w:r>
      <w:r>
        <w:rPr>
          <w:rStyle w:val="Strong"/>
        </w:rPr>
        <w:t>Apple_Responses.xlsx</w:t>
      </w:r>
      <w:r>
        <w:rPr/>
        <w:t xml:space="preserve">) containing approximately </w:t>
      </w:r>
      <w:r>
        <w:rPr>
          <w:rStyle w:val="Strong"/>
        </w:rPr>
        <w:t>5,860 records</w:t>
      </w:r>
      <w:r>
        <w:rPr/>
        <w:t xml:space="preserve"> across two reporting schemas (2021–2023: C0–C11 and 2024–2025: C1–C13). The objective is to identify major quantitative trends and qualitative disclosures that are significant from an ESG, sustainability, and corporate reporting perspective.</w:t>
      </w:r>
    </w:p>
    <w:p>
      <w:pPr>
        <w:pStyle w:val="BodyText"/>
        <w:bidi w:val="0"/>
        <w:jc w:val="start"/>
        <w:rPr/>
      </w:pPr>
      <w:r>
        <w:rPr/>
        <w:t>The analysis focuses on seven high-impact variables that are frequently discussed in sustainability research, financial media, and public forums. These variables were selected because they directly influence Apple's carbon neutrality narrative, supply chain sustainability claims, and greenhouse gas accounting practices.</w:t>
      </w:r>
    </w:p>
    <w:p>
      <w:pPr>
        <w:pStyle w:val="BodyText"/>
        <w:bidi w:val="0"/>
        <w:jc w:val="start"/>
        <w:rPr/>
      </w:pPr>
      <w:r>
        <w:rPr/>
        <w:t>The findings reveal that while Apple demonstrates substantial reductions in reported Scope 3 emissions and maintains near-zero market-based Scope 2 emissions, several reporting patterns warrant closer examination. These include unusually constant Scope 1 emissions, increasing location-based electricity emissions despite renewable energy claims, significant reductions in purchased goods emissions that may be influenced by methodological revisions, and the use of market-based accounting to present exceptionally low emissions intensity figures.</w:t>
      </w:r>
    </w:p>
    <w:p>
      <w:pPr>
        <w:pStyle w:val="BodyText"/>
        <w:bidi w:val="0"/>
        <w:jc w:val="start"/>
        <w:rPr/>
      </w:pPr>
      <w:r>
        <w:rPr/>
        <w:t>Overall, Apple's disclosures align with CDP reporting standards; however, several indicators suggest that interpretation of these figures requires understanding of reporting boundaries, accounting methodologies, and renewable electricity procurement practices rather than relying solely on headline emission values.</w:t>
      </w:r>
    </w:p>
    <w:p>
      <w:pPr>
        <w:pStyle w:val="HorizontalLine"/>
        <w:bidi w:val="0"/>
        <w:jc w:val="start"/>
        <w:rPr/>
      </w:pPr>
      <w:r>
        <w:rPr/>
      </w:r>
    </w:p>
    <w:p>
      <w:pPr>
        <w:pStyle w:val="Heading1"/>
        <w:bidi w:val="0"/>
        <w:jc w:val="start"/>
        <w:rPr/>
      </w:pPr>
      <w:r>
        <w:rPr/>
        <w:t>1. Introduction</w:t>
      </w:r>
    </w:p>
    <w:p>
      <w:pPr>
        <w:pStyle w:val="BodyText"/>
        <w:bidi w:val="0"/>
        <w:jc w:val="start"/>
        <w:rPr/>
      </w:pPr>
      <w:r>
        <w:rPr/>
        <w:t>Climate disclosure has become an essential component of Environmental, Social, and Governance (ESG) reporting. Through the Carbon Disclosure Project (CDP), companies voluntarily disclose climate-related risks, greenhouse gas emissions, reduction strategies, and sustainability initiatives.</w:t>
      </w:r>
    </w:p>
    <w:p>
      <w:pPr>
        <w:pStyle w:val="BodyText"/>
        <w:bidi w:val="0"/>
        <w:jc w:val="start"/>
        <w:rPr/>
      </w:pPr>
      <w:r>
        <w:rPr/>
        <w:t>Apple has consistently positioned itself as a leader in corporate sustainability, publicly committing to becoming carbon neutral across its entire value chain by 2030. Evaluating these claims requires analysis beyond headline emissions, examining the underlying reporting methodology, emissions accounting practices, supplier engagement strategies, and year-over-year disclosure trends.</w:t>
      </w:r>
    </w:p>
    <w:p>
      <w:pPr>
        <w:pStyle w:val="BodyText"/>
        <w:bidi w:val="0"/>
        <w:jc w:val="start"/>
        <w:rPr/>
      </w:pPr>
      <w:r>
        <w:rPr/>
        <w:t>This report analyzes Apple's CDP disclosures over five reporting years (2021–2025), identifying both numerical trends and qualitative reporting practices that influence the interpretation of Apple's sustainability performance.</w:t>
      </w:r>
    </w:p>
    <w:p>
      <w:pPr>
        <w:pStyle w:val="HorizontalLine"/>
        <w:bidi w:val="0"/>
        <w:jc w:val="start"/>
        <w:rPr/>
      </w:pPr>
      <w:r>
        <w:rPr/>
      </w:r>
    </w:p>
    <w:p>
      <w:pPr>
        <w:pStyle w:val="Heading1"/>
        <w:bidi w:val="0"/>
        <w:jc w:val="start"/>
        <w:rPr/>
      </w:pPr>
      <w:r>
        <w:rPr/>
        <w:t>2. Dataset Overview</w:t>
      </w:r>
    </w:p>
    <w:p>
      <w:pPr>
        <w:pStyle w:val="BodyText"/>
        <w:bidi w:val="0"/>
        <w:jc w:val="start"/>
        <w:rPr/>
      </w:pPr>
      <w:r>
        <w:rPr/>
        <w:t xml:space="preserve">The dataset consists of approximately </w:t>
      </w:r>
      <w:r>
        <w:rPr>
          <w:rStyle w:val="Strong"/>
        </w:rPr>
        <w:t>5,860 records</w:t>
      </w:r>
      <w:r>
        <w:rPr/>
        <w:t xml:space="preserve"> collected from Apple's publicly available CDP Climate Change questionnaires.</w:t>
      </w:r>
    </w:p>
    <w:p>
      <w:pPr>
        <w:pStyle w:val="Heading3"/>
        <w:bidi w:val="0"/>
        <w:jc w:val="start"/>
        <w:rPr/>
      </w:pPr>
      <w:r>
        <w:rPr/>
        <w:t>Reporting Structure</w:t>
      </w:r>
    </w:p>
    <w:tbl>
      <w:tblPr>
        <w:tblW w:w="5001" w:type="dxa"/>
        <w:jc w:val="start"/>
        <w:tblInd w:w="0" w:type="dxa"/>
        <w:tblLayout w:type="fixed"/>
        <w:tblCellMar>
          <w:top w:w="28" w:type="dxa"/>
          <w:start w:w="28" w:type="dxa"/>
          <w:bottom w:w="28" w:type="dxa"/>
          <w:end w:w="28" w:type="dxa"/>
        </w:tblCellMar>
      </w:tblPr>
      <w:tblGrid>
        <w:gridCol w:w="1793"/>
        <w:gridCol w:w="3208"/>
      </w:tblGrid>
      <w:tr>
        <w:trPr>
          <w:tblHeader w:val="true"/>
        </w:trPr>
        <w:tc>
          <w:tcPr>
            <w:tcW w:w="1793" w:type="dxa"/>
            <w:tcBorders/>
            <w:vAlign w:val="center"/>
          </w:tcPr>
          <w:p>
            <w:pPr>
              <w:pStyle w:val="TableHeading"/>
              <w:suppressLineNumbers/>
              <w:bidi w:val="0"/>
              <w:jc w:val="center"/>
              <w:rPr/>
            </w:pPr>
            <w:r>
              <w:rPr/>
              <w:t>Reporting Years</w:t>
            </w:r>
          </w:p>
        </w:tc>
        <w:tc>
          <w:tcPr>
            <w:tcW w:w="3208" w:type="dxa"/>
            <w:tcBorders/>
            <w:vAlign w:val="center"/>
          </w:tcPr>
          <w:p>
            <w:pPr>
              <w:pStyle w:val="TableHeading"/>
              <w:suppressLineNumbers/>
              <w:bidi w:val="0"/>
              <w:jc w:val="center"/>
              <w:rPr/>
            </w:pPr>
            <w:r>
              <w:rPr/>
              <w:t>Schema</w:t>
            </w:r>
          </w:p>
        </w:tc>
      </w:tr>
      <w:tr>
        <w:trPr/>
        <w:tc>
          <w:tcPr>
            <w:tcW w:w="1793" w:type="dxa"/>
            <w:tcBorders/>
            <w:vAlign w:val="center"/>
          </w:tcPr>
          <w:p>
            <w:pPr>
              <w:pStyle w:val="TableContents"/>
              <w:widowControl w:val="false"/>
              <w:suppressLineNumbers/>
              <w:bidi w:val="0"/>
              <w:jc w:val="start"/>
              <w:rPr/>
            </w:pPr>
            <w:r>
              <w:rPr/>
              <w:t>2021–2023</w:t>
            </w:r>
          </w:p>
        </w:tc>
        <w:tc>
          <w:tcPr>
            <w:tcW w:w="3208" w:type="dxa"/>
            <w:tcBorders/>
            <w:vAlign w:val="center"/>
          </w:tcPr>
          <w:p>
            <w:pPr>
              <w:pStyle w:val="TableContents"/>
              <w:widowControl w:val="false"/>
              <w:suppressLineNumbers/>
              <w:bidi w:val="0"/>
              <w:jc w:val="start"/>
              <w:rPr/>
            </w:pPr>
            <w:r>
              <w:rPr/>
              <w:t>Legacy CDP format (C0–C11)</w:t>
            </w:r>
          </w:p>
        </w:tc>
      </w:tr>
      <w:tr>
        <w:trPr/>
        <w:tc>
          <w:tcPr>
            <w:tcW w:w="1793" w:type="dxa"/>
            <w:tcBorders/>
            <w:vAlign w:val="center"/>
          </w:tcPr>
          <w:p>
            <w:pPr>
              <w:pStyle w:val="TableContents"/>
              <w:widowControl w:val="false"/>
              <w:suppressLineNumbers/>
              <w:bidi w:val="0"/>
              <w:jc w:val="start"/>
              <w:rPr/>
            </w:pPr>
            <w:r>
              <w:rPr/>
              <w:t>2024–2025</w:t>
            </w:r>
          </w:p>
        </w:tc>
        <w:tc>
          <w:tcPr>
            <w:tcW w:w="3208" w:type="dxa"/>
            <w:tcBorders/>
            <w:vAlign w:val="center"/>
          </w:tcPr>
          <w:p>
            <w:pPr>
              <w:pStyle w:val="TableContents"/>
              <w:widowControl w:val="false"/>
              <w:suppressLineNumbers/>
              <w:bidi w:val="0"/>
              <w:jc w:val="start"/>
              <w:rPr/>
            </w:pPr>
            <w:r>
              <w:rPr/>
              <w:t>Updated CDP format (C1–C13)</w:t>
            </w:r>
          </w:p>
        </w:tc>
      </w:tr>
    </w:tbl>
    <w:p>
      <w:pPr>
        <w:pStyle w:val="BodyText"/>
        <w:bidi w:val="0"/>
        <w:jc w:val="start"/>
        <w:rPr/>
      </w:pPr>
      <w:r>
        <w:rPr/>
        <w:t>Although the questionnaire structure changed in 2024, corresponding variables were mapped across years to enable longitudinal analysis.</w:t>
      </w:r>
    </w:p>
    <w:p>
      <w:pPr>
        <w:pStyle w:val="HorizontalLine"/>
        <w:bidi w:val="0"/>
        <w:jc w:val="start"/>
        <w:rPr/>
      </w:pPr>
      <w:r>
        <w:rPr/>
      </w:r>
    </w:p>
    <w:p>
      <w:pPr>
        <w:pStyle w:val="Heading1"/>
        <w:bidi w:val="0"/>
        <w:jc w:val="start"/>
        <w:rPr/>
      </w:pPr>
      <w:r>
        <w:rPr/>
        <w:t>3. Quantitative Analysis</w:t>
      </w:r>
    </w:p>
    <w:p>
      <w:pPr>
        <w:pStyle w:val="Heading2"/>
        <w:bidi w:val="0"/>
        <w:jc w:val="start"/>
        <w:rPr/>
      </w:pPr>
      <w:r>
        <w:rPr/>
        <w:t>3.1 Scope 1 Greenhouse Gas Emissions</w:t>
      </w:r>
    </w:p>
    <w:p>
      <w:pPr>
        <w:pStyle w:val="BodyText"/>
        <w:bidi w:val="0"/>
        <w:jc w:val="start"/>
        <w:rPr/>
      </w:pPr>
      <w:r>
        <w:rPr/>
        <w:t>Scope 1 emissions represent direct greenhouse gas emissions from company-owned or controlled operations, including facilities, laboratories, and vehicle fleets.</w:t>
      </w:r>
    </w:p>
    <w:p>
      <w:pPr>
        <w:pStyle w:val="BodyText"/>
        <w:bidi w:val="0"/>
        <w:jc w:val="start"/>
        <w:rPr/>
      </w:pPr>
      <w:r>
        <w:rPr/>
        <w:t>Apple reported:</w:t>
      </w:r>
    </w:p>
    <w:tbl>
      <w:tblPr>
        <w:tblW w:w="3454" w:type="dxa"/>
        <w:jc w:val="start"/>
        <w:tblInd w:w="0" w:type="dxa"/>
        <w:tblLayout w:type="fixed"/>
        <w:tblCellMar>
          <w:top w:w="28" w:type="dxa"/>
          <w:start w:w="28" w:type="dxa"/>
          <w:bottom w:w="28" w:type="dxa"/>
          <w:end w:w="28" w:type="dxa"/>
        </w:tblCellMar>
      </w:tblPr>
      <w:tblGrid>
        <w:gridCol w:w="601"/>
        <w:gridCol w:w="2853"/>
      </w:tblGrid>
      <w:tr>
        <w:trPr>
          <w:tblHeader w:val="true"/>
        </w:trPr>
        <w:tc>
          <w:tcPr>
            <w:tcW w:w="601" w:type="dxa"/>
            <w:tcBorders/>
            <w:vAlign w:val="center"/>
          </w:tcPr>
          <w:p>
            <w:pPr>
              <w:pStyle w:val="TableHeading"/>
              <w:suppressLineNumbers/>
              <w:bidi w:val="0"/>
              <w:jc w:val="center"/>
              <w:rPr/>
            </w:pPr>
            <w:r>
              <w:rPr/>
              <w:t>Year</w:t>
            </w:r>
          </w:p>
        </w:tc>
        <w:tc>
          <w:tcPr>
            <w:tcW w:w="2853" w:type="dxa"/>
            <w:tcBorders/>
            <w:vAlign w:val="center"/>
          </w:tcPr>
          <w:p>
            <w:pPr>
              <w:pStyle w:val="TableHeading"/>
              <w:suppressLineNumbers/>
              <w:bidi w:val="0"/>
              <w:jc w:val="center"/>
              <w:rPr/>
            </w:pPr>
            <w:r>
              <w:rPr/>
              <w:t>Scope 1 Emissions (tCO₂e)</w:t>
            </w:r>
          </w:p>
        </w:tc>
      </w:tr>
      <w:tr>
        <w:trPr/>
        <w:tc>
          <w:tcPr>
            <w:tcW w:w="601" w:type="dxa"/>
            <w:tcBorders/>
            <w:vAlign w:val="center"/>
          </w:tcPr>
          <w:p>
            <w:pPr>
              <w:pStyle w:val="TableContents"/>
              <w:widowControl w:val="false"/>
              <w:suppressLineNumbers/>
              <w:bidi w:val="0"/>
              <w:jc w:val="start"/>
              <w:rPr/>
            </w:pPr>
            <w:r>
              <w:rPr/>
              <w:t>2021</w:t>
            </w:r>
          </w:p>
        </w:tc>
        <w:tc>
          <w:tcPr>
            <w:tcW w:w="2853" w:type="dxa"/>
            <w:tcBorders/>
            <w:vAlign w:val="center"/>
          </w:tcPr>
          <w:p>
            <w:pPr>
              <w:pStyle w:val="TableContents"/>
              <w:widowControl w:val="false"/>
              <w:suppressLineNumbers/>
              <w:bidi w:val="0"/>
              <w:jc w:val="start"/>
              <w:rPr/>
            </w:pPr>
            <w:r>
              <w:rPr/>
              <w:t>55,300</w:t>
            </w:r>
          </w:p>
        </w:tc>
      </w:tr>
      <w:tr>
        <w:trPr/>
        <w:tc>
          <w:tcPr>
            <w:tcW w:w="601" w:type="dxa"/>
            <w:tcBorders/>
            <w:vAlign w:val="center"/>
          </w:tcPr>
          <w:p>
            <w:pPr>
              <w:pStyle w:val="TableContents"/>
              <w:widowControl w:val="false"/>
              <w:suppressLineNumbers/>
              <w:bidi w:val="0"/>
              <w:jc w:val="start"/>
              <w:rPr/>
            </w:pPr>
            <w:r>
              <w:rPr/>
              <w:t>2022</w:t>
            </w:r>
          </w:p>
        </w:tc>
        <w:tc>
          <w:tcPr>
            <w:tcW w:w="2853" w:type="dxa"/>
            <w:tcBorders/>
            <w:vAlign w:val="center"/>
          </w:tcPr>
          <w:p>
            <w:pPr>
              <w:pStyle w:val="TableContents"/>
              <w:widowControl w:val="false"/>
              <w:suppressLineNumbers/>
              <w:bidi w:val="0"/>
              <w:jc w:val="start"/>
              <w:rPr/>
            </w:pPr>
            <w:r>
              <w:rPr/>
              <w:t>55,200</w:t>
            </w:r>
          </w:p>
        </w:tc>
      </w:tr>
      <w:tr>
        <w:trPr/>
        <w:tc>
          <w:tcPr>
            <w:tcW w:w="601" w:type="dxa"/>
            <w:tcBorders/>
            <w:vAlign w:val="center"/>
          </w:tcPr>
          <w:p>
            <w:pPr>
              <w:pStyle w:val="TableContents"/>
              <w:widowControl w:val="false"/>
              <w:suppressLineNumbers/>
              <w:bidi w:val="0"/>
              <w:jc w:val="start"/>
              <w:rPr/>
            </w:pPr>
            <w:r>
              <w:rPr/>
              <w:t>2023</w:t>
            </w:r>
          </w:p>
        </w:tc>
        <w:tc>
          <w:tcPr>
            <w:tcW w:w="2853" w:type="dxa"/>
            <w:tcBorders/>
            <w:vAlign w:val="center"/>
          </w:tcPr>
          <w:p>
            <w:pPr>
              <w:pStyle w:val="TableContents"/>
              <w:widowControl w:val="false"/>
              <w:suppressLineNumbers/>
              <w:bidi w:val="0"/>
              <w:jc w:val="start"/>
              <w:rPr/>
            </w:pPr>
            <w:r>
              <w:rPr/>
              <w:t>55,200</w:t>
            </w:r>
          </w:p>
        </w:tc>
      </w:tr>
      <w:tr>
        <w:trPr/>
        <w:tc>
          <w:tcPr>
            <w:tcW w:w="601" w:type="dxa"/>
            <w:tcBorders/>
            <w:vAlign w:val="center"/>
          </w:tcPr>
          <w:p>
            <w:pPr>
              <w:pStyle w:val="TableContents"/>
              <w:widowControl w:val="false"/>
              <w:suppressLineNumbers/>
              <w:bidi w:val="0"/>
              <w:jc w:val="start"/>
              <w:rPr/>
            </w:pPr>
            <w:r>
              <w:rPr/>
              <w:t>2024</w:t>
            </w:r>
          </w:p>
        </w:tc>
        <w:tc>
          <w:tcPr>
            <w:tcW w:w="2853" w:type="dxa"/>
            <w:tcBorders/>
            <w:vAlign w:val="center"/>
          </w:tcPr>
          <w:p>
            <w:pPr>
              <w:pStyle w:val="TableContents"/>
              <w:widowControl w:val="false"/>
              <w:suppressLineNumbers/>
              <w:bidi w:val="0"/>
              <w:jc w:val="start"/>
              <w:rPr/>
            </w:pPr>
            <w:r>
              <w:rPr/>
              <w:t>55,200</w:t>
            </w:r>
          </w:p>
        </w:tc>
      </w:tr>
      <w:tr>
        <w:trPr/>
        <w:tc>
          <w:tcPr>
            <w:tcW w:w="601" w:type="dxa"/>
            <w:tcBorders/>
            <w:vAlign w:val="center"/>
          </w:tcPr>
          <w:p>
            <w:pPr>
              <w:pStyle w:val="TableContents"/>
              <w:widowControl w:val="false"/>
              <w:suppressLineNumbers/>
              <w:bidi w:val="0"/>
              <w:jc w:val="start"/>
              <w:rPr/>
            </w:pPr>
            <w:r>
              <w:rPr/>
              <w:t>2025</w:t>
            </w:r>
          </w:p>
        </w:tc>
        <w:tc>
          <w:tcPr>
            <w:tcW w:w="2853" w:type="dxa"/>
            <w:tcBorders/>
            <w:vAlign w:val="center"/>
          </w:tcPr>
          <w:p>
            <w:pPr>
              <w:pStyle w:val="TableContents"/>
              <w:widowControl w:val="false"/>
              <w:suppressLineNumbers/>
              <w:bidi w:val="0"/>
              <w:jc w:val="start"/>
              <w:rPr/>
            </w:pPr>
            <w:r>
              <w:rPr/>
              <w:t>55,200</w:t>
            </w:r>
          </w:p>
        </w:tc>
      </w:tr>
    </w:tbl>
    <w:p>
      <w:pPr>
        <w:pStyle w:val="BodyText"/>
        <w:bidi w:val="0"/>
        <w:jc w:val="start"/>
        <w:rPr/>
      </w:pPr>
      <w:r>
        <w:rPr/>
        <w:t xml:space="preserve">The most notable observation is the remarkable stability of reported emissions. From 2022 through 2025, Apple reported </w:t>
      </w:r>
      <w:r>
        <w:rPr>
          <w:rStyle w:val="Strong"/>
        </w:rPr>
        <w:t>exactly 55,200 tCO₂e</w:t>
      </w:r>
      <w:r>
        <w:rPr/>
        <w:t xml:space="preserve"> each year.</w:t>
      </w:r>
    </w:p>
    <w:p>
      <w:pPr>
        <w:pStyle w:val="BodyText"/>
        <w:bidi w:val="0"/>
        <w:jc w:val="start"/>
        <w:rPr/>
      </w:pPr>
      <w:r>
        <w:rPr/>
        <w:t>From an operational perspective, maintaining identical direct emissions across four consecutive reporting years is highly unusual because organizations normally experience fluctuations resulting from:</w:t>
      </w:r>
    </w:p>
    <w:p>
      <w:pPr>
        <w:pStyle w:val="BodyText"/>
        <w:numPr>
          <w:ilvl w:val="0"/>
          <w:numId w:val="2"/>
        </w:numPr>
        <w:tabs>
          <w:tab w:val="clear" w:pos="709"/>
          <w:tab w:val="left" w:pos="709" w:leader="none"/>
        </w:tabs>
        <w:bidi w:val="0"/>
        <w:ind w:hanging="283" w:start="709"/>
        <w:jc w:val="start"/>
        <w:rPr/>
      </w:pPr>
      <w:r>
        <w:rPr/>
        <w:t>operational growth,</w:t>
      </w:r>
    </w:p>
    <w:p>
      <w:pPr>
        <w:pStyle w:val="BodyText"/>
        <w:numPr>
          <w:ilvl w:val="0"/>
          <w:numId w:val="2"/>
        </w:numPr>
        <w:tabs>
          <w:tab w:val="clear" w:pos="709"/>
          <w:tab w:val="left" w:pos="709" w:leader="none"/>
        </w:tabs>
        <w:bidi w:val="0"/>
        <w:ind w:hanging="283" w:start="709"/>
        <w:jc w:val="start"/>
        <w:rPr/>
      </w:pPr>
      <w:r>
        <w:rPr/>
        <w:t>facility expansion,</w:t>
      </w:r>
    </w:p>
    <w:p>
      <w:pPr>
        <w:pStyle w:val="BodyText"/>
        <w:numPr>
          <w:ilvl w:val="0"/>
          <w:numId w:val="2"/>
        </w:numPr>
        <w:tabs>
          <w:tab w:val="clear" w:pos="709"/>
          <w:tab w:val="left" w:pos="709" w:leader="none"/>
        </w:tabs>
        <w:bidi w:val="0"/>
        <w:ind w:hanging="283" w:start="709"/>
        <w:jc w:val="start"/>
        <w:rPr/>
      </w:pPr>
      <w:r>
        <w:rPr/>
        <w:t>weather conditions,</w:t>
      </w:r>
    </w:p>
    <w:p>
      <w:pPr>
        <w:pStyle w:val="BodyText"/>
        <w:numPr>
          <w:ilvl w:val="0"/>
          <w:numId w:val="2"/>
        </w:numPr>
        <w:tabs>
          <w:tab w:val="clear" w:pos="709"/>
          <w:tab w:val="left" w:pos="709" w:leader="none"/>
        </w:tabs>
        <w:bidi w:val="0"/>
        <w:ind w:hanging="283" w:start="709"/>
        <w:jc w:val="start"/>
        <w:rPr/>
      </w:pPr>
      <w:r>
        <w:rPr/>
        <w:t>fuel consumption,</w:t>
      </w:r>
    </w:p>
    <w:p>
      <w:pPr>
        <w:pStyle w:val="BodyText"/>
        <w:numPr>
          <w:ilvl w:val="0"/>
          <w:numId w:val="2"/>
        </w:numPr>
        <w:tabs>
          <w:tab w:val="clear" w:pos="709"/>
          <w:tab w:val="left" w:pos="709" w:leader="none"/>
        </w:tabs>
        <w:bidi w:val="0"/>
        <w:ind w:hanging="283" w:start="709"/>
        <w:jc w:val="start"/>
        <w:rPr/>
      </w:pPr>
      <w:r>
        <w:rPr/>
        <w:t>equipment replacement,</w:t>
      </w:r>
    </w:p>
    <w:p>
      <w:pPr>
        <w:pStyle w:val="BodyText"/>
        <w:numPr>
          <w:ilvl w:val="0"/>
          <w:numId w:val="2"/>
        </w:numPr>
        <w:tabs>
          <w:tab w:val="clear" w:pos="709"/>
          <w:tab w:val="left" w:pos="709" w:leader="none"/>
        </w:tabs>
        <w:bidi w:val="0"/>
        <w:ind w:hanging="283" w:start="709"/>
        <w:jc w:val="start"/>
        <w:rPr/>
      </w:pPr>
      <w:r>
        <w:rPr/>
        <w:t>efficiency improvements.</w:t>
      </w:r>
    </w:p>
    <w:p>
      <w:pPr>
        <w:pStyle w:val="BodyText"/>
        <w:bidi w:val="0"/>
        <w:jc w:val="start"/>
        <w:rPr/>
      </w:pPr>
      <w:r>
        <w:rPr/>
        <w:t>The identical values may indicate one of the following:</w:t>
      </w:r>
    </w:p>
    <w:p>
      <w:pPr>
        <w:pStyle w:val="BodyText"/>
        <w:numPr>
          <w:ilvl w:val="0"/>
          <w:numId w:val="3"/>
        </w:numPr>
        <w:tabs>
          <w:tab w:val="clear" w:pos="709"/>
          <w:tab w:val="left" w:pos="709" w:leader="none"/>
        </w:tabs>
        <w:bidi w:val="0"/>
        <w:ind w:hanging="283" w:start="709"/>
        <w:jc w:val="start"/>
        <w:rPr/>
      </w:pPr>
      <w:r>
        <w:rPr/>
        <w:t>unchanged estimation methodology,</w:t>
      </w:r>
    </w:p>
    <w:p>
      <w:pPr>
        <w:pStyle w:val="BodyText"/>
        <w:numPr>
          <w:ilvl w:val="0"/>
          <w:numId w:val="3"/>
        </w:numPr>
        <w:tabs>
          <w:tab w:val="clear" w:pos="709"/>
          <w:tab w:val="left" w:pos="709" w:leader="none"/>
        </w:tabs>
        <w:bidi w:val="0"/>
        <w:ind w:hanging="283" w:start="709"/>
        <w:jc w:val="start"/>
        <w:rPr/>
      </w:pPr>
      <w:r>
        <w:rPr/>
        <w:t>rounding practices,</w:t>
      </w:r>
    </w:p>
    <w:p>
      <w:pPr>
        <w:pStyle w:val="BodyText"/>
        <w:numPr>
          <w:ilvl w:val="0"/>
          <w:numId w:val="3"/>
        </w:numPr>
        <w:tabs>
          <w:tab w:val="clear" w:pos="709"/>
          <w:tab w:val="left" w:pos="709" w:leader="none"/>
        </w:tabs>
        <w:bidi w:val="0"/>
        <w:ind w:hanging="283" w:start="709"/>
        <w:jc w:val="start"/>
        <w:rPr/>
      </w:pPr>
      <w:r>
        <w:rPr/>
        <w:t>reporting thresholds,</w:t>
      </w:r>
    </w:p>
    <w:p>
      <w:pPr>
        <w:pStyle w:val="BodyText"/>
        <w:numPr>
          <w:ilvl w:val="0"/>
          <w:numId w:val="3"/>
        </w:numPr>
        <w:tabs>
          <w:tab w:val="clear" w:pos="709"/>
          <w:tab w:val="left" w:pos="709" w:leader="none"/>
        </w:tabs>
        <w:bidi w:val="0"/>
        <w:ind w:hanging="283" w:start="709"/>
        <w:jc w:val="start"/>
        <w:rPr/>
      </w:pPr>
      <w:r>
        <w:rPr/>
        <w:t>carry-forward estimates,</w:t>
      </w:r>
    </w:p>
    <w:p>
      <w:pPr>
        <w:pStyle w:val="BodyText"/>
        <w:numPr>
          <w:ilvl w:val="0"/>
          <w:numId w:val="3"/>
        </w:numPr>
        <w:tabs>
          <w:tab w:val="clear" w:pos="709"/>
          <w:tab w:val="left" w:pos="709" w:leader="none"/>
        </w:tabs>
        <w:bidi w:val="0"/>
        <w:ind w:hanging="283" w:start="709"/>
        <w:jc w:val="start"/>
        <w:rPr/>
      </w:pPr>
      <w:r>
        <w:rPr/>
        <w:t>or possible replication of previously reported values.</w:t>
      </w:r>
    </w:p>
    <w:p>
      <w:pPr>
        <w:pStyle w:val="BodyText"/>
        <w:bidi w:val="0"/>
        <w:jc w:val="start"/>
        <w:rPr/>
      </w:pPr>
      <w:r>
        <w:rPr/>
        <w:t>Although no evidence suggests incorrect reporting, this pattern deserves further verification against methodological notes included within the CDP disclosures.</w:t>
      </w:r>
    </w:p>
    <w:p>
      <w:pPr>
        <w:pStyle w:val="BodyText"/>
        <w:bidi w:val="0"/>
        <w:jc w:val="start"/>
        <w:rPr/>
      </w:pPr>
      <w:r>
        <w:rPr>
          <w:rStyle w:val="Strong"/>
        </w:rPr>
        <w:t>Figure 1.</w:t>
      </w:r>
      <w:r>
        <w:rPr/>
        <w:t xml:space="preserve"> </w:t>
      </w:r>
      <w:r>
        <w:rPr>
          <w:rStyle w:val="Emphasis"/>
        </w:rPr>
        <w:t>Trend of Apple's Scope 1 Emissions (2021–2025)</w:t>
      </w:r>
    </w:p>
    <w:p>
      <w:pPr>
        <w:pStyle w:val="HorizontalLine"/>
        <w:bidi w:val="0"/>
        <w:jc w:val="start"/>
        <w:rPr/>
      </w:pPr>
      <w:r>
        <w:rPr/>
      </w:r>
    </w:p>
    <w:p>
      <w:pPr>
        <w:pStyle w:val="Heading2"/>
        <w:bidi w:val="0"/>
        <w:jc w:val="start"/>
        <w:rPr/>
      </w:pPr>
      <w:r>
        <w:rPr/>
        <w:t>3.2 Scope 2 Emissions (Location-Based vs Market-Based)</w:t>
      </w:r>
    </w:p>
    <w:p>
      <w:pPr>
        <w:pStyle w:val="BodyText"/>
        <w:bidi w:val="0"/>
        <w:jc w:val="start"/>
        <w:rPr/>
      </w:pPr>
      <w:r>
        <w:rPr/>
        <w:t>Scope 2 emissions arise from purchased electricity, steam, heating, and cooling.</w:t>
      </w:r>
    </w:p>
    <w:p>
      <w:pPr>
        <w:pStyle w:val="BodyText"/>
        <w:bidi w:val="0"/>
        <w:jc w:val="start"/>
        <w:rPr/>
      </w:pPr>
      <w:r>
        <w:rPr/>
        <w:t>Apple reports both internationally accepted accounting methods:</w:t>
      </w:r>
    </w:p>
    <w:p>
      <w:pPr>
        <w:pStyle w:val="BodyText"/>
        <w:numPr>
          <w:ilvl w:val="0"/>
          <w:numId w:val="4"/>
        </w:numPr>
        <w:tabs>
          <w:tab w:val="clear" w:pos="709"/>
          <w:tab w:val="left" w:pos="709" w:leader="none"/>
        </w:tabs>
        <w:bidi w:val="0"/>
        <w:ind w:hanging="283" w:start="709"/>
        <w:jc w:val="start"/>
        <w:rPr/>
      </w:pPr>
      <w:r>
        <w:rPr/>
        <w:t>Location-based emissions</w:t>
      </w:r>
    </w:p>
    <w:p>
      <w:pPr>
        <w:pStyle w:val="BodyText"/>
        <w:numPr>
          <w:ilvl w:val="0"/>
          <w:numId w:val="4"/>
        </w:numPr>
        <w:tabs>
          <w:tab w:val="clear" w:pos="709"/>
          <w:tab w:val="left" w:pos="709" w:leader="none"/>
        </w:tabs>
        <w:bidi w:val="0"/>
        <w:ind w:hanging="283" w:start="709"/>
        <w:jc w:val="start"/>
        <w:rPr/>
      </w:pPr>
      <w:r>
        <w:rPr/>
        <w:t>Market-based emissions</w:t>
      </w:r>
    </w:p>
    <w:p>
      <w:pPr>
        <w:pStyle w:val="Heading3"/>
        <w:bidi w:val="0"/>
        <w:jc w:val="start"/>
        <w:rPr/>
      </w:pPr>
      <w:r>
        <w:rPr/>
        <w:t>Location-Based Emissions</w:t>
      </w:r>
    </w:p>
    <w:tbl>
      <w:tblPr>
        <w:tblW w:w="1712" w:type="dxa"/>
        <w:jc w:val="start"/>
        <w:tblInd w:w="0" w:type="dxa"/>
        <w:tblLayout w:type="fixed"/>
        <w:tblCellMar>
          <w:top w:w="28" w:type="dxa"/>
          <w:start w:w="28" w:type="dxa"/>
          <w:bottom w:w="28" w:type="dxa"/>
          <w:end w:w="28" w:type="dxa"/>
        </w:tblCellMar>
      </w:tblPr>
      <w:tblGrid>
        <w:gridCol w:w="601"/>
        <w:gridCol w:w="1111"/>
      </w:tblGrid>
      <w:tr>
        <w:trPr>
          <w:tblHeader w:val="true"/>
        </w:trPr>
        <w:tc>
          <w:tcPr>
            <w:tcW w:w="601" w:type="dxa"/>
            <w:tcBorders/>
            <w:vAlign w:val="center"/>
          </w:tcPr>
          <w:p>
            <w:pPr>
              <w:pStyle w:val="TableHeading"/>
              <w:suppressLineNumbers/>
              <w:bidi w:val="0"/>
              <w:jc w:val="center"/>
              <w:rPr/>
            </w:pPr>
            <w:r>
              <w:rPr/>
              <w:t>Year</w:t>
            </w:r>
          </w:p>
        </w:tc>
        <w:tc>
          <w:tcPr>
            <w:tcW w:w="1111" w:type="dxa"/>
            <w:tcBorders/>
            <w:vAlign w:val="center"/>
          </w:tcPr>
          <w:p>
            <w:pPr>
              <w:pStyle w:val="TableHeading"/>
              <w:suppressLineNumbers/>
              <w:bidi w:val="0"/>
              <w:jc w:val="center"/>
              <w:rPr/>
            </w:pPr>
            <w:r>
              <w:rPr/>
              <w:t>tCO₂e</w:t>
            </w:r>
          </w:p>
        </w:tc>
      </w:tr>
      <w:tr>
        <w:trPr/>
        <w:tc>
          <w:tcPr>
            <w:tcW w:w="601" w:type="dxa"/>
            <w:tcBorders/>
            <w:vAlign w:val="center"/>
          </w:tcPr>
          <w:p>
            <w:pPr>
              <w:pStyle w:val="TableContents"/>
              <w:widowControl w:val="false"/>
              <w:suppressLineNumbers/>
              <w:bidi w:val="0"/>
              <w:jc w:val="start"/>
              <w:rPr/>
            </w:pPr>
            <w:r>
              <w:rPr/>
              <w:t>2021</w:t>
            </w:r>
          </w:p>
        </w:tc>
        <w:tc>
          <w:tcPr>
            <w:tcW w:w="1111" w:type="dxa"/>
            <w:tcBorders/>
            <w:vAlign w:val="center"/>
          </w:tcPr>
          <w:p>
            <w:pPr>
              <w:pStyle w:val="TableContents"/>
              <w:widowControl w:val="false"/>
              <w:suppressLineNumbers/>
              <w:bidi w:val="0"/>
              <w:jc w:val="start"/>
              <w:rPr/>
            </w:pPr>
            <w:r>
              <w:rPr/>
              <w:t>890,000</w:t>
            </w:r>
          </w:p>
        </w:tc>
      </w:tr>
      <w:tr>
        <w:trPr/>
        <w:tc>
          <w:tcPr>
            <w:tcW w:w="601" w:type="dxa"/>
            <w:tcBorders/>
            <w:vAlign w:val="center"/>
          </w:tcPr>
          <w:p>
            <w:pPr>
              <w:pStyle w:val="TableContents"/>
              <w:widowControl w:val="false"/>
              <w:suppressLineNumbers/>
              <w:bidi w:val="0"/>
              <w:jc w:val="start"/>
              <w:rPr/>
            </w:pPr>
            <w:r>
              <w:rPr/>
              <w:t>2022</w:t>
            </w:r>
          </w:p>
        </w:tc>
        <w:tc>
          <w:tcPr>
            <w:tcW w:w="1111" w:type="dxa"/>
            <w:tcBorders/>
            <w:vAlign w:val="center"/>
          </w:tcPr>
          <w:p>
            <w:pPr>
              <w:pStyle w:val="TableContents"/>
              <w:widowControl w:val="false"/>
              <w:suppressLineNumbers/>
              <w:bidi w:val="0"/>
              <w:jc w:val="start"/>
              <w:rPr/>
            </w:pPr>
            <w:r>
              <w:rPr/>
              <w:t>1,000,000</w:t>
            </w:r>
          </w:p>
        </w:tc>
      </w:tr>
      <w:tr>
        <w:trPr/>
        <w:tc>
          <w:tcPr>
            <w:tcW w:w="601" w:type="dxa"/>
            <w:tcBorders/>
            <w:vAlign w:val="center"/>
          </w:tcPr>
          <w:p>
            <w:pPr>
              <w:pStyle w:val="TableContents"/>
              <w:widowControl w:val="false"/>
              <w:suppressLineNumbers/>
              <w:bidi w:val="0"/>
              <w:jc w:val="start"/>
              <w:rPr/>
            </w:pPr>
            <w:r>
              <w:rPr/>
              <w:t>2023</w:t>
            </w:r>
          </w:p>
        </w:tc>
        <w:tc>
          <w:tcPr>
            <w:tcW w:w="1111" w:type="dxa"/>
            <w:tcBorders/>
            <w:vAlign w:val="center"/>
          </w:tcPr>
          <w:p>
            <w:pPr>
              <w:pStyle w:val="TableContents"/>
              <w:widowControl w:val="false"/>
              <w:suppressLineNumbers/>
              <w:bidi w:val="0"/>
              <w:jc w:val="start"/>
              <w:rPr/>
            </w:pPr>
            <w:r>
              <w:rPr/>
              <w:t>1,070,000</w:t>
            </w:r>
          </w:p>
        </w:tc>
      </w:tr>
      <w:tr>
        <w:trPr/>
        <w:tc>
          <w:tcPr>
            <w:tcW w:w="601" w:type="dxa"/>
            <w:tcBorders/>
            <w:vAlign w:val="center"/>
          </w:tcPr>
          <w:p>
            <w:pPr>
              <w:pStyle w:val="TableContents"/>
              <w:widowControl w:val="false"/>
              <w:suppressLineNumbers/>
              <w:bidi w:val="0"/>
              <w:jc w:val="start"/>
              <w:rPr/>
            </w:pPr>
            <w:r>
              <w:rPr/>
              <w:t>2024</w:t>
            </w:r>
          </w:p>
        </w:tc>
        <w:tc>
          <w:tcPr>
            <w:tcW w:w="1111" w:type="dxa"/>
            <w:tcBorders/>
            <w:vAlign w:val="center"/>
          </w:tcPr>
          <w:p>
            <w:pPr>
              <w:pStyle w:val="TableContents"/>
              <w:widowControl w:val="false"/>
              <w:suppressLineNumbers/>
              <w:bidi w:val="0"/>
              <w:jc w:val="start"/>
              <w:rPr/>
            </w:pPr>
            <w:r>
              <w:rPr/>
              <w:t>1,210,000</w:t>
            </w:r>
          </w:p>
        </w:tc>
      </w:tr>
      <w:tr>
        <w:trPr/>
        <w:tc>
          <w:tcPr>
            <w:tcW w:w="601" w:type="dxa"/>
            <w:tcBorders/>
            <w:vAlign w:val="center"/>
          </w:tcPr>
          <w:p>
            <w:pPr>
              <w:pStyle w:val="TableContents"/>
              <w:widowControl w:val="false"/>
              <w:suppressLineNumbers/>
              <w:bidi w:val="0"/>
              <w:jc w:val="start"/>
              <w:rPr/>
            </w:pPr>
            <w:r>
              <w:rPr/>
              <w:t>2025</w:t>
            </w:r>
          </w:p>
        </w:tc>
        <w:tc>
          <w:tcPr>
            <w:tcW w:w="1111" w:type="dxa"/>
            <w:tcBorders/>
            <w:vAlign w:val="center"/>
          </w:tcPr>
          <w:p>
            <w:pPr>
              <w:pStyle w:val="TableContents"/>
              <w:widowControl w:val="false"/>
              <w:suppressLineNumbers/>
              <w:bidi w:val="0"/>
              <w:jc w:val="start"/>
              <w:rPr/>
            </w:pPr>
            <w:r>
              <w:rPr/>
              <w:t>1,220,000</w:t>
            </w:r>
          </w:p>
        </w:tc>
      </w:tr>
    </w:tbl>
    <w:p>
      <w:pPr>
        <w:pStyle w:val="BodyText"/>
        <w:bidi w:val="0"/>
        <w:jc w:val="start"/>
        <w:rPr/>
      </w:pPr>
      <w:r>
        <w:rPr/>
        <w:t>These values demonstrate a consistent upward trend, indicating increasing electricity-related emissions based on the average emissions intensity of regional power grids.</w:t>
      </w:r>
    </w:p>
    <w:p>
      <w:pPr>
        <w:pStyle w:val="Heading3"/>
        <w:bidi w:val="0"/>
        <w:jc w:val="start"/>
        <w:rPr/>
      </w:pPr>
      <w:r>
        <w:rPr/>
        <w:t>Market-Based Emissions</w:t>
      </w:r>
    </w:p>
    <w:tbl>
      <w:tblPr>
        <w:tblW w:w="2810" w:type="dxa"/>
        <w:jc w:val="start"/>
        <w:tblInd w:w="0" w:type="dxa"/>
        <w:tblLayout w:type="fixed"/>
        <w:tblCellMar>
          <w:top w:w="28" w:type="dxa"/>
          <w:start w:w="28" w:type="dxa"/>
          <w:bottom w:w="28" w:type="dxa"/>
          <w:end w:w="28" w:type="dxa"/>
        </w:tblCellMar>
      </w:tblPr>
      <w:tblGrid>
        <w:gridCol w:w="601"/>
        <w:gridCol w:w="2209"/>
      </w:tblGrid>
      <w:tr>
        <w:trPr>
          <w:tblHeader w:val="true"/>
        </w:trPr>
        <w:tc>
          <w:tcPr>
            <w:tcW w:w="601" w:type="dxa"/>
            <w:tcBorders/>
            <w:vAlign w:val="center"/>
          </w:tcPr>
          <w:p>
            <w:pPr>
              <w:pStyle w:val="TableHeading"/>
              <w:suppressLineNumbers/>
              <w:bidi w:val="0"/>
              <w:jc w:val="center"/>
              <w:rPr/>
            </w:pPr>
            <w:r>
              <w:rPr/>
              <w:t>Year</w:t>
            </w:r>
          </w:p>
        </w:tc>
        <w:tc>
          <w:tcPr>
            <w:tcW w:w="2209" w:type="dxa"/>
            <w:tcBorders/>
            <w:vAlign w:val="center"/>
          </w:tcPr>
          <w:p>
            <w:pPr>
              <w:pStyle w:val="TableHeading"/>
              <w:suppressLineNumbers/>
              <w:bidi w:val="0"/>
              <w:jc w:val="center"/>
              <w:rPr/>
            </w:pPr>
            <w:r>
              <w:rPr/>
              <w:t>tCO₂e</w:t>
            </w:r>
          </w:p>
        </w:tc>
      </w:tr>
      <w:tr>
        <w:trPr/>
        <w:tc>
          <w:tcPr>
            <w:tcW w:w="601" w:type="dxa"/>
            <w:tcBorders/>
            <w:vAlign w:val="center"/>
          </w:tcPr>
          <w:p>
            <w:pPr>
              <w:pStyle w:val="TableContents"/>
              <w:widowControl w:val="false"/>
              <w:suppressLineNumbers/>
              <w:bidi w:val="0"/>
              <w:jc w:val="start"/>
              <w:rPr/>
            </w:pPr>
            <w:r>
              <w:rPr/>
              <w:t>2021</w:t>
            </w:r>
          </w:p>
        </w:tc>
        <w:tc>
          <w:tcPr>
            <w:tcW w:w="2209" w:type="dxa"/>
            <w:tcBorders/>
            <w:vAlign w:val="center"/>
          </w:tcPr>
          <w:p>
            <w:pPr>
              <w:pStyle w:val="TableContents"/>
              <w:widowControl w:val="false"/>
              <w:suppressLineNumbers/>
              <w:bidi w:val="0"/>
              <w:jc w:val="start"/>
              <w:rPr/>
            </w:pPr>
            <w:r>
              <w:rPr/>
              <w:t>Not Reported / Blank</w:t>
            </w:r>
          </w:p>
        </w:tc>
      </w:tr>
      <w:tr>
        <w:trPr/>
        <w:tc>
          <w:tcPr>
            <w:tcW w:w="601" w:type="dxa"/>
            <w:tcBorders/>
            <w:vAlign w:val="center"/>
          </w:tcPr>
          <w:p>
            <w:pPr>
              <w:pStyle w:val="TableContents"/>
              <w:widowControl w:val="false"/>
              <w:suppressLineNumbers/>
              <w:bidi w:val="0"/>
              <w:jc w:val="start"/>
              <w:rPr/>
            </w:pPr>
            <w:r>
              <w:rPr/>
              <w:t>2022</w:t>
            </w:r>
          </w:p>
        </w:tc>
        <w:tc>
          <w:tcPr>
            <w:tcW w:w="2209" w:type="dxa"/>
            <w:tcBorders/>
            <w:vAlign w:val="center"/>
          </w:tcPr>
          <w:p>
            <w:pPr>
              <w:pStyle w:val="TableContents"/>
              <w:widowControl w:val="false"/>
              <w:suppressLineNumbers/>
              <w:bidi w:val="0"/>
              <w:jc w:val="start"/>
              <w:rPr/>
            </w:pPr>
            <w:r>
              <w:rPr/>
              <w:t>≈</w:t>
            </w:r>
            <w:r>
              <w:rPr/>
              <w:t>2,780</w:t>
            </w:r>
          </w:p>
        </w:tc>
      </w:tr>
      <w:tr>
        <w:trPr/>
        <w:tc>
          <w:tcPr>
            <w:tcW w:w="601" w:type="dxa"/>
            <w:tcBorders/>
            <w:vAlign w:val="center"/>
          </w:tcPr>
          <w:p>
            <w:pPr>
              <w:pStyle w:val="TableContents"/>
              <w:widowControl w:val="false"/>
              <w:suppressLineNumbers/>
              <w:bidi w:val="0"/>
              <w:jc w:val="start"/>
              <w:rPr/>
            </w:pPr>
            <w:r>
              <w:rPr/>
              <w:t>2023</w:t>
            </w:r>
          </w:p>
        </w:tc>
        <w:tc>
          <w:tcPr>
            <w:tcW w:w="2209" w:type="dxa"/>
            <w:tcBorders/>
            <w:vAlign w:val="center"/>
          </w:tcPr>
          <w:p>
            <w:pPr>
              <w:pStyle w:val="TableContents"/>
              <w:widowControl w:val="false"/>
              <w:suppressLineNumbers/>
              <w:bidi w:val="0"/>
              <w:jc w:val="start"/>
              <w:rPr/>
            </w:pPr>
            <w:r>
              <w:rPr/>
              <w:t>≈</w:t>
            </w:r>
            <w:r>
              <w:rPr/>
              <w:t>3,000</w:t>
            </w:r>
          </w:p>
        </w:tc>
      </w:tr>
      <w:tr>
        <w:trPr/>
        <w:tc>
          <w:tcPr>
            <w:tcW w:w="601" w:type="dxa"/>
            <w:tcBorders/>
            <w:vAlign w:val="center"/>
          </w:tcPr>
          <w:p>
            <w:pPr>
              <w:pStyle w:val="TableContents"/>
              <w:widowControl w:val="false"/>
              <w:suppressLineNumbers/>
              <w:bidi w:val="0"/>
              <w:jc w:val="start"/>
              <w:rPr/>
            </w:pPr>
            <w:r>
              <w:rPr/>
              <w:t>2024</w:t>
            </w:r>
          </w:p>
        </w:tc>
        <w:tc>
          <w:tcPr>
            <w:tcW w:w="2209" w:type="dxa"/>
            <w:tcBorders/>
            <w:vAlign w:val="center"/>
          </w:tcPr>
          <w:p>
            <w:pPr>
              <w:pStyle w:val="TableContents"/>
              <w:widowControl w:val="false"/>
              <w:suppressLineNumbers/>
              <w:bidi w:val="0"/>
              <w:jc w:val="start"/>
              <w:rPr/>
            </w:pPr>
            <w:r>
              <w:rPr/>
              <w:t>≈</w:t>
            </w:r>
            <w:r>
              <w:rPr/>
              <w:t>3,400</w:t>
            </w:r>
          </w:p>
        </w:tc>
      </w:tr>
      <w:tr>
        <w:trPr/>
        <w:tc>
          <w:tcPr>
            <w:tcW w:w="601" w:type="dxa"/>
            <w:tcBorders/>
            <w:vAlign w:val="center"/>
          </w:tcPr>
          <w:p>
            <w:pPr>
              <w:pStyle w:val="TableContents"/>
              <w:widowControl w:val="false"/>
              <w:suppressLineNumbers/>
              <w:bidi w:val="0"/>
              <w:jc w:val="start"/>
              <w:rPr/>
            </w:pPr>
            <w:r>
              <w:rPr/>
              <w:t>2025</w:t>
            </w:r>
          </w:p>
        </w:tc>
        <w:tc>
          <w:tcPr>
            <w:tcW w:w="2209" w:type="dxa"/>
            <w:tcBorders/>
            <w:vAlign w:val="center"/>
          </w:tcPr>
          <w:p>
            <w:pPr>
              <w:pStyle w:val="TableContents"/>
              <w:widowControl w:val="false"/>
              <w:suppressLineNumbers/>
              <w:bidi w:val="0"/>
              <w:jc w:val="start"/>
              <w:rPr/>
            </w:pPr>
            <w:r>
              <w:rPr/>
              <w:t>≈</w:t>
            </w:r>
            <w:r>
              <w:rPr/>
              <w:t>3,000</w:t>
            </w:r>
          </w:p>
        </w:tc>
      </w:tr>
    </w:tbl>
    <w:p>
      <w:pPr>
        <w:pStyle w:val="BodyText"/>
        <w:bidi w:val="0"/>
        <w:jc w:val="start"/>
        <w:rPr/>
      </w:pPr>
      <w:r>
        <w:rPr/>
        <w:t>Market-based emissions remain close to zero because Apple purchases renewable electricity through renewable energy contracts, renewable energy certificates (RECs), and power purchase agreements (PPAs).</w:t>
      </w:r>
    </w:p>
    <w:p>
      <w:pPr>
        <w:pStyle w:val="BodyText"/>
        <w:bidi w:val="0"/>
        <w:jc w:val="start"/>
        <w:rPr/>
      </w:pPr>
      <w:r>
        <w:rPr/>
        <w:t>The contrast between the two accounting methods is substantial:</w:t>
      </w:r>
    </w:p>
    <w:p>
      <w:pPr>
        <w:pStyle w:val="BodyText"/>
        <w:numPr>
          <w:ilvl w:val="0"/>
          <w:numId w:val="5"/>
        </w:numPr>
        <w:tabs>
          <w:tab w:val="clear" w:pos="709"/>
          <w:tab w:val="left" w:pos="709" w:leader="none"/>
        </w:tabs>
        <w:bidi w:val="0"/>
        <w:ind w:hanging="283" w:start="709"/>
        <w:jc w:val="start"/>
        <w:rPr/>
      </w:pPr>
      <w:r>
        <w:rPr/>
        <w:t>Location-based emissions exceed one million tCO₂e.</w:t>
      </w:r>
    </w:p>
    <w:p>
      <w:pPr>
        <w:pStyle w:val="BodyText"/>
        <w:numPr>
          <w:ilvl w:val="0"/>
          <w:numId w:val="5"/>
        </w:numPr>
        <w:tabs>
          <w:tab w:val="clear" w:pos="709"/>
          <w:tab w:val="left" w:pos="709" w:leader="none"/>
        </w:tabs>
        <w:bidi w:val="0"/>
        <w:ind w:hanging="283" w:start="709"/>
        <w:jc w:val="start"/>
        <w:rPr/>
      </w:pPr>
      <w:r>
        <w:rPr/>
        <w:t>Market-based emissions remain only a few thousand tCO₂e.</w:t>
      </w:r>
    </w:p>
    <w:p>
      <w:pPr>
        <w:pStyle w:val="BodyText"/>
        <w:bidi w:val="0"/>
        <w:jc w:val="start"/>
        <w:rPr/>
      </w:pPr>
      <w:r>
        <w:rPr/>
        <w:t>This illustrates one of the most debated issues in corporate carbon accounting. Operational electricity consumption still depends on regional electricity grids, yet renewable energy procurement allows organizations to report dramatically lower market-based emissions.</w:t>
      </w:r>
    </w:p>
    <w:p>
      <w:pPr>
        <w:pStyle w:val="BodyText"/>
        <w:bidi w:val="0"/>
        <w:jc w:val="start"/>
        <w:rPr/>
      </w:pPr>
      <w:r>
        <w:rPr/>
        <w:t>Consequently, Apple's renewable electricity strategy substantially improves reported Scope 2 performance without necessarily reducing the physical carbon intensity of every electricity grid supplying its operations.</w:t>
      </w:r>
    </w:p>
    <w:p>
      <w:pPr>
        <w:pStyle w:val="BodyText"/>
        <w:bidi w:val="0"/>
        <w:jc w:val="start"/>
        <w:rPr/>
      </w:pPr>
      <w:r>
        <w:rPr>
          <w:rStyle w:val="Strong"/>
        </w:rPr>
        <w:t>Figure 2.</w:t>
      </w:r>
      <w:r>
        <w:rPr/>
        <w:t xml:space="preserve"> </w:t>
      </w:r>
      <w:r>
        <w:rPr>
          <w:rStyle w:val="Emphasis"/>
        </w:rPr>
        <w:t>Comparison of Location-Based and Market-Based Scope 2 Emissions</w:t>
      </w:r>
    </w:p>
    <w:p>
      <w:pPr>
        <w:pStyle w:val="HorizontalLine"/>
        <w:bidi w:val="0"/>
        <w:jc w:val="start"/>
        <w:rPr/>
      </w:pPr>
      <w:r>
        <w:rPr/>
      </w:r>
    </w:p>
    <w:p>
      <w:pPr>
        <w:pStyle w:val="Heading2"/>
        <w:bidi w:val="0"/>
        <w:jc w:val="start"/>
        <w:rPr/>
      </w:pPr>
      <w:r>
        <w:rPr/>
        <w:t>3.3 Scope 3 Category 1 – Purchased Goods and Services</w:t>
      </w:r>
    </w:p>
    <w:p>
      <w:pPr>
        <w:pStyle w:val="BodyText"/>
        <w:bidi w:val="0"/>
        <w:jc w:val="start"/>
        <w:rPr/>
      </w:pPr>
      <w:r>
        <w:rPr/>
        <w:t>Purchased Goods and Services represent Apple's largest emissions source because manufacturing is outsourced to an extensive global supplier network.</w:t>
      </w:r>
    </w:p>
    <w:p>
      <w:pPr>
        <w:pStyle w:val="BodyText"/>
        <w:bidi w:val="0"/>
        <w:jc w:val="start"/>
        <w:rPr/>
      </w:pPr>
      <w:r>
        <w:rPr/>
        <w:t>Reported emissions:</w:t>
      </w:r>
    </w:p>
    <w:tbl>
      <w:tblPr>
        <w:tblW w:w="1595" w:type="dxa"/>
        <w:jc w:val="start"/>
        <w:tblInd w:w="0" w:type="dxa"/>
        <w:tblLayout w:type="fixed"/>
        <w:tblCellMar>
          <w:top w:w="28" w:type="dxa"/>
          <w:start w:w="28" w:type="dxa"/>
          <w:bottom w:w="28" w:type="dxa"/>
          <w:end w:w="28" w:type="dxa"/>
        </w:tblCellMar>
      </w:tblPr>
      <w:tblGrid>
        <w:gridCol w:w="601"/>
        <w:gridCol w:w="994"/>
      </w:tblGrid>
      <w:tr>
        <w:trPr>
          <w:tblHeader w:val="true"/>
        </w:trPr>
        <w:tc>
          <w:tcPr>
            <w:tcW w:w="601" w:type="dxa"/>
            <w:tcBorders/>
            <w:vAlign w:val="center"/>
          </w:tcPr>
          <w:p>
            <w:pPr>
              <w:pStyle w:val="TableHeading"/>
              <w:suppressLineNumbers/>
              <w:bidi w:val="0"/>
              <w:jc w:val="center"/>
              <w:rPr/>
            </w:pPr>
            <w:r>
              <w:rPr/>
              <w:t>Year</w:t>
            </w:r>
          </w:p>
        </w:tc>
        <w:tc>
          <w:tcPr>
            <w:tcW w:w="994" w:type="dxa"/>
            <w:tcBorders/>
            <w:vAlign w:val="center"/>
          </w:tcPr>
          <w:p>
            <w:pPr>
              <w:pStyle w:val="TableHeading"/>
              <w:suppressLineNumbers/>
              <w:bidi w:val="0"/>
              <w:jc w:val="center"/>
              <w:rPr/>
            </w:pPr>
            <w:r>
              <w:rPr/>
              <w:t>MtCO₂e</w:t>
            </w:r>
          </w:p>
        </w:tc>
      </w:tr>
      <w:tr>
        <w:trPr/>
        <w:tc>
          <w:tcPr>
            <w:tcW w:w="601" w:type="dxa"/>
            <w:tcBorders/>
            <w:vAlign w:val="center"/>
          </w:tcPr>
          <w:p>
            <w:pPr>
              <w:pStyle w:val="TableContents"/>
              <w:widowControl w:val="false"/>
              <w:suppressLineNumbers/>
              <w:bidi w:val="0"/>
              <w:jc w:val="start"/>
              <w:rPr/>
            </w:pPr>
            <w:r>
              <w:rPr/>
              <w:t>2021</w:t>
            </w:r>
          </w:p>
        </w:tc>
        <w:tc>
          <w:tcPr>
            <w:tcW w:w="994" w:type="dxa"/>
            <w:tcBorders/>
            <w:vAlign w:val="center"/>
          </w:tcPr>
          <w:p>
            <w:pPr>
              <w:pStyle w:val="TableContents"/>
              <w:widowControl w:val="false"/>
              <w:suppressLineNumbers/>
              <w:bidi w:val="0"/>
              <w:jc w:val="start"/>
              <w:rPr/>
            </w:pPr>
            <w:r>
              <w:rPr/>
              <w:t>16.1</w:t>
            </w:r>
          </w:p>
        </w:tc>
      </w:tr>
      <w:tr>
        <w:trPr/>
        <w:tc>
          <w:tcPr>
            <w:tcW w:w="601" w:type="dxa"/>
            <w:tcBorders/>
            <w:vAlign w:val="center"/>
          </w:tcPr>
          <w:p>
            <w:pPr>
              <w:pStyle w:val="TableContents"/>
              <w:widowControl w:val="false"/>
              <w:suppressLineNumbers/>
              <w:bidi w:val="0"/>
              <w:jc w:val="start"/>
              <w:rPr/>
            </w:pPr>
            <w:r>
              <w:rPr/>
              <w:t>2022</w:t>
            </w:r>
          </w:p>
        </w:tc>
        <w:tc>
          <w:tcPr>
            <w:tcW w:w="994" w:type="dxa"/>
            <w:tcBorders/>
            <w:vAlign w:val="center"/>
          </w:tcPr>
          <w:p>
            <w:pPr>
              <w:pStyle w:val="TableContents"/>
              <w:widowControl w:val="false"/>
              <w:suppressLineNumbers/>
              <w:bidi w:val="0"/>
              <w:jc w:val="start"/>
              <w:rPr/>
            </w:pPr>
            <w:r>
              <w:rPr/>
              <w:t>16.2</w:t>
            </w:r>
          </w:p>
        </w:tc>
      </w:tr>
      <w:tr>
        <w:trPr/>
        <w:tc>
          <w:tcPr>
            <w:tcW w:w="601" w:type="dxa"/>
            <w:tcBorders/>
            <w:vAlign w:val="center"/>
          </w:tcPr>
          <w:p>
            <w:pPr>
              <w:pStyle w:val="TableContents"/>
              <w:widowControl w:val="false"/>
              <w:suppressLineNumbers/>
              <w:bidi w:val="0"/>
              <w:jc w:val="start"/>
              <w:rPr/>
            </w:pPr>
            <w:r>
              <w:rPr/>
              <w:t>2023</w:t>
            </w:r>
          </w:p>
        </w:tc>
        <w:tc>
          <w:tcPr>
            <w:tcW w:w="994" w:type="dxa"/>
            <w:tcBorders/>
            <w:vAlign w:val="center"/>
          </w:tcPr>
          <w:p>
            <w:pPr>
              <w:pStyle w:val="TableContents"/>
              <w:widowControl w:val="false"/>
              <w:suppressLineNumbers/>
              <w:bidi w:val="0"/>
              <w:jc w:val="start"/>
              <w:rPr/>
            </w:pPr>
            <w:r>
              <w:rPr/>
              <w:t>13.4</w:t>
            </w:r>
          </w:p>
        </w:tc>
      </w:tr>
      <w:tr>
        <w:trPr/>
        <w:tc>
          <w:tcPr>
            <w:tcW w:w="601" w:type="dxa"/>
            <w:tcBorders/>
            <w:vAlign w:val="center"/>
          </w:tcPr>
          <w:p>
            <w:pPr>
              <w:pStyle w:val="TableContents"/>
              <w:widowControl w:val="false"/>
              <w:suppressLineNumbers/>
              <w:bidi w:val="0"/>
              <w:jc w:val="start"/>
              <w:rPr/>
            </w:pPr>
            <w:r>
              <w:rPr/>
              <w:t>2024</w:t>
            </w:r>
          </w:p>
        </w:tc>
        <w:tc>
          <w:tcPr>
            <w:tcW w:w="994" w:type="dxa"/>
            <w:tcBorders/>
            <w:vAlign w:val="center"/>
          </w:tcPr>
          <w:p>
            <w:pPr>
              <w:pStyle w:val="TableContents"/>
              <w:widowControl w:val="false"/>
              <w:suppressLineNumbers/>
              <w:bidi w:val="0"/>
              <w:jc w:val="start"/>
              <w:rPr/>
            </w:pPr>
            <w:r>
              <w:rPr/>
              <w:t>9.4</w:t>
            </w:r>
          </w:p>
        </w:tc>
      </w:tr>
      <w:tr>
        <w:trPr/>
        <w:tc>
          <w:tcPr>
            <w:tcW w:w="601" w:type="dxa"/>
            <w:tcBorders/>
            <w:vAlign w:val="center"/>
          </w:tcPr>
          <w:p>
            <w:pPr>
              <w:pStyle w:val="TableContents"/>
              <w:widowControl w:val="false"/>
              <w:suppressLineNumbers/>
              <w:bidi w:val="0"/>
              <w:jc w:val="start"/>
              <w:rPr/>
            </w:pPr>
            <w:r>
              <w:rPr/>
              <w:t>2025</w:t>
            </w:r>
          </w:p>
        </w:tc>
        <w:tc>
          <w:tcPr>
            <w:tcW w:w="994" w:type="dxa"/>
            <w:tcBorders/>
            <w:vAlign w:val="center"/>
          </w:tcPr>
          <w:p>
            <w:pPr>
              <w:pStyle w:val="TableContents"/>
              <w:widowControl w:val="false"/>
              <w:suppressLineNumbers/>
              <w:bidi w:val="0"/>
              <w:jc w:val="start"/>
              <w:rPr/>
            </w:pPr>
            <w:r>
              <w:rPr/>
              <w:t>8.2</w:t>
            </w:r>
          </w:p>
        </w:tc>
      </w:tr>
    </w:tbl>
    <w:p>
      <w:pPr>
        <w:pStyle w:val="BodyText"/>
        <w:bidi w:val="0"/>
        <w:jc w:val="start"/>
        <w:rPr/>
      </w:pPr>
      <w:r>
        <w:rPr/>
        <w:t>The trend shows substantial reductions beginning in 2023.</w:t>
      </w:r>
    </w:p>
    <w:p>
      <w:pPr>
        <w:pStyle w:val="BodyText"/>
        <w:bidi w:val="0"/>
        <w:jc w:val="start"/>
        <w:rPr/>
      </w:pPr>
      <w:r>
        <w:rPr/>
        <w:t>Key observations include:</w:t>
      </w:r>
    </w:p>
    <w:p>
      <w:pPr>
        <w:pStyle w:val="BodyText"/>
        <w:numPr>
          <w:ilvl w:val="0"/>
          <w:numId w:val="6"/>
        </w:numPr>
        <w:tabs>
          <w:tab w:val="clear" w:pos="709"/>
          <w:tab w:val="left" w:pos="709" w:leader="none"/>
        </w:tabs>
        <w:bidi w:val="0"/>
        <w:ind w:hanging="283" w:start="709"/>
        <w:jc w:val="start"/>
        <w:rPr/>
      </w:pPr>
      <w:r>
        <w:rPr/>
        <w:t>approximately 17% reduction between 2022 and 2023,</w:t>
      </w:r>
    </w:p>
    <w:p>
      <w:pPr>
        <w:pStyle w:val="BodyText"/>
        <w:numPr>
          <w:ilvl w:val="0"/>
          <w:numId w:val="6"/>
        </w:numPr>
        <w:tabs>
          <w:tab w:val="clear" w:pos="709"/>
          <w:tab w:val="left" w:pos="709" w:leader="none"/>
        </w:tabs>
        <w:bidi w:val="0"/>
        <w:ind w:hanging="283" w:start="709"/>
        <w:jc w:val="start"/>
        <w:rPr/>
      </w:pPr>
      <w:r>
        <w:rPr/>
        <w:t>continued reductions of approximately 15% annually,</w:t>
      </w:r>
    </w:p>
    <w:p>
      <w:pPr>
        <w:pStyle w:val="BodyText"/>
        <w:numPr>
          <w:ilvl w:val="0"/>
          <w:numId w:val="6"/>
        </w:numPr>
        <w:tabs>
          <w:tab w:val="clear" w:pos="709"/>
          <w:tab w:val="left" w:pos="709" w:leader="none"/>
        </w:tabs>
        <w:bidi w:val="0"/>
        <w:ind w:hanging="283" w:start="709"/>
        <w:jc w:val="start"/>
        <w:rPr/>
      </w:pPr>
      <w:r>
        <w:rPr/>
        <w:t>nearly 50% overall reduction across five years.</w:t>
      </w:r>
    </w:p>
    <w:p>
      <w:pPr>
        <w:pStyle w:val="BodyText"/>
        <w:bidi w:val="0"/>
        <w:jc w:val="start"/>
        <w:rPr/>
      </w:pPr>
      <w:r>
        <w:rPr/>
        <w:t>While these reductions support Apple's public carbon reduction narrative, they require careful interpretation.</w:t>
      </w:r>
    </w:p>
    <w:p>
      <w:pPr>
        <w:pStyle w:val="BodyText"/>
        <w:bidi w:val="0"/>
        <w:jc w:val="start"/>
        <w:rPr/>
      </w:pPr>
      <w:r>
        <w:rPr/>
        <w:t>Possible explanations include:</w:t>
      </w:r>
    </w:p>
    <w:p>
      <w:pPr>
        <w:pStyle w:val="BodyText"/>
        <w:numPr>
          <w:ilvl w:val="0"/>
          <w:numId w:val="7"/>
        </w:numPr>
        <w:tabs>
          <w:tab w:val="clear" w:pos="709"/>
          <w:tab w:val="left" w:pos="709" w:leader="none"/>
        </w:tabs>
        <w:bidi w:val="0"/>
        <w:ind w:hanging="283" w:start="709"/>
        <w:jc w:val="start"/>
        <w:rPr/>
      </w:pPr>
      <w:r>
        <w:rPr/>
        <w:t>supplier decarbonization,</w:t>
      </w:r>
    </w:p>
    <w:p>
      <w:pPr>
        <w:pStyle w:val="BodyText"/>
        <w:numPr>
          <w:ilvl w:val="0"/>
          <w:numId w:val="7"/>
        </w:numPr>
        <w:tabs>
          <w:tab w:val="clear" w:pos="709"/>
          <w:tab w:val="left" w:pos="709" w:leader="none"/>
        </w:tabs>
        <w:bidi w:val="0"/>
        <w:ind w:hanging="283" w:start="709"/>
        <w:jc w:val="start"/>
        <w:rPr/>
      </w:pPr>
      <w:r>
        <w:rPr/>
        <w:t>renewable electricity adoption by suppliers,</w:t>
      </w:r>
    </w:p>
    <w:p>
      <w:pPr>
        <w:pStyle w:val="BodyText"/>
        <w:numPr>
          <w:ilvl w:val="0"/>
          <w:numId w:val="7"/>
        </w:numPr>
        <w:tabs>
          <w:tab w:val="clear" w:pos="709"/>
          <w:tab w:val="left" w:pos="709" w:leader="none"/>
        </w:tabs>
        <w:bidi w:val="0"/>
        <w:ind w:hanging="283" w:start="709"/>
        <w:jc w:val="start"/>
        <w:rPr/>
      </w:pPr>
      <w:r>
        <w:rPr/>
        <w:t>product redesign,</w:t>
      </w:r>
    </w:p>
    <w:p>
      <w:pPr>
        <w:pStyle w:val="BodyText"/>
        <w:numPr>
          <w:ilvl w:val="0"/>
          <w:numId w:val="7"/>
        </w:numPr>
        <w:tabs>
          <w:tab w:val="clear" w:pos="709"/>
          <w:tab w:val="left" w:pos="709" w:leader="none"/>
        </w:tabs>
        <w:bidi w:val="0"/>
        <w:ind w:hanging="283" w:start="709"/>
        <w:jc w:val="start"/>
        <w:rPr/>
      </w:pPr>
      <w:r>
        <w:rPr/>
        <w:t>procurement optimization,</w:t>
      </w:r>
    </w:p>
    <w:p>
      <w:pPr>
        <w:pStyle w:val="BodyText"/>
        <w:numPr>
          <w:ilvl w:val="0"/>
          <w:numId w:val="7"/>
        </w:numPr>
        <w:tabs>
          <w:tab w:val="clear" w:pos="709"/>
          <w:tab w:val="left" w:pos="709" w:leader="none"/>
        </w:tabs>
        <w:bidi w:val="0"/>
        <w:ind w:hanging="283" w:start="709"/>
        <w:jc w:val="start"/>
        <w:rPr/>
      </w:pPr>
      <w:r>
        <w:rPr/>
        <w:t>methodological changes,</w:t>
      </w:r>
    </w:p>
    <w:p>
      <w:pPr>
        <w:pStyle w:val="BodyText"/>
        <w:numPr>
          <w:ilvl w:val="0"/>
          <w:numId w:val="7"/>
        </w:numPr>
        <w:tabs>
          <w:tab w:val="clear" w:pos="709"/>
          <w:tab w:val="left" w:pos="709" w:leader="none"/>
        </w:tabs>
        <w:bidi w:val="0"/>
        <w:ind w:hanging="283" w:start="709"/>
        <w:jc w:val="start"/>
        <w:rPr/>
      </w:pPr>
      <w:r>
        <w:rPr/>
        <w:t>emissions factor updates,</w:t>
      </w:r>
    </w:p>
    <w:p>
      <w:pPr>
        <w:pStyle w:val="BodyText"/>
        <w:numPr>
          <w:ilvl w:val="0"/>
          <w:numId w:val="7"/>
        </w:numPr>
        <w:tabs>
          <w:tab w:val="clear" w:pos="709"/>
          <w:tab w:val="left" w:pos="709" w:leader="none"/>
        </w:tabs>
        <w:bidi w:val="0"/>
        <w:ind w:hanging="283" w:start="709"/>
        <w:jc w:val="start"/>
        <w:rPr/>
      </w:pPr>
      <w:r>
        <w:rPr/>
        <w:t>baseline recalculations.</w:t>
      </w:r>
    </w:p>
    <w:p>
      <w:pPr>
        <w:pStyle w:val="BodyText"/>
        <w:bidi w:val="0"/>
        <w:jc w:val="start"/>
        <w:rPr/>
      </w:pPr>
      <w:r>
        <w:rPr/>
        <w:t>Because Scope 3 calculations involve extensive estimation and supplier data collection, methodological revisions can significantly influence reported totals.</w:t>
      </w:r>
    </w:p>
    <w:p>
      <w:pPr>
        <w:pStyle w:val="BodyText"/>
        <w:bidi w:val="0"/>
        <w:jc w:val="start"/>
        <w:rPr/>
      </w:pPr>
      <w:r>
        <w:rPr/>
        <w:t>Therefore, methodological disclosures should always be evaluated alongside numerical trends.</w:t>
      </w:r>
    </w:p>
    <w:p>
      <w:pPr>
        <w:pStyle w:val="BodyText"/>
        <w:bidi w:val="0"/>
        <w:jc w:val="start"/>
        <w:rPr/>
      </w:pPr>
      <w:r>
        <w:rPr>
          <w:rStyle w:val="Strong"/>
        </w:rPr>
        <w:t>Figure 3.</w:t>
      </w:r>
      <w:r>
        <w:rPr/>
        <w:t xml:space="preserve"> </w:t>
      </w:r>
      <w:r>
        <w:rPr>
          <w:rStyle w:val="Emphasis"/>
        </w:rPr>
        <w:t>Trend of Scope 3 Purchased Goods and Services Emissions</w:t>
      </w:r>
    </w:p>
    <w:p>
      <w:pPr>
        <w:pStyle w:val="HorizontalLine"/>
        <w:bidi w:val="0"/>
        <w:jc w:val="start"/>
        <w:rPr/>
      </w:pPr>
      <w:r>
        <w:rPr/>
      </w:r>
    </w:p>
    <w:p>
      <w:pPr>
        <w:pStyle w:val="Heading2"/>
        <w:bidi w:val="0"/>
        <w:jc w:val="start"/>
        <w:rPr/>
      </w:pPr>
      <w:r>
        <w:rPr/>
        <w:t>3.4 Operational Emissions Intensity</w:t>
      </w:r>
    </w:p>
    <w:p>
      <w:pPr>
        <w:pStyle w:val="BodyText"/>
        <w:bidi w:val="0"/>
        <w:jc w:val="start"/>
        <w:rPr/>
      </w:pPr>
      <w:r>
        <w:rPr/>
        <w:t>Apple reports operational emissions intensity using:</w:t>
      </w:r>
    </w:p>
    <w:p>
      <w:pPr>
        <w:pStyle w:val="BlockQuotation"/>
        <w:bidi w:val="0"/>
        <w:jc w:val="start"/>
        <w:rPr/>
      </w:pPr>
      <w:r>
        <w:rPr/>
        <w:t>Scope 1 + Market-Based Scope 2 Emissions</w:t>
      </w:r>
    </w:p>
    <w:p>
      <w:pPr>
        <w:pStyle w:val="BodyText"/>
        <w:bidi w:val="0"/>
        <w:jc w:val="start"/>
        <w:rPr/>
      </w:pPr>
      <w:r>
        <w:rPr/>
        <w:t>divided by annual company revenue.</w:t>
      </w:r>
    </w:p>
    <w:p>
      <w:pPr>
        <w:pStyle w:val="BodyText"/>
        <w:bidi w:val="0"/>
        <w:jc w:val="start"/>
        <w:rPr/>
      </w:pPr>
      <w:r>
        <w:rPr/>
        <w:t>Using market-based Scope 2 emissions produces an extremely small emissions intensity because market-based emissions remain close to zero.</w:t>
      </w:r>
    </w:p>
    <w:p>
      <w:pPr>
        <w:pStyle w:val="BodyText"/>
        <w:bidi w:val="0"/>
        <w:jc w:val="start"/>
        <w:rPr/>
      </w:pPr>
      <w:r>
        <w:rPr/>
        <w:t>If location-based Scope 2 emissions were used instead, operational emissions intensity would be substantially higher.</w:t>
      </w:r>
    </w:p>
    <w:p>
      <w:pPr>
        <w:pStyle w:val="BodyText"/>
        <w:bidi w:val="0"/>
        <w:jc w:val="start"/>
        <w:rPr/>
      </w:pPr>
      <w:r>
        <w:rPr/>
        <w:t>This demonstrates how accounting methodology significantly influences sustainability metrics.</w:t>
      </w:r>
    </w:p>
    <w:p>
      <w:pPr>
        <w:pStyle w:val="BodyText"/>
        <w:bidi w:val="0"/>
        <w:jc w:val="start"/>
        <w:rPr/>
      </w:pPr>
      <w:r>
        <w:rPr/>
        <w:t>The metric accurately follows the Greenhouse Gas Protocol's market-based reporting guidance; however, interpretation should recognize that the exceptionally low intensity largely reflects renewable electricity accounting rather than eliminating electricity demand.</w:t>
      </w:r>
    </w:p>
    <w:p>
      <w:pPr>
        <w:pStyle w:val="BodyText"/>
        <w:bidi w:val="0"/>
        <w:jc w:val="start"/>
        <w:rPr/>
      </w:pPr>
      <w:r>
        <w:rPr>
          <w:rStyle w:val="Strong"/>
        </w:rPr>
        <w:t>Figure 4.</w:t>
      </w:r>
      <w:r>
        <w:rPr/>
        <w:t xml:space="preserve"> </w:t>
      </w:r>
      <w:r>
        <w:rPr>
          <w:rStyle w:val="Emphasis"/>
        </w:rPr>
        <w:t>Operational Emissions Intensity per Dollar of Revenue</w:t>
      </w:r>
    </w:p>
    <w:p>
      <w:pPr>
        <w:pStyle w:val="HorizontalLine"/>
        <w:bidi w:val="0"/>
        <w:jc w:val="start"/>
        <w:rPr/>
      </w:pPr>
      <w:r>
        <w:rPr/>
      </w:r>
    </w:p>
    <w:p>
      <w:pPr>
        <w:pStyle w:val="Heading2"/>
        <w:bidi w:val="0"/>
        <w:jc w:val="start"/>
        <w:rPr/>
      </w:pPr>
      <w:r>
        <w:rPr/>
        <w:t>3.5 Purchased Electricity</w:t>
      </w:r>
    </w:p>
    <w:p>
      <w:pPr>
        <w:pStyle w:val="BodyText"/>
        <w:bidi w:val="0"/>
        <w:jc w:val="start"/>
        <w:rPr/>
      </w:pPr>
      <w:r>
        <w:rPr/>
        <w:t>Apple reported notable changes in electricity procurement.</w:t>
      </w:r>
    </w:p>
    <w:p>
      <w:pPr>
        <w:pStyle w:val="BodyText"/>
        <w:bidi w:val="0"/>
        <w:jc w:val="start"/>
        <w:rPr/>
      </w:pPr>
      <w:r>
        <w:rPr/>
        <w:t>Key observations include:</w:t>
      </w:r>
    </w:p>
    <w:p>
      <w:pPr>
        <w:pStyle w:val="BodyText"/>
        <w:numPr>
          <w:ilvl w:val="0"/>
          <w:numId w:val="8"/>
        </w:numPr>
        <w:tabs>
          <w:tab w:val="clear" w:pos="709"/>
          <w:tab w:val="left" w:pos="709" w:leader="none"/>
        </w:tabs>
        <w:bidi w:val="0"/>
        <w:ind w:hanging="283" w:start="709"/>
        <w:jc w:val="start"/>
        <w:rPr/>
      </w:pPr>
      <w:r>
        <w:rPr/>
        <w:t xml:space="preserve">Purchased electricity increased from approximately </w:t>
      </w:r>
      <w:r>
        <w:rPr>
          <w:rStyle w:val="Strong"/>
        </w:rPr>
        <w:t>0.99 million MWh (2021)</w:t>
      </w:r>
      <w:r>
        <w:rPr/>
        <w:t xml:space="preserve"> to </w:t>
      </w:r>
      <w:r>
        <w:rPr>
          <w:rStyle w:val="Strong"/>
        </w:rPr>
        <w:t>3.11 million MWh (2023)</w:t>
      </w:r>
      <w:r>
        <w:rPr/>
        <w:t>.</w:t>
      </w:r>
    </w:p>
    <w:p>
      <w:pPr>
        <w:pStyle w:val="BodyText"/>
        <w:numPr>
          <w:ilvl w:val="0"/>
          <w:numId w:val="8"/>
        </w:numPr>
        <w:tabs>
          <w:tab w:val="clear" w:pos="709"/>
          <w:tab w:val="left" w:pos="709" w:leader="none"/>
        </w:tabs>
        <w:bidi w:val="0"/>
        <w:ind w:hanging="283" w:start="709"/>
        <w:jc w:val="start"/>
        <w:rPr/>
      </w:pPr>
      <w:r>
        <w:rPr/>
        <w:t xml:space="preserve">Self-generated renewable electricity simultaneously declined from approximately </w:t>
      </w:r>
      <w:r>
        <w:rPr>
          <w:rStyle w:val="Strong"/>
        </w:rPr>
        <w:t>1.69 million MWh</w:t>
      </w:r>
      <w:r>
        <w:rPr/>
        <w:t xml:space="preserve"> to only </w:t>
      </w:r>
      <w:r>
        <w:rPr>
          <w:rStyle w:val="Strong"/>
        </w:rPr>
        <w:t>0.05 million MWh</w:t>
      </w:r>
      <w:r>
        <w:rPr/>
        <w:t>.</w:t>
      </w:r>
    </w:p>
    <w:p>
      <w:pPr>
        <w:pStyle w:val="BodyText"/>
        <w:bidi w:val="0"/>
        <w:jc w:val="start"/>
        <w:rPr/>
      </w:pPr>
      <w:r>
        <w:rPr/>
        <w:t>Such a large shift over a short period suggests changes in reporting boundaries, electricity sourcing classifications, or accounting methodology rather than a sudden operational transformation.</w:t>
      </w:r>
    </w:p>
    <w:p>
      <w:pPr>
        <w:pStyle w:val="BodyText"/>
        <w:bidi w:val="0"/>
        <w:jc w:val="start"/>
        <w:rPr/>
      </w:pPr>
      <w:r>
        <w:rPr/>
        <w:t>Reviewing methodological disclosures is essential before interpreting this trend as increased electricity consumption.</w:t>
      </w:r>
    </w:p>
    <w:p>
      <w:pPr>
        <w:pStyle w:val="BodyText"/>
        <w:bidi w:val="0"/>
        <w:jc w:val="start"/>
        <w:rPr/>
      </w:pPr>
      <w:r>
        <w:rPr>
          <w:rStyle w:val="Strong"/>
        </w:rPr>
        <w:t>Figure 5.</w:t>
      </w:r>
      <w:r>
        <w:rPr/>
        <w:t xml:space="preserve"> </w:t>
      </w:r>
      <w:r>
        <w:rPr>
          <w:rStyle w:val="Emphasis"/>
        </w:rPr>
        <w:t>Purchased Electricity and Self-Generated Renewable Electricity (2021–2025)</w:t>
      </w:r>
    </w:p>
    <w:p>
      <w:pPr>
        <w:pStyle w:val="HorizontalLine"/>
        <w:bidi w:val="0"/>
        <w:jc w:val="start"/>
        <w:rPr/>
      </w:pPr>
      <w:r>
        <w:rPr/>
      </w:r>
    </w:p>
    <w:p>
      <w:pPr>
        <w:pStyle w:val="Heading1"/>
        <w:bidi w:val="0"/>
        <w:jc w:val="start"/>
        <w:rPr/>
      </w:pPr>
      <w:r>
        <w:rPr/>
        <w:t>4. Qualitative Analysis</w:t>
      </w:r>
    </w:p>
    <w:p>
      <w:pPr>
        <w:pStyle w:val="Heading2"/>
        <w:bidi w:val="0"/>
        <w:jc w:val="start"/>
        <w:rPr/>
      </w:pPr>
      <w:r>
        <w:rPr/>
        <w:t>4.1 Carbon Neutrality Strategy and Science-Based Targets</w:t>
      </w:r>
    </w:p>
    <w:p>
      <w:pPr>
        <w:pStyle w:val="BodyText"/>
        <w:bidi w:val="0"/>
        <w:jc w:val="start"/>
        <w:rPr/>
      </w:pPr>
      <w:r>
        <w:rPr/>
        <w:t>Apple's climate strategy combines two overlapping commitments.</w:t>
      </w:r>
    </w:p>
    <w:p>
      <w:pPr>
        <w:pStyle w:val="BodyText"/>
        <w:bidi w:val="0"/>
        <w:jc w:val="start"/>
        <w:rPr/>
      </w:pPr>
      <w:r>
        <w:rPr/>
        <w:t>The first is its externally validated Science Based Targets initiative (SBTi) emissions reduction target.</w:t>
      </w:r>
    </w:p>
    <w:p>
      <w:pPr>
        <w:pStyle w:val="BodyText"/>
        <w:bidi w:val="0"/>
        <w:jc w:val="start"/>
        <w:rPr/>
      </w:pPr>
      <w:r>
        <w:rPr/>
        <w:t>The second is the company's widely publicized commitment to becoming carbon neutral across its value chain by 2030.</w:t>
      </w:r>
    </w:p>
    <w:p>
      <w:pPr>
        <w:pStyle w:val="BodyText"/>
        <w:bidi w:val="0"/>
        <w:jc w:val="start"/>
        <w:rPr/>
      </w:pPr>
      <w:r>
        <w:rPr/>
        <w:t>The CDP responses distinguish between these commitments.</w:t>
      </w:r>
    </w:p>
    <w:p>
      <w:pPr>
        <w:pStyle w:val="BodyText"/>
        <w:bidi w:val="0"/>
        <w:jc w:val="start"/>
        <w:rPr/>
      </w:pPr>
      <w:r>
        <w:rPr/>
        <w:t xml:space="preserve">While Apple's public communications frequently emphasize achieving approximately </w:t>
      </w:r>
      <w:r>
        <w:rPr>
          <w:rStyle w:val="Strong"/>
        </w:rPr>
        <w:t>75% emissions reductions relative to the 2015 baseline</w:t>
      </w:r>
      <w:r>
        <w:rPr/>
        <w:t xml:space="preserve">, the Science Based Target corresponds to a lower verified reduction pathway (approximately </w:t>
      </w:r>
      <w:r>
        <w:rPr>
          <w:rStyle w:val="Strong"/>
        </w:rPr>
        <w:t>61.7%</w:t>
      </w:r>
      <w:r>
        <w:rPr/>
        <w:t>).</w:t>
      </w:r>
    </w:p>
    <w:p>
      <w:pPr>
        <w:pStyle w:val="BodyText"/>
        <w:bidi w:val="0"/>
        <w:jc w:val="start"/>
        <w:rPr/>
      </w:pPr>
      <w:r>
        <w:rPr/>
        <w:t>The remaining emissions are expected to be addressed through carbon removal initiatives and residual emissions management.</w:t>
      </w:r>
    </w:p>
    <w:p>
      <w:pPr>
        <w:pStyle w:val="BodyText"/>
        <w:bidi w:val="0"/>
        <w:jc w:val="start"/>
        <w:rPr/>
      </w:pPr>
      <w:r>
        <w:rPr/>
        <w:t>This distinction is important because public discussions often interpret the 75% figure as total emissions reduction rather than the broader carbon neutrality framework that includes residual emissions.</w:t>
      </w:r>
    </w:p>
    <w:p>
      <w:pPr>
        <w:pStyle w:val="HorizontalLine"/>
        <w:bidi w:val="0"/>
        <w:jc w:val="start"/>
        <w:rPr/>
      </w:pPr>
      <w:r>
        <w:rPr/>
      </w:r>
    </w:p>
    <w:p>
      <w:pPr>
        <w:pStyle w:val="Heading2"/>
        <w:bidi w:val="0"/>
        <w:jc w:val="start"/>
        <w:rPr/>
      </w:pPr>
      <w:r>
        <w:rPr/>
        <w:t>4.2 Supplier Environmental Requirements</w:t>
      </w:r>
    </w:p>
    <w:p>
      <w:pPr>
        <w:pStyle w:val="BodyText"/>
        <w:bidi w:val="0"/>
        <w:jc w:val="start"/>
        <w:rPr/>
      </w:pPr>
      <w:r>
        <w:rPr/>
        <w:t>Apple places significant environmental expectations on Tier 1 suppliers.</w:t>
      </w:r>
    </w:p>
    <w:p>
      <w:pPr>
        <w:pStyle w:val="BodyText"/>
        <w:bidi w:val="0"/>
        <w:jc w:val="start"/>
        <w:rPr/>
      </w:pPr>
      <w:r>
        <w:rPr/>
        <w:t>The CDP disclosures describe:</w:t>
      </w:r>
    </w:p>
    <w:p>
      <w:pPr>
        <w:pStyle w:val="BodyText"/>
        <w:numPr>
          <w:ilvl w:val="0"/>
          <w:numId w:val="9"/>
        </w:numPr>
        <w:tabs>
          <w:tab w:val="clear" w:pos="709"/>
          <w:tab w:val="left" w:pos="709" w:leader="none"/>
        </w:tabs>
        <w:bidi w:val="0"/>
        <w:ind w:hanging="283" w:start="709"/>
        <w:jc w:val="start"/>
        <w:rPr/>
      </w:pPr>
      <w:r>
        <w:rPr/>
        <w:t>supplier environmental requirements,</w:t>
      </w:r>
    </w:p>
    <w:p>
      <w:pPr>
        <w:pStyle w:val="BodyText"/>
        <w:numPr>
          <w:ilvl w:val="0"/>
          <w:numId w:val="9"/>
        </w:numPr>
        <w:tabs>
          <w:tab w:val="clear" w:pos="709"/>
          <w:tab w:val="left" w:pos="709" w:leader="none"/>
        </w:tabs>
        <w:bidi w:val="0"/>
        <w:ind w:hanging="283" w:start="709"/>
        <w:jc w:val="start"/>
        <w:rPr/>
      </w:pPr>
      <w:r>
        <w:rPr/>
        <w:t>monitoring procedures,</w:t>
      </w:r>
    </w:p>
    <w:p>
      <w:pPr>
        <w:pStyle w:val="BodyText"/>
        <w:numPr>
          <w:ilvl w:val="0"/>
          <w:numId w:val="9"/>
        </w:numPr>
        <w:tabs>
          <w:tab w:val="clear" w:pos="709"/>
          <w:tab w:val="left" w:pos="709" w:leader="none"/>
        </w:tabs>
        <w:bidi w:val="0"/>
        <w:ind w:hanging="283" w:start="709"/>
        <w:jc w:val="start"/>
        <w:rPr/>
      </w:pPr>
      <w:r>
        <w:rPr/>
        <w:t>compliance verification,</w:t>
      </w:r>
    </w:p>
    <w:p>
      <w:pPr>
        <w:pStyle w:val="BodyText"/>
        <w:numPr>
          <w:ilvl w:val="0"/>
          <w:numId w:val="9"/>
        </w:numPr>
        <w:tabs>
          <w:tab w:val="clear" w:pos="709"/>
          <w:tab w:val="left" w:pos="709" w:leader="none"/>
        </w:tabs>
        <w:bidi w:val="0"/>
        <w:ind w:hanging="283" w:start="709"/>
        <w:jc w:val="start"/>
        <w:rPr/>
      </w:pPr>
      <w:r>
        <w:rPr/>
        <w:t>corrective action processes,</w:t>
      </w:r>
    </w:p>
    <w:p>
      <w:pPr>
        <w:pStyle w:val="BodyText"/>
        <w:numPr>
          <w:ilvl w:val="0"/>
          <w:numId w:val="9"/>
        </w:numPr>
        <w:tabs>
          <w:tab w:val="clear" w:pos="709"/>
          <w:tab w:val="left" w:pos="709" w:leader="none"/>
        </w:tabs>
        <w:bidi w:val="0"/>
        <w:ind w:hanging="283" w:start="709"/>
        <w:jc w:val="start"/>
        <w:rPr/>
      </w:pPr>
      <w:r>
        <w:rPr/>
        <w:t>supplier engagement initiatives.</w:t>
      </w:r>
    </w:p>
    <w:p>
      <w:pPr>
        <w:pStyle w:val="BodyText"/>
        <w:bidi w:val="0"/>
        <w:jc w:val="start"/>
        <w:rPr/>
      </w:pPr>
      <w:r>
        <w:rPr/>
        <w:t>Particular attention should be given to differences between:</w:t>
      </w:r>
    </w:p>
    <w:p>
      <w:pPr>
        <w:pStyle w:val="BodyText"/>
        <w:numPr>
          <w:ilvl w:val="0"/>
          <w:numId w:val="10"/>
        </w:numPr>
        <w:tabs>
          <w:tab w:val="clear" w:pos="709"/>
          <w:tab w:val="left" w:pos="709" w:leader="none"/>
        </w:tabs>
        <w:bidi w:val="0"/>
        <w:ind w:hanging="283" w:start="709"/>
        <w:jc w:val="start"/>
        <w:rPr/>
      </w:pPr>
      <w:r>
        <w:rPr/>
        <w:t>suppliers required to comply,</w:t>
      </w:r>
    </w:p>
    <w:p>
      <w:pPr>
        <w:pStyle w:val="BodyText"/>
        <w:numPr>
          <w:ilvl w:val="0"/>
          <w:numId w:val="10"/>
        </w:numPr>
        <w:tabs>
          <w:tab w:val="clear" w:pos="709"/>
          <w:tab w:val="left" w:pos="709" w:leader="none"/>
        </w:tabs>
        <w:bidi w:val="0"/>
        <w:ind w:hanging="283" w:start="709"/>
        <w:jc w:val="start"/>
        <w:rPr/>
      </w:pPr>
      <w:r>
        <w:rPr/>
        <w:t>suppliers verified as compliant.</w:t>
      </w:r>
    </w:p>
    <w:p>
      <w:pPr>
        <w:pStyle w:val="BodyText"/>
        <w:bidi w:val="0"/>
        <w:jc w:val="start"/>
        <w:rPr/>
      </w:pPr>
      <w:r>
        <w:rPr/>
        <w:t>Any discrepancy between these values provides insight into implementation effectiveness rather than policy commitments alone.</w:t>
      </w:r>
    </w:p>
    <w:p>
      <w:pPr>
        <w:pStyle w:val="BodyText"/>
        <w:bidi w:val="0"/>
        <w:jc w:val="start"/>
        <w:rPr/>
      </w:pPr>
      <w:r>
        <w:rPr/>
        <w:t>Apple's supplier engagement remains one of the primary mechanisms through which the company seeks to reduce Scope 3 emissions.</w:t>
      </w:r>
    </w:p>
    <w:p>
      <w:pPr>
        <w:pStyle w:val="HorizontalLine"/>
        <w:bidi w:val="0"/>
        <w:jc w:val="start"/>
        <w:rPr/>
      </w:pPr>
      <w:r>
        <w:rPr/>
      </w:r>
    </w:p>
    <w:p>
      <w:pPr>
        <w:pStyle w:val="Heading2"/>
        <w:bidi w:val="0"/>
        <w:jc w:val="start"/>
        <w:rPr/>
      </w:pPr>
      <w:r>
        <w:rPr/>
        <w:t>4.3 Methodological Changes and Reporting Boundaries</w:t>
      </w:r>
    </w:p>
    <w:p>
      <w:pPr>
        <w:pStyle w:val="BodyText"/>
        <w:bidi w:val="0"/>
        <w:jc w:val="start"/>
        <w:rPr/>
      </w:pPr>
      <w:r>
        <w:rPr/>
        <w:t>Methodological notes represent one of the most important sections of Apple's CDP disclosures.</w:t>
      </w:r>
    </w:p>
    <w:p>
      <w:pPr>
        <w:pStyle w:val="BodyText"/>
        <w:bidi w:val="0"/>
        <w:jc w:val="start"/>
        <w:rPr/>
      </w:pPr>
      <w:r>
        <w:rPr/>
        <w:t>These notes explain:</w:t>
      </w:r>
    </w:p>
    <w:p>
      <w:pPr>
        <w:pStyle w:val="BodyText"/>
        <w:numPr>
          <w:ilvl w:val="0"/>
          <w:numId w:val="11"/>
        </w:numPr>
        <w:tabs>
          <w:tab w:val="clear" w:pos="709"/>
          <w:tab w:val="left" w:pos="709" w:leader="none"/>
        </w:tabs>
        <w:bidi w:val="0"/>
        <w:ind w:hanging="283" w:start="709"/>
        <w:jc w:val="start"/>
        <w:rPr/>
      </w:pPr>
      <w:r>
        <w:rPr/>
        <w:t>boundary changes,</w:t>
      </w:r>
    </w:p>
    <w:p>
      <w:pPr>
        <w:pStyle w:val="BodyText"/>
        <w:numPr>
          <w:ilvl w:val="0"/>
          <w:numId w:val="11"/>
        </w:numPr>
        <w:tabs>
          <w:tab w:val="clear" w:pos="709"/>
          <w:tab w:val="left" w:pos="709" w:leader="none"/>
        </w:tabs>
        <w:bidi w:val="0"/>
        <w:ind w:hanging="283" w:start="709"/>
        <w:jc w:val="start"/>
        <w:rPr/>
      </w:pPr>
      <w:r>
        <w:rPr/>
        <w:t>recalculated baselines,</w:t>
      </w:r>
    </w:p>
    <w:p>
      <w:pPr>
        <w:pStyle w:val="BodyText"/>
        <w:numPr>
          <w:ilvl w:val="0"/>
          <w:numId w:val="11"/>
        </w:numPr>
        <w:tabs>
          <w:tab w:val="clear" w:pos="709"/>
          <w:tab w:val="left" w:pos="709" w:leader="none"/>
        </w:tabs>
        <w:bidi w:val="0"/>
        <w:ind w:hanging="283" w:start="709"/>
        <w:jc w:val="start"/>
        <w:rPr/>
      </w:pPr>
      <w:r>
        <w:rPr/>
        <w:t>revised emission factors,</w:t>
      </w:r>
    </w:p>
    <w:p>
      <w:pPr>
        <w:pStyle w:val="BodyText"/>
        <w:numPr>
          <w:ilvl w:val="0"/>
          <w:numId w:val="11"/>
        </w:numPr>
        <w:tabs>
          <w:tab w:val="clear" w:pos="709"/>
          <w:tab w:val="left" w:pos="709" w:leader="none"/>
        </w:tabs>
        <w:bidi w:val="0"/>
        <w:ind w:hanging="283" w:start="709"/>
        <w:jc w:val="start"/>
        <w:rPr/>
      </w:pPr>
      <w:r>
        <w:rPr/>
        <w:t>estimation methodologies,</w:t>
      </w:r>
    </w:p>
    <w:p>
      <w:pPr>
        <w:pStyle w:val="BodyText"/>
        <w:numPr>
          <w:ilvl w:val="0"/>
          <w:numId w:val="11"/>
        </w:numPr>
        <w:tabs>
          <w:tab w:val="clear" w:pos="709"/>
          <w:tab w:val="left" w:pos="709" w:leader="none"/>
        </w:tabs>
        <w:bidi w:val="0"/>
        <w:ind w:hanging="283" w:start="709"/>
        <w:jc w:val="start"/>
        <w:rPr/>
      </w:pPr>
      <w:r>
        <w:rPr/>
        <w:t>exclusions,</w:t>
      </w:r>
    </w:p>
    <w:p>
      <w:pPr>
        <w:pStyle w:val="BodyText"/>
        <w:numPr>
          <w:ilvl w:val="0"/>
          <w:numId w:val="11"/>
        </w:numPr>
        <w:tabs>
          <w:tab w:val="clear" w:pos="709"/>
          <w:tab w:val="left" w:pos="709" w:leader="none"/>
        </w:tabs>
        <w:bidi w:val="0"/>
        <w:ind w:hanging="283" w:start="709"/>
        <w:jc w:val="start"/>
        <w:rPr/>
      </w:pPr>
      <w:r>
        <w:rPr/>
        <w:t>acquisitions,</w:t>
      </w:r>
    </w:p>
    <w:p>
      <w:pPr>
        <w:pStyle w:val="BodyText"/>
        <w:numPr>
          <w:ilvl w:val="0"/>
          <w:numId w:val="11"/>
        </w:numPr>
        <w:tabs>
          <w:tab w:val="clear" w:pos="709"/>
          <w:tab w:val="left" w:pos="709" w:leader="none"/>
        </w:tabs>
        <w:bidi w:val="0"/>
        <w:ind w:hanging="283" w:start="709"/>
        <w:jc w:val="start"/>
        <w:rPr/>
      </w:pPr>
      <w:r>
        <w:rPr/>
        <w:t>organizational restructuring.</w:t>
      </w:r>
    </w:p>
    <w:p>
      <w:pPr>
        <w:pStyle w:val="BodyText"/>
        <w:bidi w:val="0"/>
        <w:jc w:val="start"/>
        <w:rPr/>
      </w:pPr>
      <w:r>
        <w:rPr/>
        <w:t>Several numerical changes observed in this analysis—particularly Scope 3 reductions and electricity procurement changes—may be partially explained by these methodological revisions rather than operational improvements alone.</w:t>
      </w:r>
    </w:p>
    <w:p>
      <w:pPr>
        <w:pStyle w:val="BodyText"/>
        <w:bidi w:val="0"/>
        <w:jc w:val="start"/>
        <w:rPr/>
      </w:pPr>
      <w:r>
        <w:rPr/>
        <w:t>Therefore, numerical comparisons across reporting years should always be interpreted together with methodological disclosures.</w:t>
      </w:r>
    </w:p>
    <w:p>
      <w:pPr>
        <w:pStyle w:val="HorizontalLine"/>
        <w:bidi w:val="0"/>
        <w:jc w:val="start"/>
        <w:rPr/>
      </w:pPr>
      <w:r>
        <w:rPr/>
      </w:r>
    </w:p>
    <w:p>
      <w:pPr>
        <w:pStyle w:val="Heading1"/>
        <w:bidi w:val="0"/>
        <w:jc w:val="start"/>
        <w:rPr/>
      </w:pPr>
      <w:r>
        <w:rPr/>
        <w:t>5. Discussion</w:t>
      </w:r>
    </w:p>
    <w:p>
      <w:pPr>
        <w:pStyle w:val="BodyText"/>
        <w:bidi w:val="0"/>
        <w:jc w:val="start"/>
        <w:rPr/>
      </w:pPr>
      <w:r>
        <w:rPr/>
        <w:t>Apple continues to demonstrate one of the most comprehensive corporate climate reporting programs among global technology companies.</w:t>
      </w:r>
    </w:p>
    <w:p>
      <w:pPr>
        <w:pStyle w:val="BodyText"/>
        <w:bidi w:val="0"/>
        <w:jc w:val="start"/>
        <w:rPr/>
      </w:pPr>
      <w:r>
        <w:rPr/>
        <w:t>Several trends indicate meaningful progress:</w:t>
      </w:r>
    </w:p>
    <w:p>
      <w:pPr>
        <w:pStyle w:val="BodyText"/>
        <w:numPr>
          <w:ilvl w:val="0"/>
          <w:numId w:val="12"/>
        </w:numPr>
        <w:tabs>
          <w:tab w:val="clear" w:pos="709"/>
          <w:tab w:val="left" w:pos="709" w:leader="none"/>
        </w:tabs>
        <w:bidi w:val="0"/>
        <w:ind w:hanging="283" w:start="709"/>
        <w:jc w:val="start"/>
        <w:rPr/>
      </w:pPr>
      <w:r>
        <w:rPr/>
        <w:t>declining Scope 3 emissions,</w:t>
      </w:r>
    </w:p>
    <w:p>
      <w:pPr>
        <w:pStyle w:val="BodyText"/>
        <w:numPr>
          <w:ilvl w:val="0"/>
          <w:numId w:val="12"/>
        </w:numPr>
        <w:tabs>
          <w:tab w:val="clear" w:pos="709"/>
          <w:tab w:val="left" w:pos="709" w:leader="none"/>
        </w:tabs>
        <w:bidi w:val="0"/>
        <w:ind w:hanging="283" w:start="709"/>
        <w:jc w:val="start"/>
        <w:rPr/>
      </w:pPr>
      <w:r>
        <w:rPr/>
        <w:t>extensive supplier engagement,</w:t>
      </w:r>
    </w:p>
    <w:p>
      <w:pPr>
        <w:pStyle w:val="BodyText"/>
        <w:numPr>
          <w:ilvl w:val="0"/>
          <w:numId w:val="12"/>
        </w:numPr>
        <w:tabs>
          <w:tab w:val="clear" w:pos="709"/>
          <w:tab w:val="left" w:pos="709" w:leader="none"/>
        </w:tabs>
        <w:bidi w:val="0"/>
        <w:ind w:hanging="283" w:start="709"/>
        <w:jc w:val="start"/>
        <w:rPr/>
      </w:pPr>
      <w:r>
        <w:rPr/>
        <w:t>continued renewable electricity procurement,</w:t>
      </w:r>
    </w:p>
    <w:p>
      <w:pPr>
        <w:pStyle w:val="BodyText"/>
        <w:numPr>
          <w:ilvl w:val="0"/>
          <w:numId w:val="12"/>
        </w:numPr>
        <w:tabs>
          <w:tab w:val="clear" w:pos="709"/>
          <w:tab w:val="left" w:pos="709" w:leader="none"/>
        </w:tabs>
        <w:bidi w:val="0"/>
        <w:ind w:hanging="283" w:start="709"/>
        <w:jc w:val="start"/>
        <w:rPr/>
      </w:pPr>
      <w:r>
        <w:rPr/>
        <w:t>long-term climate targets.</w:t>
      </w:r>
    </w:p>
    <w:p>
      <w:pPr>
        <w:pStyle w:val="BodyText"/>
        <w:bidi w:val="0"/>
        <w:jc w:val="start"/>
        <w:rPr/>
      </w:pPr>
      <w:r>
        <w:rPr/>
        <w:t>However, the analysis also identifies several reporting characteristics that require careful interpretation.</w:t>
      </w:r>
    </w:p>
    <w:p>
      <w:pPr>
        <w:pStyle w:val="BodyText"/>
        <w:bidi w:val="0"/>
        <w:jc w:val="start"/>
        <w:rPr/>
      </w:pPr>
      <w:r>
        <w:rPr/>
        <w:t>These include:</w:t>
      </w:r>
    </w:p>
    <w:p>
      <w:pPr>
        <w:pStyle w:val="BodyText"/>
        <w:numPr>
          <w:ilvl w:val="0"/>
          <w:numId w:val="13"/>
        </w:numPr>
        <w:tabs>
          <w:tab w:val="clear" w:pos="709"/>
          <w:tab w:val="left" w:pos="709" w:leader="none"/>
        </w:tabs>
        <w:bidi w:val="0"/>
        <w:ind w:hanging="283" w:start="709"/>
        <w:jc w:val="start"/>
        <w:rPr/>
      </w:pPr>
      <w:r>
        <w:rPr/>
        <w:t>identical Scope 1 emissions across four consecutive years,</w:t>
      </w:r>
    </w:p>
    <w:p>
      <w:pPr>
        <w:pStyle w:val="BodyText"/>
        <w:numPr>
          <w:ilvl w:val="0"/>
          <w:numId w:val="13"/>
        </w:numPr>
        <w:tabs>
          <w:tab w:val="clear" w:pos="709"/>
          <w:tab w:val="left" w:pos="709" w:leader="none"/>
        </w:tabs>
        <w:bidi w:val="0"/>
        <w:ind w:hanging="283" w:start="709"/>
        <w:jc w:val="start"/>
        <w:rPr/>
      </w:pPr>
      <w:r>
        <w:rPr/>
        <w:t>significant divergence between location-based and market-based Scope 2 emissions,</w:t>
      </w:r>
    </w:p>
    <w:p>
      <w:pPr>
        <w:pStyle w:val="BodyText"/>
        <w:numPr>
          <w:ilvl w:val="0"/>
          <w:numId w:val="13"/>
        </w:numPr>
        <w:tabs>
          <w:tab w:val="clear" w:pos="709"/>
          <w:tab w:val="left" w:pos="709" w:leader="none"/>
        </w:tabs>
        <w:bidi w:val="0"/>
        <w:ind w:hanging="283" w:start="709"/>
        <w:jc w:val="start"/>
        <w:rPr/>
      </w:pPr>
      <w:r>
        <w:rPr/>
        <w:t>substantial reductions in supplier emissions potentially influenced by methodology,</w:t>
      </w:r>
    </w:p>
    <w:p>
      <w:pPr>
        <w:pStyle w:val="BodyText"/>
        <w:numPr>
          <w:ilvl w:val="0"/>
          <w:numId w:val="13"/>
        </w:numPr>
        <w:tabs>
          <w:tab w:val="clear" w:pos="709"/>
          <w:tab w:val="left" w:pos="709" w:leader="none"/>
        </w:tabs>
        <w:bidi w:val="0"/>
        <w:ind w:hanging="283" w:start="709"/>
        <w:jc w:val="start"/>
        <w:rPr/>
      </w:pPr>
      <w:r>
        <w:rPr/>
        <w:t>extremely low emissions intensity resulting from market-based accounting,</w:t>
      </w:r>
    </w:p>
    <w:p>
      <w:pPr>
        <w:pStyle w:val="BodyText"/>
        <w:numPr>
          <w:ilvl w:val="0"/>
          <w:numId w:val="13"/>
        </w:numPr>
        <w:tabs>
          <w:tab w:val="clear" w:pos="709"/>
          <w:tab w:val="left" w:pos="709" w:leader="none"/>
        </w:tabs>
        <w:bidi w:val="0"/>
        <w:ind w:hanging="283" w:start="709"/>
        <w:jc w:val="start"/>
        <w:rPr/>
      </w:pPr>
      <w:r>
        <w:rPr/>
        <w:t>major shifts in electricity reporting classifications.</w:t>
      </w:r>
    </w:p>
    <w:p>
      <w:pPr>
        <w:pStyle w:val="BodyText"/>
        <w:bidi w:val="0"/>
        <w:jc w:val="start"/>
        <w:rPr/>
      </w:pPr>
      <w:r>
        <w:rPr/>
        <w:t>None of these observations necessarily indicate inaccurate reporting.</w:t>
      </w:r>
    </w:p>
    <w:p>
      <w:pPr>
        <w:pStyle w:val="BodyText"/>
        <w:bidi w:val="0"/>
        <w:jc w:val="start"/>
        <w:rPr/>
      </w:pPr>
      <w:r>
        <w:rPr/>
        <w:t>Instead, they demonstrate the importance of understanding greenhouse gas accounting methodologies when evaluating corporate sustainability performance.</w:t>
      </w:r>
    </w:p>
    <w:p>
      <w:pPr>
        <w:pStyle w:val="BodyText"/>
        <w:bidi w:val="0"/>
        <w:jc w:val="start"/>
        <w:rPr/>
      </w:pPr>
      <w:r>
        <w:rPr/>
        <w:t>For researchers, investors, regulators, and ESG analysts, methodological transparency is as important as emissions totals themselves.</w:t>
      </w:r>
    </w:p>
    <w:p>
      <w:pPr>
        <w:pStyle w:val="HorizontalLine"/>
        <w:bidi w:val="0"/>
        <w:jc w:val="start"/>
        <w:rPr/>
      </w:pPr>
      <w:r>
        <w:rPr/>
      </w:r>
    </w:p>
    <w:p>
      <w:pPr>
        <w:pStyle w:val="Heading1"/>
        <w:bidi w:val="0"/>
        <w:jc w:val="start"/>
        <w:rPr/>
      </w:pPr>
      <w:r>
        <w:rPr/>
        <w:t>6. Conclusion</w:t>
      </w:r>
    </w:p>
    <w:p>
      <w:pPr>
        <w:pStyle w:val="BodyText"/>
        <w:bidi w:val="0"/>
        <w:jc w:val="start"/>
        <w:rPr/>
      </w:pPr>
      <w:r>
        <w:rPr/>
        <w:t>The analysis of Apple's CDP disclosures between 2021 and 2025 reveals a company that has made measurable progress toward reducing reported greenhouse gas emissions while simultaneously employing sophisticated carbon accounting practices permitted under internationally accepted reporting standards.</w:t>
      </w:r>
    </w:p>
    <w:p>
      <w:pPr>
        <w:pStyle w:val="BodyText"/>
        <w:bidi w:val="0"/>
        <w:jc w:val="start"/>
        <w:rPr/>
      </w:pPr>
      <w:r>
        <w:rPr/>
        <w:t>The strongest quantitative evidence includes the continued reduction in Scope 3 purchased goods emissions and consistently low market-based Scope 2 emissions. Nevertheless, unusually stable Scope 1 emissions, significant differences between electricity accounting methods, and apparent methodological shifts suggest that numerical trends should not be interpreted independently from disclosure narratives.</w:t>
      </w:r>
    </w:p>
    <w:p>
      <w:pPr>
        <w:pStyle w:val="BodyText"/>
        <w:bidi w:val="0"/>
        <w:jc w:val="start"/>
        <w:rPr/>
      </w:pPr>
      <w:r>
        <w:rPr/>
        <w:t>Overall, Apple's climate disclosures present a comprehensive sustainability strategy supported by supplier engagement, renewable electricity procurement, and long-term emissions reduction targets. However, evaluating the effectiveness of these initiatives requires considering both reported emissions data and the accounting methodologies that underpin those results.</w:t>
      </w:r>
    </w:p>
    <w:p>
      <w:pPr>
        <w:pStyle w:val="HorizontalLine"/>
        <w:bidi w:val="0"/>
        <w:jc w:val="start"/>
        <w:rPr/>
      </w:pPr>
      <w:r>
        <w:rPr/>
      </w:r>
    </w:p>
    <w:p>
      <w:pPr>
        <w:pStyle w:val="Heading1"/>
        <w:bidi w:val="0"/>
        <w:jc w:val="start"/>
        <w:rPr/>
      </w:pPr>
      <w:r>
        <w:rPr/>
        <w:t>Suggested Figures</w:t>
      </w:r>
    </w:p>
    <w:p>
      <w:pPr>
        <w:pStyle w:val="BodyText"/>
        <w:bidi w:val="0"/>
        <w:jc w:val="start"/>
        <w:rPr/>
      </w:pPr>
      <w:r>
        <w:rPr>
          <w:rStyle w:val="Strong"/>
        </w:rPr>
        <w:t>Figure 1.</w:t>
      </w:r>
      <w:r>
        <w:rPr/>
        <w:t xml:space="preserve"> Trend of Apple's Scope 1 Emissions (2021–2025)</w:t>
      </w:r>
    </w:p>
    <w:p>
      <w:pPr>
        <w:pStyle w:val="BodyText"/>
        <w:bidi w:val="0"/>
        <w:jc w:val="start"/>
        <w:rPr/>
      </w:pPr>
      <w:r>
        <w:rPr>
          <w:rStyle w:val="Strong"/>
        </w:rPr>
        <w:t>Figure 2.</w:t>
      </w:r>
      <w:r>
        <w:rPr/>
        <w:t xml:space="preserve"> Comparison of Location-Based vs Market-Based Scope 2 Emissions</w:t>
      </w:r>
    </w:p>
    <w:p>
      <w:pPr>
        <w:pStyle w:val="BodyText"/>
        <w:bidi w:val="0"/>
        <w:jc w:val="start"/>
        <w:rPr/>
      </w:pPr>
      <w:r>
        <w:rPr>
          <w:rStyle w:val="Strong"/>
        </w:rPr>
        <w:t>Figure 3.</w:t>
      </w:r>
      <w:r>
        <w:rPr/>
        <w:t xml:space="preserve"> Trend of Scope 3 Purchased Goods &amp; Services Emissions</w:t>
      </w:r>
    </w:p>
    <w:p>
      <w:pPr>
        <w:pStyle w:val="BodyText"/>
        <w:bidi w:val="0"/>
        <w:jc w:val="start"/>
        <w:rPr/>
      </w:pPr>
      <w:r>
        <w:rPr>
          <w:rStyle w:val="Strong"/>
        </w:rPr>
        <w:t>Figure 4.</w:t>
      </w:r>
      <w:r>
        <w:rPr/>
        <w:t xml:space="preserve"> Operational Emissions Intensity (Scope 1 + Market-Based Scope 2 per Revenue)</w:t>
      </w:r>
    </w:p>
    <w:p>
      <w:pPr>
        <w:pStyle w:val="BodyText"/>
        <w:bidi w:val="0"/>
        <w:jc w:val="start"/>
        <w:rPr/>
      </w:pPr>
      <w:r>
        <w:rPr>
          <w:rStyle w:val="Strong"/>
        </w:rPr>
        <w:t>Figure 5.</w:t>
      </w:r>
      <w:r>
        <w:rPr/>
        <w:t xml:space="preserve"> Purchased Electricity vs Self-Generated Renewable Electricity (2021–2025)</w:t>
      </w:r>
    </w:p>
    <w:p>
      <w:pPr>
        <w:pStyle w:val="BodyText"/>
        <w:bidi w:val="0"/>
        <w:jc w:val="start"/>
        <w:rPr/>
      </w:pPr>
      <w:r>
        <w:rPr>
          <w:rStyle w:val="Strong"/>
        </w:rPr>
        <w:t>Figure 6.</w:t>
      </w:r>
      <w:r>
        <w:rPr/>
        <w:t xml:space="preserve"> Overall Trend of Apple's Major Emission Categories (Scope 1, Scope 2, Scope 3)</w:t>
      </w:r>
    </w:p>
    <w:p>
      <w:pPr>
        <w:pStyle w:val="BodyText"/>
        <w:bidi w:val="0"/>
        <w:jc w:val="start"/>
        <w:rPr/>
      </w:pPr>
      <w:r>
        <w:rPr>
          <w:rStyle w:val="Strong"/>
        </w:rPr>
        <w:t>Table 1.</w:t>
      </w:r>
      <w:r>
        <w:rPr/>
        <w:t xml:space="preserve"> Summary of Key Quantitative Variables</w:t>
      </w:r>
    </w:p>
    <w:p>
      <w:pPr>
        <w:pStyle w:val="BodyText"/>
        <w:bidi w:val="0"/>
        <w:jc w:val="start"/>
        <w:rPr/>
      </w:pPr>
      <w:r>
        <w:rPr>
          <w:rStyle w:val="Strong"/>
        </w:rPr>
        <w:t>Table 2.</w:t>
      </w:r>
      <w:r>
        <w:rPr/>
        <w:t xml:space="preserve"> Summary of Key Qualitative Findings</w:t>
      </w:r>
    </w:p>
    <w:p>
      <w:pPr>
        <w:pStyle w:val="Normal"/>
        <w:bidi w:val="0"/>
        <w:jc w:val="start"/>
        <w:rPr/>
      </w:pPr>
      <w:r>
        <w:rPr/>
      </w:r>
    </w:p>
    <w:sectPr>
      <w:type w:val="nextPage"/>
      <w:pgSz w:w="11906" w:h="16838"/>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auto"/>
    <w:pitch w:val="default"/>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IN"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oto Serif CJK SC" w:cs="Noto Sans Devanagari"/>
      <w:color w:val="auto"/>
      <w:kern w:val="2"/>
      <w:sz w:val="24"/>
      <w:szCs w:val="24"/>
      <w:lang w:val="en-IN" w:eastAsia="zh-CN" w:bidi="hi-IN"/>
    </w:rPr>
  </w:style>
  <w:style w:type="paragraph" w:styleId="Heading1">
    <w:name w:val="heading 1"/>
    <w:basedOn w:val="Heading"/>
    <w:next w:val="BodyText"/>
    <w:qFormat/>
    <w:pPr>
      <w:spacing w:before="240" w:after="120"/>
      <w:outlineLvl w:val="0"/>
    </w:pPr>
    <w:rPr>
      <w:rFonts w:ascii="Liberation Serif" w:hAnsi="Liberation Serif" w:eastAsia="Noto Serif CJK SC" w:cs="Noto Sans Devanagari"/>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BlockQuotation">
    <w:name w:val="Block Quotation"/>
    <w:basedOn w:val="Normal"/>
    <w:qFormat/>
    <w:pPr>
      <w:spacing w:before="0" w:after="283"/>
      <w:ind w:hanging="0" w:start="567" w:end="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LibreOffice_project/30643f3b95f81f04449dc87ba649cc313a42270e</Application>
  <AppVersion>15.0000</AppVersion>
  <Pages>8</Pages>
  <Words>1762</Words>
  <Characters>12038</Characters>
  <CharactersWithSpaces>13518</CharactersWithSpaces>
  <Paragraphs>204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2026-08-04T11:49:09Z</dcterms:created>
  <dc:creator/>
  <dc:description/>
  <dc:language>en-IN</dc:language>
  <cp:lastModifiedBy/>
  <dcterms:modified xsi:type="dcterms:W3CDTF">2026-08-04T11:49:54Z</dcterms:modified>
  <cp:revision>1</cp:revision>
  <dc:subject/>
  <dc:title/>
</cp:coreProperties>
</file>