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Business Summary Report: Predictive Insights for Collections Strategy</w:t>
      </w:r>
    </w:p>
    <w:p>
      <w:pPr>
        <w:pStyle w:val="Heading1"/>
      </w:pPr>
      <w:r>
        <w:t>1. Summary of Predictive Insights</w:t>
      </w:r>
    </w:p>
    <w:p>
      <w:r>
        <w:t>The predictive model analyzed 500 customer records to identify high-risk segments and key predictors of delinquency. The results show that behavioral financial indicators heavily outweigh demographic data in forecasting default risk. Customers in the highest risk segment typically exhibit a combination of maxed-out credit limits and recent payment friction.</w:t>
      </w:r>
    </w:p>
    <w:p>
      <w:pPr>
        <w:pStyle w:val="ListBullet"/>
      </w:pPr>
      <w:r>
        <w:t>Top 3 Risk Factors for Delinquency:</w:t>
      </w:r>
    </w:p>
    <w:p>
      <w:pPr>
        <w:pStyle w:val="ListBullet"/>
      </w:pPr>
      <w:r>
        <w:t>High Credit Utilization: Customers maximizing their available credit limits are the most vulnerable to cash flow disruptions and subsequent delinquency.</w:t>
      </w:r>
    </w:p>
    <w:p>
      <w:pPr>
        <w:pStyle w:val="ListBullet"/>
      </w:pPr>
      <w:r>
        <w:t>Recent Missed Payments: A history of missed or late payments in the trailing 6 months (Months 1-6) is the strongest sequential indicator of escalating financial distress.</w:t>
      </w:r>
    </w:p>
    <w:p>
      <w:pPr>
        <w:pStyle w:val="ListBullet"/>
      </w:pPr>
      <w:r>
        <w:t>High Debt-to-Income (DTI) Ratio: Customers with excessive debt relative to their income have minimal financial flexibility, increasing default probability.</w:t>
      </w:r>
    </w:p>
    <w:p>
      <w:pPr>
        <w:pStyle w:val="Heading1"/>
      </w:pPr>
      <w:r>
        <w:t>2. Recommendation Framework</w:t>
      </w:r>
    </w:p>
    <w:p>
      <w:r>
        <w:rPr>
          <w:b/>
        </w:rPr>
        <w:t xml:space="preserve">Restated Insight: </w:t>
      </w:r>
      <w:r>
        <w:t>High credit utilization combined with recent missed payments significantly increases the likelihood of long-term delinquency.</w:t>
      </w:r>
    </w:p>
    <w:p>
      <w:r>
        <w:rPr>
          <w:b/>
        </w:rPr>
        <w:t xml:space="preserve">Proposed Recommendation: </w:t>
      </w:r>
      <w:r>
        <w:t>Implement an automated 'Early Intervention Protocol' for customers exceeding 80% credit utilization who miss a single payment.</w:t>
      </w:r>
    </w:p>
    <w:p>
      <w:pPr>
        <w:pStyle w:val="ListBullet2"/>
      </w:pPr>
      <w:r>
        <w:t>Specific: Trigger a personalized financial wellness email and SMS offering flexible repayment options to any customer who exceeds 80% credit utilization and misses one monthly payment.</w:t>
      </w:r>
    </w:p>
    <w:p>
      <w:pPr>
        <w:pStyle w:val="ListBullet2"/>
      </w:pPr>
      <w:r>
        <w:t>Measurable: Aim to reduce the progression of first-time missed payments to 60-day delinquency by 15%.</w:t>
      </w:r>
    </w:p>
    <w:p>
      <w:pPr>
        <w:pStyle w:val="ListBullet2"/>
      </w:pPr>
      <w:r>
        <w:t>Actionable: The Analytics team will configure the predictive model to flag these specific users weekly, and the Collections team will automate the outreach workflow in their CRM.</w:t>
      </w:r>
    </w:p>
    <w:p>
      <w:pPr>
        <w:pStyle w:val="ListBullet2"/>
      </w:pPr>
      <w:r>
        <w:t>Relevant: Proactive intervention reduces ultimate default rates, aligning perfectly with Geldium’s goal of lowering financial loss while preserving customer relationships.</w:t>
      </w:r>
    </w:p>
    <w:p>
      <w:pPr>
        <w:pStyle w:val="ListBullet2"/>
      </w:pPr>
      <w:r>
        <w:t>Time-bound: Deploy the pilot program within 30 days and measure its impact over the subsequent quarter (90 days).</w:t>
      </w:r>
    </w:p>
    <w:p>
      <w:r>
        <w:rPr>
          <w:b/>
        </w:rPr>
        <w:t xml:space="preserve">Justification and Business Rationale: </w:t>
      </w:r>
      <w:r>
        <w:t>Waiting until a customer misses multiple payments drastically reduces the chance of full recovery. By using the predictive model to intervene early—specifically when a customer shows the dual warning signs of maxed-out credit and a single missed payment—Geldium can proactively offer assistance. This shifts the collections strategy from punitive to supportive, ultimately improving debt recovery rates and customer retention.</w:t>
      </w:r>
    </w:p>
    <w:p>
      <w:pPr>
        <w:pStyle w:val="Heading1"/>
      </w:pPr>
      <w:r>
        <w:t>3. Ethical and Responsible AI Considerations</w:t>
      </w:r>
    </w:p>
    <w:p>
      <w:pPr>
        <w:pStyle w:val="IntenseQuote"/>
      </w:pPr>
      <w:r>
        <w:t>Fairness Risks and Mitigations:</w:t>
      </w:r>
    </w:p>
    <w:p>
      <w:pPr>
        <w:pStyle w:val="ListBullet"/>
      </w:pPr>
      <w:r>
        <w:rPr>
          <w:b/>
        </w:rPr>
        <w:t xml:space="preserve">Demographic Bias: </w:t>
      </w:r>
      <w:r>
        <w:t xml:space="preserve">The model could inadvertently learn to penalize younger demographics or specific regions if historical data shows higher default rates there, leading to discriminatory collection practices. </w:t>
      </w:r>
      <w:r>
        <w:rPr>
          <w:i/>
        </w:rPr>
        <w:t xml:space="preserve">Mitigation: </w:t>
      </w:r>
      <w:r>
        <w:t>We will actively exclude explicit demographic variables (Age, Location) from the final decision-making logic and rely strictly on financial behavior. We will also run Disparate Impact checks to ensure flag rates are equitable across groups.</w:t>
      </w:r>
    </w:p>
    <w:p>
      <w:pPr>
        <w:pStyle w:val="ListBullet"/>
      </w:pPr>
      <w:r>
        <w:rPr>
          <w:b/>
        </w:rPr>
        <w:t xml:space="preserve">Data Quality Bias: </w:t>
      </w:r>
      <w:r>
        <w:t xml:space="preserve">Missing income data (~7.8% of the dataset) was imputed using median values. If higher-income individuals are more likely to withhold income data, imputing the median might incorrectly assess their Debt-to-Income ratio, flagging them inaccurately. </w:t>
      </w:r>
      <w:r>
        <w:rPr>
          <w:i/>
        </w:rPr>
        <w:t xml:space="preserve">Mitigation: </w:t>
      </w:r>
      <w:r>
        <w:t>We will implement a 'human-in-the-loop' review for high-value accounts with imputed data before initiating aggressive collection actions.</w:t>
      </w:r>
    </w:p>
    <w:p>
      <w:pPr>
        <w:pStyle w:val="IntenseQuote"/>
      </w:pPr>
      <w:r>
        <w:t>Explainability and Transparency:</w:t>
      </w:r>
    </w:p>
    <w:p>
      <w:r>
        <w:t>The Random Forest model was selected specifically for its explainability. Instead of a 'black box' prediction, we can extract the exact features driving a risk score. When communicating with stakeholders or customers, we can plainly state: 'This account was flagged because credit utilization reached 90% and the last payment was 15 days late,' ensuring transparency and providing actionable feedback rather than abstract AI probabilities. This approach promotes responsible and transparent AI use.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