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Master Services Agreement</w:t>
      </w:r>
    </w:p>
    <w:p>
      <w:pPr>
        <w:pStyle w:val="Heading1"/>
      </w:pPr>
      <w:r>
        <w:t xml:space="preserve">1. Services</w:t>
      </w:r>
    </w:p>
    <w:sdt>
      <w:sdtPr>
        <w:alias w:val="Services"/>
      </w:sdtPr>
      <w:sdtContent>
        <w:p>
          <w:r>
            <w:t xml:space="preserve">Supplier shall provide the services described in Schedule A.</w:t>
          </w:r>
        </w:p>
        <w:p>
          <w:r>
            <w:t xml:space="preserve">Supplier shall perform the services with reasonable care.</w:t>
          </w:r>
        </w:p>
      </w:sdtContent>
    </w:sdt>
    <w:p>
      <w:pPr>
        <w:pStyle w:val="Heading1"/>
      </w:pPr>
      <w:r>
        <w:t xml:space="preserve">2. Governing Law</w:t>
      </w:r>
    </w:p>
    <w:p>
      <w:r>
        <w:t xml:space="preserve">This Agreement is governed by the laws of Delaware.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