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Negotiation Playbook 2026</w:t>
      </w:r>
    </w:p>
    <w:p>
      <w:pPr>
        <w:pStyle w:val="Heading1"/>
      </w:pPr>
      <w:r>
        <w:t xml:space="preserve">Limitation of Liability</w:t>
      </w:r>
    </w:p>
    <w:p>
      <w:r>
        <w:t xml:space="preserve">Liability caps below 1x annual fees are preferred.</w:t>
      </w:r>
    </w:p>
    <w:p>
      <w:r>
        <w:t xml:space="preserve">Anything above 2x annual fees requires GC approval.</w:t>
      </w:r>
    </w:p>
    <w:tbl>
      <w:tr>
        <w:tc>
          <w:p>
            <w:r>
              <w:t>Clause</w:t>
            </w:r>
          </w:p>
        </w:tc>
        <w:tc>
          <w:p>
            <w:r>
              <w:t>Preferred</w:t>
            </w:r>
          </w:p>
        </w:tc>
        <w:tc>
          <w:p>
            <w:r>
              <w:t>Fallback</w:t>
            </w:r>
          </w:p>
        </w:tc>
      </w:tr>
      <w:tr>
        <w:tc>
          <w:p>
            <w:r>
              <w:t>Liability cap</w:t>
            </w:r>
          </w:p>
        </w:tc>
        <w:tc>
          <w:p>
            <w:r>
              <w:t>1x annual fees</w:t>
            </w:r>
          </w:p>
        </w:tc>
        <w:tc>
          <w:p>
            <w:r>
              <w:t>2x annual fees</w:t>
            </w:r>
          </w:p>
        </w:tc>
      </w:tr>
    </w:tbl>
    <w:p>
      <w:pPr>
        <w:pStyle w:val="Heading1"/>
      </w:pPr>
      <w:r>
        <w:t xml:space="preserve">Termination</w:t>
      </w:r>
    </w:p>
    <w:p>
      <w:r>
        <w:t xml:space="preserve">Termination for convenience requires 30 days notice.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