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Supplier-Side Negotiation Playbook</w:t>
      </w:r>
    </w:p>
    <w:p>
      <w:pPr>
        <w:pStyle w:val="Heading1"/>
      </w:pPr>
      <w:r>
        <w:t xml:space="preserve">Limitation of Liability</w:t>
      </w:r>
    </w:p>
    <w:p>
      <w:r>
        <w:t xml:space="preserve">Preferred: As Supplier, cap the total liability at the fees paid in the preceding 12 months and exclude consequential damages.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