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Master Services Agreement</w:t>
      </w:r>
    </w:p>
    <w:p>
      <w:pPr>
        <w:pStyle w:val="Heading1"/>
      </w:pPr>
      <w:r>
        <w:t xml:space="preserve">1. Limitation of Liability</w:t>
      </w:r>
    </w:p>
    <w:p>
      <w:r>
        <w:t xml:space="preserve">Supplier liability shall be unlimited.</w:t>
      </w:r>
    </w:p>
    <w:p>
      <w:pPr>
        <w:pStyle w:val="Heading1"/>
        <w:numPr>
          <w:ilvl w:val="0"/>
          <w:numId w:val="1"/>
          <w:numberingChange w:id="901" w:author="Counterparty" w:date="2026-09-01T00:00:00Z"/>
        </w:numPr>
      </w:pPr>
      <w:r>
        <w:t xml:space="preserve">2. Governing Law</w:t>
      </w:r>
    </w:p>
    <w:tbl>
      <w:tblPr/>
      <w:tblGrid>
        <w:gridCol w:w="2000"/>
        <w:tblGridChange w:id="902" w:author="Counterparty" w:date="2026-09-01T00:00:00Z"/>
      </w:tblGrid>
      <w:tr>
        <w:tc>
          <w:p>
            <w:r>
              <w:t>Delaware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