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Master Services Agreement</w:t>
      </w:r>
    </w:p>
    <w:p>
      <w:r>
        <w:t xml:space="preserve">This Master Services Agreement is entered into as of January 1, 2026 by and between Northwind Customer Group LLC ("Customer") and Pallas Cloud Services GmbH ("Supplier").</w:t>
      </w:r>
    </w:p>
    <w:p>
      <w:pPr>
        <w:pStyle w:val="Heading1"/>
      </w:pPr>
      <w:r>
        <w:t xml:space="preserve">1. Limitation of Liability</w:t>
      </w:r>
    </w:p>
    <w:p>
      <w:r>
        <w:t xml:space="preserve">The liability of Supplier under this Agreement is uncapped and unlimited, however arising.</w:t>
      </w:r>
    </w:p>
    <w:p>
      <w:pPr>
        <w:pStyle w:val="Heading1"/>
      </w:pPr>
      <w:r>
        <w:t xml:space="preserve">2. Confidentiality</w:t>
      </w:r>
    </w:p>
    <w:p>
      <w:r>
        <w:t xml:space="preserve">Each Party shall protect the other Party's confidential information with reasonable care.</w:t>
      </w:r>
    </w:p>
    <w:p>
      <w:pPr>
        <w:pStyle w:val="Heading1"/>
      </w:pPr>
      <w:r>
        <w:t xml:space="preserve">3. Termination</w:t>
      </w:r>
    </w:p>
    <w:p>
      <w:r>
        <w:t xml:space="preserve">Either Party may terminate this Agreement for material breach on thirty (30) days' notice if the breach is not remedied.</w:t>
      </w:r>
    </w:p>
    <w:p>
      <w:pPr>
        <w:pStyle w:val="Heading1"/>
      </w:pPr>
      <w:r>
        <w:t xml:space="preserve">4. Governing Law</w:t>
      </w:r>
    </w:p>
    <w:p>
      <w:r>
        <w:t xml:space="preserve">This Agreement is governed by the laws of the State of Delaware.</w:t>
      </w:r>
    </w:p>
    <w:sectPr/>
  </w:body>
</w:document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  <w:style w:type="paragraph" w:styleId="Normal">
    <w:name w:val="Normal"/>
  </w:style>
</w:styles>
</file>