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Rivell Approved Clause Library</w:t>
      </w:r>
    </w:p>
    <w:p>
      <w:pPr>
        <w:pStyle w:val="Heading1"/>
      </w:pPr>
      <w:r>
        <w:t xml:space="preserve">Limitation on Damages — Preferred (US)</w:t>
      </w:r>
    </w:p>
    <w:p>
      <w:pPr>
        <w:pStyle w:val="Normal"/>
      </w:pPr>
      <w:r>
        <w:t xml:space="preserve">The total liability of Supplier shall not exceed the fees paid in the preceding 12 months.</w:t>
      </w:r>
    </w:p>
    <w:p>
      <w:pPr>
        <w:pStyle w:val="Heading1"/>
      </w:pPr>
      <w:r>
        <w:t xml:space="preserve">Limitation on Damages — Fallback (US)</w:t>
      </w:r>
    </w:p>
    <w:p>
      <w:pPr>
        <w:pStyle w:val="Normal"/>
      </w:pPr>
      <w:r>
        <w:t xml:space="preserve">The total liability of Supplier shall not exceed two times the annual fees payable under this Agreement.</w:t>
      </w:r>
    </w:p>
    <w:p>
      <w:pPr>
        <w:pStyle w:val="Heading1"/>
      </w:pPr>
      <w:r>
        <w:t xml:space="preserve">Governing Law — Preferred (US)</w:t>
      </w:r>
    </w:p>
    <w:p>
      <w:pPr>
        <w:pStyle w:val="Normal"/>
      </w:pPr>
      <w:r>
        <w:t xml:space="preserve">This Agreement shall be governed by the laws of the State of Delaware.</w:t>
      </w:r>
    </w:p>
    <w:p>
      <w:pPr>
        <w:pStyle w:val="Heading1"/>
      </w:pPr>
      <w:r>
        <w:t xml:space="preserve">Governing Law — Preferred (UK)</w:t>
      </w:r>
    </w:p>
    <w:p>
      <w:pPr>
        <w:pStyle w:val="Normal"/>
      </w:pPr>
      <w:r>
        <w:t xml:space="preserve">This Agreement shall be governed by the laws of England and Wales.</w:t>
      </w:r>
    </w:p>
    <w:p>
      <w:pPr>
        <w:pStyle w:val="Heading1"/>
      </w:pPr>
      <w:r>
        <w:t xml:space="preserve">Confidentiality — Preferred</w:t>
      </w:r>
    </w:p>
    <w:p>
      <w:pPr>
        <w:pStyle w:val="Normal"/>
      </w:pPr>
      <w:r>
        <w:t xml:space="preserve">The supplier shall maintain the confidentiality of the discloser's business information for the duration of this agreement.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